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48A52" w14:textId="77777777" w:rsidR="00FC1C5F" w:rsidRDefault="00727E32">
      <w:pPr>
        <w:spacing w:before="2400"/>
        <w:jc w:val="center"/>
        <w:rPr>
          <w:b/>
          <w:sz w:val="36"/>
          <w:szCs w:val="36"/>
        </w:rPr>
      </w:pPr>
      <w:r>
        <w:rPr>
          <w:b/>
          <w:sz w:val="36"/>
          <w:szCs w:val="36"/>
        </w:rPr>
        <w:t>ERCOT Nodal Protocols</w:t>
      </w:r>
    </w:p>
    <w:p w14:paraId="18DB3EAA" w14:textId="77777777" w:rsidR="00FC1C5F" w:rsidRDefault="00FC1C5F">
      <w:pPr>
        <w:jc w:val="center"/>
        <w:rPr>
          <w:b/>
          <w:sz w:val="36"/>
          <w:szCs w:val="36"/>
        </w:rPr>
      </w:pPr>
    </w:p>
    <w:p w14:paraId="2DFFAF30" w14:textId="77777777" w:rsidR="00FC1C5F" w:rsidRDefault="00727E32">
      <w:pPr>
        <w:jc w:val="center"/>
        <w:rPr>
          <w:b/>
          <w:sz w:val="36"/>
          <w:szCs w:val="36"/>
        </w:rPr>
      </w:pPr>
      <w:r>
        <w:rPr>
          <w:b/>
          <w:sz w:val="36"/>
          <w:szCs w:val="36"/>
        </w:rPr>
        <w:t>Section 16:  Registration and Qualification of Market Participants</w:t>
      </w:r>
    </w:p>
    <w:p w14:paraId="44F09D74" w14:textId="77777777" w:rsidR="00FC1C5F" w:rsidRDefault="00FC1C5F">
      <w:pPr>
        <w:spacing w:before="360"/>
        <w:jc w:val="center"/>
        <w:rPr>
          <w:b/>
          <w:szCs w:val="24"/>
        </w:rPr>
      </w:pPr>
    </w:p>
    <w:p w14:paraId="5DD53CE3" w14:textId="099C8446" w:rsidR="00FC1C5F" w:rsidRDefault="00461B44">
      <w:pPr>
        <w:spacing w:before="360"/>
        <w:jc w:val="center"/>
        <w:rPr>
          <w:b/>
          <w:szCs w:val="24"/>
        </w:rPr>
      </w:pPr>
      <w:r>
        <w:rPr>
          <w:b/>
          <w:szCs w:val="24"/>
        </w:rPr>
        <w:t>May</w:t>
      </w:r>
      <w:r w:rsidR="00B55C27">
        <w:rPr>
          <w:b/>
          <w:szCs w:val="24"/>
        </w:rPr>
        <w:t xml:space="preserve"> 1</w:t>
      </w:r>
      <w:r w:rsidR="008E158D">
        <w:rPr>
          <w:b/>
          <w:szCs w:val="24"/>
        </w:rPr>
        <w:t>, 20</w:t>
      </w:r>
      <w:r w:rsidR="003F41DA">
        <w:rPr>
          <w:b/>
          <w:szCs w:val="24"/>
        </w:rPr>
        <w:t>2</w:t>
      </w:r>
      <w:r w:rsidR="001D1905">
        <w:rPr>
          <w:b/>
          <w:szCs w:val="24"/>
        </w:rPr>
        <w:t>4</w:t>
      </w:r>
    </w:p>
    <w:p w14:paraId="588DB0D2" w14:textId="77777777" w:rsidR="00FC1C5F" w:rsidRDefault="00FC1C5F">
      <w:pPr>
        <w:spacing w:before="360"/>
        <w:rPr>
          <w:b/>
          <w:szCs w:val="24"/>
        </w:rPr>
      </w:pPr>
    </w:p>
    <w:p w14:paraId="4EC558C1" w14:textId="77777777" w:rsidR="00FC1C5F" w:rsidRDefault="00FC1C5F">
      <w:pPr>
        <w:pBdr>
          <w:top w:val="single" w:sz="4" w:space="1" w:color="auto"/>
        </w:pBdr>
        <w:rPr>
          <w:b/>
          <w:sz w:val="20"/>
        </w:rPr>
      </w:pPr>
    </w:p>
    <w:p w14:paraId="03EAD69C" w14:textId="77777777" w:rsidR="00FC1C5F" w:rsidRDefault="00FC1C5F"/>
    <w:p w14:paraId="6337C0C3" w14:textId="77777777" w:rsidR="00FC1C5F" w:rsidRDefault="00FC1C5F">
      <w:pPr>
        <w:sectPr w:rsidR="00FC1C5F">
          <w:headerReference w:type="default" r:id="rId8"/>
          <w:footerReference w:type="even" r:id="rId9"/>
          <w:footerReference w:type="default" r:id="rId10"/>
          <w:footerReference w:type="first" r:id="rId11"/>
          <w:pgSz w:w="12240" w:h="15840" w:code="1"/>
          <w:pgMar w:top="1440" w:right="1440" w:bottom="1440" w:left="1440" w:header="720" w:footer="720" w:gutter="0"/>
          <w:pgNumType w:start="0"/>
          <w:cols w:space="720"/>
        </w:sectPr>
      </w:pPr>
    </w:p>
    <w:p w14:paraId="7CF0394E" w14:textId="6B7CA67B" w:rsidR="00373358" w:rsidRDefault="00816A7E">
      <w:pPr>
        <w:pStyle w:val="TOC1"/>
        <w:rPr>
          <w:rFonts w:asciiTheme="minorHAnsi" w:eastAsiaTheme="minorEastAsia" w:hAnsiTheme="minorHAnsi" w:cstheme="minorBidi"/>
          <w:b w:val="0"/>
          <w:bCs w:val="0"/>
          <w:sz w:val="22"/>
          <w:szCs w:val="22"/>
        </w:rPr>
      </w:pPr>
      <w:r w:rsidRPr="005250EA">
        <w:lastRenderedPageBreak/>
        <w:fldChar w:fldCharType="begin"/>
      </w:r>
      <w:r w:rsidR="0005725D" w:rsidRPr="005250EA">
        <w:instrText xml:space="preserve"> TOC \o "1-5" \h \z \u </w:instrText>
      </w:r>
      <w:r w:rsidRPr="005250EA">
        <w:fldChar w:fldCharType="separate"/>
      </w:r>
      <w:hyperlink w:anchor="_Toc148960808" w:history="1">
        <w:r w:rsidR="00373358" w:rsidRPr="00D92B29">
          <w:rPr>
            <w:rStyle w:val="Hyperlink"/>
          </w:rPr>
          <w:t>16</w:t>
        </w:r>
        <w:r w:rsidR="00373358">
          <w:rPr>
            <w:rFonts w:asciiTheme="minorHAnsi" w:eastAsiaTheme="minorEastAsia" w:hAnsiTheme="minorHAnsi" w:cstheme="minorBidi"/>
            <w:b w:val="0"/>
            <w:bCs w:val="0"/>
            <w:sz w:val="22"/>
            <w:szCs w:val="22"/>
          </w:rPr>
          <w:tab/>
        </w:r>
        <w:r w:rsidR="00373358" w:rsidRPr="00D92B29">
          <w:rPr>
            <w:rStyle w:val="Hyperlink"/>
          </w:rPr>
          <w:t>REGISTRATION AND QUALIFICATION OF MARKET PARTICIPANTS</w:t>
        </w:r>
        <w:r w:rsidR="00373358">
          <w:rPr>
            <w:webHidden/>
          </w:rPr>
          <w:tab/>
        </w:r>
        <w:r w:rsidR="00373358">
          <w:rPr>
            <w:webHidden/>
          </w:rPr>
          <w:fldChar w:fldCharType="begin"/>
        </w:r>
        <w:r w:rsidR="00373358">
          <w:rPr>
            <w:webHidden/>
          </w:rPr>
          <w:instrText xml:space="preserve"> PAGEREF _Toc148960808 \h </w:instrText>
        </w:r>
        <w:r w:rsidR="00373358">
          <w:rPr>
            <w:webHidden/>
          </w:rPr>
        </w:r>
        <w:r w:rsidR="00373358">
          <w:rPr>
            <w:webHidden/>
          </w:rPr>
          <w:fldChar w:fldCharType="separate"/>
        </w:r>
        <w:r w:rsidR="007B72E7">
          <w:rPr>
            <w:webHidden/>
          </w:rPr>
          <w:t>16-1</w:t>
        </w:r>
        <w:r w:rsidR="00373358">
          <w:rPr>
            <w:webHidden/>
          </w:rPr>
          <w:fldChar w:fldCharType="end"/>
        </w:r>
      </w:hyperlink>
    </w:p>
    <w:p w14:paraId="26D366E4" w14:textId="25B6C4D4" w:rsidR="00373358" w:rsidRPr="007B72E7" w:rsidRDefault="00A34A95" w:rsidP="00373358">
      <w:pPr>
        <w:pStyle w:val="TOC2"/>
        <w:rPr>
          <w:rFonts w:eastAsiaTheme="minorEastAsia"/>
        </w:rPr>
      </w:pPr>
      <w:hyperlink w:anchor="_Toc148960809" w:history="1">
        <w:r w:rsidR="00373358" w:rsidRPr="007B72E7">
          <w:rPr>
            <w:rStyle w:val="Hyperlink"/>
            <w:u w:val="none"/>
          </w:rPr>
          <w:t>16.1</w:t>
        </w:r>
        <w:r w:rsidR="00373358" w:rsidRPr="007B72E7">
          <w:rPr>
            <w:rFonts w:eastAsiaTheme="minorEastAsia"/>
          </w:rPr>
          <w:tab/>
        </w:r>
        <w:r w:rsidR="00373358" w:rsidRPr="007B72E7">
          <w:rPr>
            <w:rStyle w:val="Hyperlink"/>
            <w:u w:val="none"/>
          </w:rPr>
          <w:t>Registration and Execution of Agreements</w:t>
        </w:r>
        <w:r w:rsidR="00373358" w:rsidRPr="007B72E7">
          <w:rPr>
            <w:webHidden/>
          </w:rPr>
          <w:tab/>
        </w:r>
        <w:r w:rsidR="00373358" w:rsidRPr="007B72E7">
          <w:rPr>
            <w:webHidden/>
          </w:rPr>
          <w:fldChar w:fldCharType="begin"/>
        </w:r>
        <w:r w:rsidR="00373358" w:rsidRPr="007B72E7">
          <w:rPr>
            <w:webHidden/>
          </w:rPr>
          <w:instrText xml:space="preserve"> PAGEREF _Toc148960809 \h </w:instrText>
        </w:r>
        <w:r w:rsidR="00373358" w:rsidRPr="007B72E7">
          <w:rPr>
            <w:webHidden/>
          </w:rPr>
        </w:r>
        <w:r w:rsidR="00373358" w:rsidRPr="007B72E7">
          <w:rPr>
            <w:webHidden/>
          </w:rPr>
          <w:fldChar w:fldCharType="separate"/>
        </w:r>
        <w:r w:rsidR="007B72E7" w:rsidRPr="007B72E7">
          <w:rPr>
            <w:webHidden/>
          </w:rPr>
          <w:t>16-1</w:t>
        </w:r>
        <w:r w:rsidR="00373358" w:rsidRPr="007B72E7">
          <w:rPr>
            <w:webHidden/>
          </w:rPr>
          <w:fldChar w:fldCharType="end"/>
        </w:r>
      </w:hyperlink>
    </w:p>
    <w:p w14:paraId="171EEE8E" w14:textId="14656000" w:rsidR="00373358" w:rsidRPr="007B72E7" w:rsidRDefault="00A34A95" w:rsidP="00461B44">
      <w:pPr>
        <w:pStyle w:val="TOC3"/>
        <w:rPr>
          <w:rFonts w:eastAsiaTheme="minorEastAsia"/>
          <w:i w:val="0"/>
          <w:iCs w:val="0"/>
          <w:noProof/>
        </w:rPr>
      </w:pPr>
      <w:hyperlink w:anchor="_Toc148960810" w:history="1">
        <w:r w:rsidR="00373358" w:rsidRPr="007B72E7">
          <w:rPr>
            <w:rStyle w:val="Hyperlink"/>
            <w:i w:val="0"/>
            <w:iCs w:val="0"/>
            <w:noProof/>
            <w:u w:val="none"/>
          </w:rPr>
          <w:t>16.1.1</w:t>
        </w:r>
        <w:r w:rsidR="00373358" w:rsidRPr="007B72E7">
          <w:rPr>
            <w:rFonts w:eastAsiaTheme="minorEastAsia"/>
            <w:i w:val="0"/>
            <w:iCs w:val="0"/>
            <w:noProof/>
          </w:rPr>
          <w:tab/>
        </w:r>
        <w:r w:rsidR="00373358" w:rsidRPr="007B72E7">
          <w:rPr>
            <w:rStyle w:val="Hyperlink"/>
            <w:i w:val="0"/>
            <w:iCs w:val="0"/>
            <w:noProof/>
            <w:u w:val="none"/>
          </w:rPr>
          <w:t>Re-Registration as a Market Participant</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_Toc148960810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16-1</w:t>
        </w:r>
        <w:r w:rsidR="00373358" w:rsidRPr="007B72E7">
          <w:rPr>
            <w:i w:val="0"/>
            <w:iCs w:val="0"/>
            <w:noProof/>
            <w:webHidden/>
          </w:rPr>
          <w:fldChar w:fldCharType="end"/>
        </w:r>
      </w:hyperlink>
    </w:p>
    <w:p w14:paraId="18B27A21" w14:textId="4A5FE349" w:rsidR="00373358" w:rsidRPr="007B72E7" w:rsidRDefault="00A34A95" w:rsidP="00461B44">
      <w:pPr>
        <w:pStyle w:val="TOC3"/>
        <w:rPr>
          <w:rFonts w:eastAsiaTheme="minorEastAsia"/>
          <w:i w:val="0"/>
          <w:iCs w:val="0"/>
          <w:noProof/>
        </w:rPr>
      </w:pPr>
      <w:hyperlink w:anchor="_Toc148960811" w:history="1">
        <w:r w:rsidR="00373358" w:rsidRPr="007B72E7">
          <w:rPr>
            <w:rStyle w:val="Hyperlink"/>
            <w:i w:val="0"/>
            <w:iCs w:val="0"/>
            <w:noProof/>
            <w:u w:val="none"/>
          </w:rPr>
          <w:t>16.1.2</w:t>
        </w:r>
        <w:r w:rsidR="00373358" w:rsidRPr="007B72E7">
          <w:rPr>
            <w:rFonts w:eastAsiaTheme="minorEastAsia"/>
            <w:i w:val="0"/>
            <w:iCs w:val="0"/>
            <w:noProof/>
          </w:rPr>
          <w:tab/>
        </w:r>
        <w:r w:rsidR="00373358" w:rsidRPr="007B72E7">
          <w:rPr>
            <w:rStyle w:val="Hyperlink"/>
            <w:i w:val="0"/>
            <w:iCs w:val="0"/>
            <w:noProof/>
            <w:u w:val="none"/>
          </w:rPr>
          <w:t>Principal of a Market Participant</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_Toc148960811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16-2</w:t>
        </w:r>
        <w:r w:rsidR="00373358" w:rsidRPr="007B72E7">
          <w:rPr>
            <w:i w:val="0"/>
            <w:iCs w:val="0"/>
            <w:noProof/>
            <w:webHidden/>
          </w:rPr>
          <w:fldChar w:fldCharType="end"/>
        </w:r>
      </w:hyperlink>
    </w:p>
    <w:p w14:paraId="120414D7" w14:textId="41DB39F5" w:rsidR="00373358" w:rsidRPr="007B72E7" w:rsidRDefault="00A34A95" w:rsidP="00461B44">
      <w:pPr>
        <w:pStyle w:val="TOC3"/>
        <w:rPr>
          <w:rFonts w:eastAsiaTheme="minorEastAsia"/>
          <w:i w:val="0"/>
          <w:iCs w:val="0"/>
          <w:noProof/>
        </w:rPr>
      </w:pPr>
      <w:hyperlink w:anchor="_Toc148960812" w:history="1">
        <w:r w:rsidR="00373358" w:rsidRPr="007B72E7">
          <w:rPr>
            <w:rStyle w:val="Hyperlink"/>
            <w:i w:val="0"/>
            <w:iCs w:val="0"/>
            <w:noProof/>
            <w:u w:val="none"/>
          </w:rPr>
          <w:t>16.1.3</w:t>
        </w:r>
        <w:r w:rsidR="00373358" w:rsidRPr="007B72E7">
          <w:rPr>
            <w:rFonts w:eastAsiaTheme="minorEastAsia"/>
            <w:i w:val="0"/>
            <w:iCs w:val="0"/>
            <w:noProof/>
          </w:rPr>
          <w:tab/>
        </w:r>
        <w:r w:rsidR="00373358" w:rsidRPr="007B72E7">
          <w:rPr>
            <w:rStyle w:val="Hyperlink"/>
            <w:i w:val="0"/>
            <w:iCs w:val="0"/>
            <w:noProof/>
            <w:u w:val="none"/>
          </w:rPr>
          <w:t>Market Participant Citizenship, Ownership, or Headquarters</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_Toc148960812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16-2</w:t>
        </w:r>
        <w:r w:rsidR="00373358" w:rsidRPr="007B72E7">
          <w:rPr>
            <w:i w:val="0"/>
            <w:iCs w:val="0"/>
            <w:noProof/>
            <w:webHidden/>
          </w:rPr>
          <w:fldChar w:fldCharType="end"/>
        </w:r>
      </w:hyperlink>
    </w:p>
    <w:p w14:paraId="41A02F35" w14:textId="4A8BA34A" w:rsidR="00373358" w:rsidRPr="007B72E7" w:rsidRDefault="00A34A95" w:rsidP="00373358">
      <w:pPr>
        <w:pStyle w:val="TOC2"/>
        <w:rPr>
          <w:rFonts w:eastAsiaTheme="minorEastAsia"/>
        </w:rPr>
      </w:pPr>
      <w:hyperlink w:anchor="_Toc148960813" w:history="1">
        <w:r w:rsidR="00373358" w:rsidRPr="007B72E7">
          <w:rPr>
            <w:rStyle w:val="Hyperlink"/>
            <w:u w:val="none"/>
          </w:rPr>
          <w:t>16.2</w:t>
        </w:r>
        <w:r w:rsidR="00373358" w:rsidRPr="007B72E7">
          <w:rPr>
            <w:rFonts w:eastAsiaTheme="minorEastAsia"/>
          </w:rPr>
          <w:tab/>
        </w:r>
        <w:r w:rsidR="00373358" w:rsidRPr="007B72E7">
          <w:rPr>
            <w:rStyle w:val="Hyperlink"/>
            <w:u w:val="none"/>
          </w:rPr>
          <w:t>Registration and Qualification of Qualified Scheduling Entities</w:t>
        </w:r>
        <w:r w:rsidR="00373358" w:rsidRPr="007B72E7">
          <w:rPr>
            <w:webHidden/>
          </w:rPr>
          <w:tab/>
        </w:r>
        <w:r w:rsidR="00373358" w:rsidRPr="007B72E7">
          <w:rPr>
            <w:webHidden/>
          </w:rPr>
          <w:fldChar w:fldCharType="begin"/>
        </w:r>
        <w:r w:rsidR="00373358" w:rsidRPr="007B72E7">
          <w:rPr>
            <w:webHidden/>
          </w:rPr>
          <w:instrText xml:space="preserve"> PAGEREF _Toc148960813 \h </w:instrText>
        </w:r>
        <w:r w:rsidR="00373358" w:rsidRPr="007B72E7">
          <w:rPr>
            <w:webHidden/>
          </w:rPr>
        </w:r>
        <w:r w:rsidR="00373358" w:rsidRPr="007B72E7">
          <w:rPr>
            <w:webHidden/>
          </w:rPr>
          <w:fldChar w:fldCharType="separate"/>
        </w:r>
        <w:r w:rsidR="007B72E7" w:rsidRPr="007B72E7">
          <w:rPr>
            <w:webHidden/>
          </w:rPr>
          <w:t>16-3</w:t>
        </w:r>
        <w:r w:rsidR="00373358" w:rsidRPr="007B72E7">
          <w:rPr>
            <w:webHidden/>
          </w:rPr>
          <w:fldChar w:fldCharType="end"/>
        </w:r>
      </w:hyperlink>
    </w:p>
    <w:p w14:paraId="393FD973" w14:textId="30803C6D" w:rsidR="00373358" w:rsidRPr="007B72E7" w:rsidRDefault="00A34A95" w:rsidP="00461B44">
      <w:pPr>
        <w:pStyle w:val="TOC3"/>
        <w:rPr>
          <w:rFonts w:eastAsiaTheme="minorEastAsia"/>
          <w:i w:val="0"/>
          <w:iCs w:val="0"/>
          <w:noProof/>
        </w:rPr>
      </w:pPr>
      <w:hyperlink w:anchor="_Toc148960814" w:history="1">
        <w:r w:rsidR="00373358" w:rsidRPr="007B72E7">
          <w:rPr>
            <w:rStyle w:val="Hyperlink"/>
            <w:i w:val="0"/>
            <w:iCs w:val="0"/>
            <w:noProof/>
            <w:u w:val="none"/>
          </w:rPr>
          <w:t>16.2.1</w:t>
        </w:r>
        <w:r w:rsidR="00373358" w:rsidRPr="007B72E7">
          <w:rPr>
            <w:rFonts w:eastAsiaTheme="minorEastAsia"/>
            <w:i w:val="0"/>
            <w:iCs w:val="0"/>
            <w:noProof/>
          </w:rPr>
          <w:tab/>
        </w:r>
        <w:r w:rsidR="00373358" w:rsidRPr="007B72E7">
          <w:rPr>
            <w:rStyle w:val="Hyperlink"/>
            <w:i w:val="0"/>
            <w:iCs w:val="0"/>
            <w:noProof/>
            <w:u w:val="none"/>
          </w:rPr>
          <w:t>Criteria for Qualification as a Qualified Scheduling Entity</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_Toc148960814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16-5</w:t>
        </w:r>
        <w:r w:rsidR="00373358" w:rsidRPr="007B72E7">
          <w:rPr>
            <w:i w:val="0"/>
            <w:iCs w:val="0"/>
            <w:noProof/>
            <w:webHidden/>
          </w:rPr>
          <w:fldChar w:fldCharType="end"/>
        </w:r>
      </w:hyperlink>
    </w:p>
    <w:p w14:paraId="6185D868" w14:textId="61DF97CF" w:rsidR="00373358" w:rsidRPr="007B72E7" w:rsidRDefault="00A34A95">
      <w:pPr>
        <w:pStyle w:val="TOC4"/>
        <w:rPr>
          <w:rFonts w:eastAsiaTheme="minorEastAsia"/>
          <w:sz w:val="20"/>
          <w:szCs w:val="20"/>
        </w:rPr>
      </w:pPr>
      <w:hyperlink w:anchor="_Toc148960815" w:history="1">
        <w:r w:rsidR="00373358" w:rsidRPr="007B72E7">
          <w:rPr>
            <w:rStyle w:val="Hyperlink"/>
            <w:sz w:val="20"/>
            <w:szCs w:val="20"/>
            <w:u w:val="none"/>
          </w:rPr>
          <w:t>16.2.1.1</w:t>
        </w:r>
        <w:r w:rsidR="00373358" w:rsidRPr="007B72E7">
          <w:rPr>
            <w:rFonts w:eastAsiaTheme="minorEastAsia"/>
            <w:sz w:val="20"/>
            <w:szCs w:val="20"/>
          </w:rPr>
          <w:tab/>
        </w:r>
        <w:r w:rsidR="00373358" w:rsidRPr="007B72E7">
          <w:rPr>
            <w:rStyle w:val="Hyperlink"/>
            <w:sz w:val="20"/>
            <w:szCs w:val="20"/>
            <w:u w:val="none"/>
          </w:rPr>
          <w:t>QSE Background Check Process</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_Toc148960815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16-8</w:t>
        </w:r>
        <w:r w:rsidR="00373358" w:rsidRPr="007B72E7">
          <w:rPr>
            <w:webHidden/>
            <w:sz w:val="20"/>
            <w:szCs w:val="20"/>
          </w:rPr>
          <w:fldChar w:fldCharType="end"/>
        </w:r>
      </w:hyperlink>
    </w:p>
    <w:p w14:paraId="66CC007F" w14:textId="08532285" w:rsidR="00373358" w:rsidRPr="007B72E7" w:rsidRDefault="00A34A95">
      <w:pPr>
        <w:pStyle w:val="TOC4"/>
        <w:rPr>
          <w:rFonts w:eastAsiaTheme="minorEastAsia"/>
          <w:sz w:val="20"/>
          <w:szCs w:val="20"/>
        </w:rPr>
      </w:pPr>
      <w:hyperlink w:anchor="_Toc148960816" w:history="1">
        <w:r w:rsidR="00373358" w:rsidRPr="007B72E7">
          <w:rPr>
            <w:rStyle w:val="Hyperlink"/>
            <w:sz w:val="20"/>
            <w:szCs w:val="20"/>
            <w:u w:val="none"/>
          </w:rPr>
          <w:t>16.2.1.2</w:t>
        </w:r>
        <w:r w:rsidR="00373358" w:rsidRPr="007B72E7">
          <w:rPr>
            <w:rFonts w:eastAsiaTheme="minorEastAsia"/>
            <w:sz w:val="20"/>
            <w:szCs w:val="20"/>
          </w:rPr>
          <w:tab/>
        </w:r>
        <w:r w:rsidR="00373358" w:rsidRPr="007B72E7">
          <w:rPr>
            <w:rStyle w:val="Hyperlink"/>
            <w:sz w:val="20"/>
            <w:szCs w:val="20"/>
            <w:u w:val="none"/>
          </w:rPr>
          <w:t>Data Agent-Only Qualified Scheduling Entities</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_Toc148960816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16-9</w:t>
        </w:r>
        <w:r w:rsidR="00373358" w:rsidRPr="007B72E7">
          <w:rPr>
            <w:webHidden/>
            <w:sz w:val="20"/>
            <w:szCs w:val="20"/>
          </w:rPr>
          <w:fldChar w:fldCharType="end"/>
        </w:r>
      </w:hyperlink>
    </w:p>
    <w:p w14:paraId="3B3BE57F" w14:textId="2D54E5FA" w:rsidR="00373358" w:rsidRPr="007B72E7" w:rsidRDefault="00A34A95" w:rsidP="00461B44">
      <w:pPr>
        <w:pStyle w:val="TOC3"/>
        <w:rPr>
          <w:rFonts w:eastAsiaTheme="minorEastAsia"/>
          <w:i w:val="0"/>
          <w:iCs w:val="0"/>
          <w:noProof/>
        </w:rPr>
      </w:pPr>
      <w:hyperlink w:anchor="_Toc148960817" w:history="1">
        <w:r w:rsidR="00373358" w:rsidRPr="007B72E7">
          <w:rPr>
            <w:rStyle w:val="Hyperlink"/>
            <w:i w:val="0"/>
            <w:iCs w:val="0"/>
            <w:noProof/>
            <w:u w:val="none"/>
          </w:rPr>
          <w:t>16.2.2</w:t>
        </w:r>
        <w:r w:rsidR="00373358" w:rsidRPr="007B72E7">
          <w:rPr>
            <w:rFonts w:eastAsiaTheme="minorEastAsia"/>
            <w:i w:val="0"/>
            <w:iCs w:val="0"/>
            <w:noProof/>
          </w:rPr>
          <w:tab/>
        </w:r>
        <w:r w:rsidR="00373358" w:rsidRPr="007B72E7">
          <w:rPr>
            <w:rStyle w:val="Hyperlink"/>
            <w:i w:val="0"/>
            <w:iCs w:val="0"/>
            <w:noProof/>
            <w:u w:val="none"/>
          </w:rPr>
          <w:t>QSE Application Process</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_Toc148960817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16-10</w:t>
        </w:r>
        <w:r w:rsidR="00373358" w:rsidRPr="007B72E7">
          <w:rPr>
            <w:i w:val="0"/>
            <w:iCs w:val="0"/>
            <w:noProof/>
            <w:webHidden/>
          </w:rPr>
          <w:fldChar w:fldCharType="end"/>
        </w:r>
      </w:hyperlink>
    </w:p>
    <w:p w14:paraId="03E01F6B" w14:textId="2276F11A" w:rsidR="00373358" w:rsidRPr="007B72E7" w:rsidRDefault="00A34A95">
      <w:pPr>
        <w:pStyle w:val="TOC4"/>
        <w:rPr>
          <w:rFonts w:eastAsiaTheme="minorEastAsia"/>
          <w:sz w:val="20"/>
          <w:szCs w:val="20"/>
        </w:rPr>
      </w:pPr>
      <w:hyperlink w:anchor="_Toc148960818" w:history="1">
        <w:r w:rsidR="00373358" w:rsidRPr="007B72E7">
          <w:rPr>
            <w:rStyle w:val="Hyperlink"/>
            <w:sz w:val="20"/>
            <w:szCs w:val="20"/>
            <w:u w:val="none"/>
          </w:rPr>
          <w:t>16.2.2.1</w:t>
        </w:r>
        <w:r w:rsidR="00373358" w:rsidRPr="007B72E7">
          <w:rPr>
            <w:rFonts w:eastAsiaTheme="minorEastAsia"/>
            <w:sz w:val="20"/>
            <w:szCs w:val="20"/>
          </w:rPr>
          <w:tab/>
        </w:r>
        <w:r w:rsidR="00373358" w:rsidRPr="007B72E7">
          <w:rPr>
            <w:rStyle w:val="Hyperlink"/>
            <w:sz w:val="20"/>
            <w:szCs w:val="20"/>
            <w:u w:val="none"/>
          </w:rPr>
          <w:t>Notice of Receipt of Qualified Scheduling Entity Application</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_Toc148960818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16-10</w:t>
        </w:r>
        <w:r w:rsidR="00373358" w:rsidRPr="007B72E7">
          <w:rPr>
            <w:webHidden/>
            <w:sz w:val="20"/>
            <w:szCs w:val="20"/>
          </w:rPr>
          <w:fldChar w:fldCharType="end"/>
        </w:r>
      </w:hyperlink>
    </w:p>
    <w:p w14:paraId="4821FD06" w14:textId="3A4F1392" w:rsidR="00373358" w:rsidRPr="007B72E7" w:rsidRDefault="00A34A95">
      <w:pPr>
        <w:pStyle w:val="TOC4"/>
        <w:rPr>
          <w:rFonts w:eastAsiaTheme="minorEastAsia"/>
          <w:sz w:val="20"/>
          <w:szCs w:val="20"/>
        </w:rPr>
      </w:pPr>
      <w:hyperlink w:anchor="_Toc148960819" w:history="1">
        <w:r w:rsidR="00373358" w:rsidRPr="007B72E7">
          <w:rPr>
            <w:rStyle w:val="Hyperlink"/>
            <w:sz w:val="20"/>
            <w:szCs w:val="20"/>
            <w:u w:val="none"/>
          </w:rPr>
          <w:t>16.2.2.2</w:t>
        </w:r>
        <w:r w:rsidR="00373358" w:rsidRPr="007B72E7">
          <w:rPr>
            <w:rFonts w:eastAsiaTheme="minorEastAsia"/>
            <w:sz w:val="20"/>
            <w:szCs w:val="20"/>
          </w:rPr>
          <w:tab/>
        </w:r>
        <w:r w:rsidR="00373358" w:rsidRPr="007B72E7">
          <w:rPr>
            <w:rStyle w:val="Hyperlink"/>
            <w:sz w:val="20"/>
            <w:szCs w:val="20"/>
            <w:u w:val="none"/>
          </w:rPr>
          <w:t>Incomplete QSE Applications</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_Toc148960819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16-11</w:t>
        </w:r>
        <w:r w:rsidR="00373358" w:rsidRPr="007B72E7">
          <w:rPr>
            <w:webHidden/>
            <w:sz w:val="20"/>
            <w:szCs w:val="20"/>
          </w:rPr>
          <w:fldChar w:fldCharType="end"/>
        </w:r>
      </w:hyperlink>
    </w:p>
    <w:p w14:paraId="5AF4AF03" w14:textId="6298EDD7" w:rsidR="00373358" w:rsidRPr="007B72E7" w:rsidRDefault="00A34A95">
      <w:pPr>
        <w:pStyle w:val="TOC4"/>
        <w:rPr>
          <w:rFonts w:eastAsiaTheme="minorEastAsia"/>
          <w:sz w:val="20"/>
          <w:szCs w:val="20"/>
        </w:rPr>
      </w:pPr>
      <w:hyperlink w:anchor="_Toc148960820" w:history="1">
        <w:r w:rsidR="00373358" w:rsidRPr="007B72E7">
          <w:rPr>
            <w:rStyle w:val="Hyperlink"/>
            <w:sz w:val="20"/>
            <w:szCs w:val="20"/>
            <w:u w:val="none"/>
          </w:rPr>
          <w:t>16.2.2.3</w:t>
        </w:r>
        <w:r w:rsidR="00373358" w:rsidRPr="007B72E7">
          <w:rPr>
            <w:rFonts w:eastAsiaTheme="minorEastAsia"/>
            <w:sz w:val="20"/>
            <w:szCs w:val="20"/>
          </w:rPr>
          <w:tab/>
        </w:r>
        <w:r w:rsidR="00373358" w:rsidRPr="007B72E7">
          <w:rPr>
            <w:rStyle w:val="Hyperlink"/>
            <w:sz w:val="20"/>
            <w:szCs w:val="20"/>
            <w:u w:val="none"/>
          </w:rPr>
          <w:t>ERCOT Approval or Rejection of Qualified Scheduling Entity Application</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_Toc148960820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16-11</w:t>
        </w:r>
        <w:r w:rsidR="00373358" w:rsidRPr="007B72E7">
          <w:rPr>
            <w:webHidden/>
            <w:sz w:val="20"/>
            <w:szCs w:val="20"/>
          </w:rPr>
          <w:fldChar w:fldCharType="end"/>
        </w:r>
      </w:hyperlink>
    </w:p>
    <w:p w14:paraId="77EAEC24" w14:textId="22EAB513" w:rsidR="00373358" w:rsidRPr="007B72E7" w:rsidRDefault="00A34A95" w:rsidP="00461B44">
      <w:pPr>
        <w:pStyle w:val="TOC3"/>
        <w:rPr>
          <w:rFonts w:eastAsiaTheme="minorEastAsia"/>
          <w:i w:val="0"/>
          <w:iCs w:val="0"/>
          <w:noProof/>
        </w:rPr>
      </w:pPr>
      <w:hyperlink w:anchor="_Toc148960821" w:history="1">
        <w:r w:rsidR="00373358" w:rsidRPr="007B72E7">
          <w:rPr>
            <w:rStyle w:val="Hyperlink"/>
            <w:i w:val="0"/>
            <w:iCs w:val="0"/>
            <w:noProof/>
            <w:u w:val="none"/>
          </w:rPr>
          <w:t>16.2.3</w:t>
        </w:r>
        <w:r w:rsidR="00373358" w:rsidRPr="007B72E7">
          <w:rPr>
            <w:rFonts w:eastAsiaTheme="minorEastAsia"/>
            <w:i w:val="0"/>
            <w:iCs w:val="0"/>
            <w:noProof/>
          </w:rPr>
          <w:tab/>
        </w:r>
        <w:r w:rsidR="00373358" w:rsidRPr="007B72E7">
          <w:rPr>
            <w:rStyle w:val="Hyperlink"/>
            <w:i w:val="0"/>
            <w:iCs w:val="0"/>
            <w:noProof/>
            <w:u w:val="none"/>
          </w:rPr>
          <w:t>Remaining Steps for Qualified Scheduling Entity Registration</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_Toc148960821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16-12</w:t>
        </w:r>
        <w:r w:rsidR="00373358" w:rsidRPr="007B72E7">
          <w:rPr>
            <w:i w:val="0"/>
            <w:iCs w:val="0"/>
            <w:noProof/>
            <w:webHidden/>
          </w:rPr>
          <w:fldChar w:fldCharType="end"/>
        </w:r>
      </w:hyperlink>
    </w:p>
    <w:p w14:paraId="0A720A0E" w14:textId="722356CF" w:rsidR="00373358" w:rsidRPr="007B72E7" w:rsidRDefault="00A34A95">
      <w:pPr>
        <w:pStyle w:val="TOC4"/>
        <w:rPr>
          <w:rFonts w:eastAsiaTheme="minorEastAsia"/>
          <w:sz w:val="20"/>
          <w:szCs w:val="20"/>
        </w:rPr>
      </w:pPr>
      <w:hyperlink w:anchor="_Toc148960822" w:history="1">
        <w:r w:rsidR="00373358" w:rsidRPr="007B72E7">
          <w:rPr>
            <w:rStyle w:val="Hyperlink"/>
            <w:sz w:val="20"/>
            <w:szCs w:val="20"/>
            <w:u w:val="none"/>
          </w:rPr>
          <w:t>16.2.3.1</w:t>
        </w:r>
        <w:r w:rsidR="00373358" w:rsidRPr="007B72E7">
          <w:rPr>
            <w:rFonts w:eastAsiaTheme="minorEastAsia"/>
            <w:sz w:val="20"/>
            <w:szCs w:val="20"/>
          </w:rPr>
          <w:tab/>
        </w:r>
        <w:r w:rsidR="00373358" w:rsidRPr="007B72E7">
          <w:rPr>
            <w:rStyle w:val="Hyperlink"/>
            <w:sz w:val="20"/>
            <w:szCs w:val="20"/>
            <w:u w:val="none"/>
          </w:rPr>
          <w:t>Process to Gain Approval to Follow DSR Load</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_Toc148960822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16-13</w:t>
        </w:r>
        <w:r w:rsidR="00373358" w:rsidRPr="007B72E7">
          <w:rPr>
            <w:webHidden/>
            <w:sz w:val="20"/>
            <w:szCs w:val="20"/>
          </w:rPr>
          <w:fldChar w:fldCharType="end"/>
        </w:r>
      </w:hyperlink>
    </w:p>
    <w:p w14:paraId="53F880FE" w14:textId="3AD79BE8" w:rsidR="00373358" w:rsidRPr="007B72E7" w:rsidRDefault="00A34A95">
      <w:pPr>
        <w:pStyle w:val="TOC4"/>
        <w:rPr>
          <w:rFonts w:eastAsiaTheme="minorEastAsia"/>
          <w:sz w:val="20"/>
          <w:szCs w:val="20"/>
        </w:rPr>
      </w:pPr>
      <w:hyperlink w:anchor="_Toc148960823" w:history="1">
        <w:r w:rsidR="00373358" w:rsidRPr="007B72E7">
          <w:rPr>
            <w:rStyle w:val="Hyperlink"/>
            <w:sz w:val="20"/>
            <w:szCs w:val="20"/>
            <w:u w:val="none"/>
          </w:rPr>
          <w:t>16.2.3.2</w:t>
        </w:r>
        <w:r w:rsidR="00373358" w:rsidRPr="007B72E7">
          <w:rPr>
            <w:rFonts w:eastAsiaTheme="minorEastAsia"/>
            <w:sz w:val="20"/>
            <w:szCs w:val="20"/>
          </w:rPr>
          <w:tab/>
        </w:r>
        <w:r w:rsidR="00373358" w:rsidRPr="007B72E7">
          <w:rPr>
            <w:rStyle w:val="Hyperlink"/>
            <w:sz w:val="20"/>
            <w:szCs w:val="20"/>
            <w:u w:val="none"/>
          </w:rPr>
          <w:t>Maintaining and Updating QSE Information</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_Toc148960823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16-13</w:t>
        </w:r>
        <w:r w:rsidR="00373358" w:rsidRPr="007B72E7">
          <w:rPr>
            <w:webHidden/>
            <w:sz w:val="20"/>
            <w:szCs w:val="20"/>
          </w:rPr>
          <w:fldChar w:fldCharType="end"/>
        </w:r>
      </w:hyperlink>
    </w:p>
    <w:p w14:paraId="7F797C2B" w14:textId="24D466CB" w:rsidR="00373358" w:rsidRPr="007B72E7" w:rsidRDefault="00A34A95">
      <w:pPr>
        <w:pStyle w:val="TOC4"/>
        <w:rPr>
          <w:rFonts w:eastAsiaTheme="minorEastAsia"/>
          <w:sz w:val="20"/>
          <w:szCs w:val="20"/>
        </w:rPr>
      </w:pPr>
      <w:hyperlink w:anchor="_Toc148960824" w:history="1">
        <w:r w:rsidR="00373358" w:rsidRPr="007B72E7">
          <w:rPr>
            <w:rStyle w:val="Hyperlink"/>
            <w:sz w:val="20"/>
            <w:szCs w:val="20"/>
            <w:u w:val="none"/>
          </w:rPr>
          <w:t>16.2.3.3</w:t>
        </w:r>
        <w:r w:rsidR="00373358" w:rsidRPr="007B72E7">
          <w:rPr>
            <w:rFonts w:eastAsiaTheme="minorEastAsia"/>
            <w:sz w:val="20"/>
            <w:szCs w:val="20"/>
          </w:rPr>
          <w:tab/>
        </w:r>
        <w:r w:rsidR="00373358" w:rsidRPr="007B72E7">
          <w:rPr>
            <w:rStyle w:val="Hyperlink"/>
            <w:sz w:val="20"/>
            <w:szCs w:val="20"/>
            <w:u w:val="none"/>
          </w:rPr>
          <w:t>Qualified Scheduling Entity Service Termination</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_Toc148960824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16-13</w:t>
        </w:r>
        <w:r w:rsidR="00373358" w:rsidRPr="007B72E7">
          <w:rPr>
            <w:webHidden/>
            <w:sz w:val="20"/>
            <w:szCs w:val="20"/>
          </w:rPr>
          <w:fldChar w:fldCharType="end"/>
        </w:r>
      </w:hyperlink>
    </w:p>
    <w:p w14:paraId="729D6D09" w14:textId="7AB428FE" w:rsidR="00373358" w:rsidRPr="007B72E7" w:rsidRDefault="00A34A95" w:rsidP="00461B44">
      <w:pPr>
        <w:pStyle w:val="TOC3"/>
        <w:rPr>
          <w:rFonts w:eastAsiaTheme="minorEastAsia"/>
          <w:i w:val="0"/>
          <w:iCs w:val="0"/>
          <w:noProof/>
        </w:rPr>
      </w:pPr>
      <w:hyperlink w:anchor="_Toc148960825" w:history="1">
        <w:r w:rsidR="00373358" w:rsidRPr="007B72E7">
          <w:rPr>
            <w:rStyle w:val="Hyperlink"/>
            <w:i w:val="0"/>
            <w:iCs w:val="0"/>
            <w:noProof/>
            <w:u w:val="none"/>
          </w:rPr>
          <w:t>16.2.4</w:t>
        </w:r>
        <w:r w:rsidR="00373358" w:rsidRPr="007B72E7">
          <w:rPr>
            <w:rFonts w:eastAsiaTheme="minorEastAsia"/>
            <w:i w:val="0"/>
            <w:iCs w:val="0"/>
            <w:noProof/>
          </w:rPr>
          <w:tab/>
        </w:r>
        <w:r w:rsidR="00373358" w:rsidRPr="007B72E7">
          <w:rPr>
            <w:rStyle w:val="Hyperlink"/>
            <w:i w:val="0"/>
            <w:iCs w:val="0"/>
            <w:noProof/>
            <w:u w:val="none"/>
          </w:rPr>
          <w:t>Posting of Qualified Scheduling Entity List</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_Toc148960825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16-14</w:t>
        </w:r>
        <w:r w:rsidR="00373358" w:rsidRPr="007B72E7">
          <w:rPr>
            <w:i w:val="0"/>
            <w:iCs w:val="0"/>
            <w:noProof/>
            <w:webHidden/>
          </w:rPr>
          <w:fldChar w:fldCharType="end"/>
        </w:r>
      </w:hyperlink>
    </w:p>
    <w:p w14:paraId="1C6CF65F" w14:textId="69314C76" w:rsidR="00373358" w:rsidRPr="007B72E7" w:rsidRDefault="00A34A95" w:rsidP="00461B44">
      <w:pPr>
        <w:pStyle w:val="TOC3"/>
        <w:rPr>
          <w:rFonts w:eastAsiaTheme="minorEastAsia"/>
          <w:i w:val="0"/>
          <w:iCs w:val="0"/>
          <w:noProof/>
        </w:rPr>
      </w:pPr>
      <w:hyperlink w:anchor="_Toc148960826" w:history="1">
        <w:r w:rsidR="00373358" w:rsidRPr="007B72E7">
          <w:rPr>
            <w:rStyle w:val="Hyperlink"/>
            <w:i w:val="0"/>
            <w:iCs w:val="0"/>
            <w:noProof/>
            <w:u w:val="none"/>
          </w:rPr>
          <w:t>16.2.5</w:t>
        </w:r>
        <w:r w:rsidR="00373358" w:rsidRPr="007B72E7">
          <w:rPr>
            <w:rFonts w:eastAsiaTheme="minorEastAsia"/>
            <w:i w:val="0"/>
            <w:iCs w:val="0"/>
            <w:noProof/>
          </w:rPr>
          <w:tab/>
        </w:r>
        <w:r w:rsidR="00373358" w:rsidRPr="007B72E7">
          <w:rPr>
            <w:rStyle w:val="Hyperlink"/>
            <w:i w:val="0"/>
            <w:iCs w:val="0"/>
            <w:noProof/>
            <w:u w:val="none"/>
          </w:rPr>
          <w:t>Suspended or Terminated Qualified Scheduling Entity – Notification to LSEs and Resource Entities Represented</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_Toc148960826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16-14</w:t>
        </w:r>
        <w:r w:rsidR="00373358" w:rsidRPr="007B72E7">
          <w:rPr>
            <w:i w:val="0"/>
            <w:iCs w:val="0"/>
            <w:noProof/>
            <w:webHidden/>
          </w:rPr>
          <w:fldChar w:fldCharType="end"/>
        </w:r>
      </w:hyperlink>
    </w:p>
    <w:p w14:paraId="1B3456FB" w14:textId="7216CFDA" w:rsidR="00373358" w:rsidRPr="007B72E7" w:rsidRDefault="00A34A95" w:rsidP="00461B44">
      <w:pPr>
        <w:pStyle w:val="TOC3"/>
        <w:rPr>
          <w:rFonts w:eastAsiaTheme="minorEastAsia"/>
          <w:i w:val="0"/>
          <w:iCs w:val="0"/>
          <w:noProof/>
        </w:rPr>
      </w:pPr>
      <w:hyperlink w:anchor="_Toc148960827" w:history="1">
        <w:r w:rsidR="00373358" w:rsidRPr="007B72E7">
          <w:rPr>
            <w:rStyle w:val="Hyperlink"/>
            <w:i w:val="0"/>
            <w:iCs w:val="0"/>
            <w:noProof/>
            <w:u w:val="none"/>
          </w:rPr>
          <w:t>16.2.6</w:t>
        </w:r>
        <w:r w:rsidR="00373358" w:rsidRPr="007B72E7">
          <w:rPr>
            <w:rFonts w:eastAsiaTheme="minorEastAsia"/>
            <w:i w:val="0"/>
            <w:iCs w:val="0"/>
            <w:noProof/>
          </w:rPr>
          <w:tab/>
        </w:r>
        <w:r w:rsidR="00373358" w:rsidRPr="007B72E7">
          <w:rPr>
            <w:rStyle w:val="Hyperlink"/>
            <w:i w:val="0"/>
            <w:iCs w:val="0"/>
            <w:noProof/>
            <w:u w:val="none"/>
          </w:rPr>
          <w:t>Emergency Qualified Scheduling Entity</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_Toc148960827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16-15</w:t>
        </w:r>
        <w:r w:rsidR="00373358" w:rsidRPr="007B72E7">
          <w:rPr>
            <w:i w:val="0"/>
            <w:iCs w:val="0"/>
            <w:noProof/>
            <w:webHidden/>
          </w:rPr>
          <w:fldChar w:fldCharType="end"/>
        </w:r>
      </w:hyperlink>
    </w:p>
    <w:p w14:paraId="41F9A510" w14:textId="2D76F506" w:rsidR="00373358" w:rsidRPr="007B72E7" w:rsidRDefault="00A34A95">
      <w:pPr>
        <w:pStyle w:val="TOC4"/>
        <w:rPr>
          <w:rFonts w:eastAsiaTheme="minorEastAsia"/>
          <w:sz w:val="20"/>
          <w:szCs w:val="20"/>
        </w:rPr>
      </w:pPr>
      <w:hyperlink w:anchor="_Toc148960828" w:history="1">
        <w:r w:rsidR="00373358" w:rsidRPr="007B72E7">
          <w:rPr>
            <w:rStyle w:val="Hyperlink"/>
            <w:sz w:val="20"/>
            <w:szCs w:val="20"/>
            <w:u w:val="none"/>
          </w:rPr>
          <w:t>16.2.6.1</w:t>
        </w:r>
        <w:r w:rsidR="00373358" w:rsidRPr="007B72E7">
          <w:rPr>
            <w:rFonts w:eastAsiaTheme="minorEastAsia"/>
            <w:sz w:val="20"/>
            <w:szCs w:val="20"/>
          </w:rPr>
          <w:tab/>
        </w:r>
        <w:r w:rsidR="00373358" w:rsidRPr="007B72E7">
          <w:rPr>
            <w:rStyle w:val="Hyperlink"/>
            <w:sz w:val="20"/>
            <w:szCs w:val="20"/>
            <w:u w:val="none"/>
          </w:rPr>
          <w:t>Designation as an Emergency Qualified Scheduling Entity or Virtual Qualified Scheduling Entity</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_Toc148960828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16-15</w:t>
        </w:r>
        <w:r w:rsidR="00373358" w:rsidRPr="007B72E7">
          <w:rPr>
            <w:webHidden/>
            <w:sz w:val="20"/>
            <w:szCs w:val="20"/>
          </w:rPr>
          <w:fldChar w:fldCharType="end"/>
        </w:r>
      </w:hyperlink>
    </w:p>
    <w:p w14:paraId="213E3466" w14:textId="3FB5DA10" w:rsidR="00373358" w:rsidRPr="007B72E7" w:rsidRDefault="00A34A95">
      <w:pPr>
        <w:pStyle w:val="TOC4"/>
        <w:rPr>
          <w:rFonts w:eastAsiaTheme="minorEastAsia"/>
          <w:sz w:val="20"/>
          <w:szCs w:val="20"/>
        </w:rPr>
      </w:pPr>
      <w:hyperlink w:anchor="_Toc148960829" w:history="1">
        <w:r w:rsidR="00373358" w:rsidRPr="007B72E7">
          <w:rPr>
            <w:rStyle w:val="Hyperlink"/>
            <w:sz w:val="20"/>
            <w:szCs w:val="20"/>
            <w:u w:val="none"/>
          </w:rPr>
          <w:t>16.2.6.2</w:t>
        </w:r>
        <w:r w:rsidR="00373358" w:rsidRPr="007B72E7">
          <w:rPr>
            <w:rFonts w:eastAsiaTheme="minorEastAsia"/>
            <w:sz w:val="20"/>
            <w:szCs w:val="20"/>
          </w:rPr>
          <w:tab/>
        </w:r>
        <w:r w:rsidR="00373358" w:rsidRPr="007B72E7">
          <w:rPr>
            <w:rStyle w:val="Hyperlink"/>
            <w:sz w:val="20"/>
            <w:szCs w:val="20"/>
            <w:u w:val="none"/>
          </w:rPr>
          <w:t>Market Participation by an Emergency Qualified Scheduling Entity or a Virtual Qualified Scheduling Entity</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_Toc148960829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16-16</w:t>
        </w:r>
        <w:r w:rsidR="00373358" w:rsidRPr="007B72E7">
          <w:rPr>
            <w:webHidden/>
            <w:sz w:val="20"/>
            <w:szCs w:val="20"/>
          </w:rPr>
          <w:fldChar w:fldCharType="end"/>
        </w:r>
      </w:hyperlink>
    </w:p>
    <w:p w14:paraId="6A6D01DF" w14:textId="53453180" w:rsidR="00373358" w:rsidRPr="007B72E7" w:rsidRDefault="00A34A95">
      <w:pPr>
        <w:pStyle w:val="TOC4"/>
        <w:rPr>
          <w:rFonts w:eastAsiaTheme="minorEastAsia"/>
          <w:sz w:val="20"/>
          <w:szCs w:val="20"/>
        </w:rPr>
      </w:pPr>
      <w:hyperlink w:anchor="_Toc148960830" w:history="1">
        <w:r w:rsidR="00373358" w:rsidRPr="007B72E7">
          <w:rPr>
            <w:rStyle w:val="Hyperlink"/>
            <w:sz w:val="20"/>
            <w:szCs w:val="20"/>
            <w:u w:val="none"/>
          </w:rPr>
          <w:t>16.2.6.3</w:t>
        </w:r>
        <w:r w:rsidR="00373358" w:rsidRPr="007B72E7">
          <w:rPr>
            <w:rFonts w:eastAsiaTheme="minorEastAsia"/>
            <w:sz w:val="20"/>
            <w:szCs w:val="20"/>
          </w:rPr>
          <w:tab/>
        </w:r>
        <w:r w:rsidR="00373358" w:rsidRPr="007B72E7">
          <w:rPr>
            <w:rStyle w:val="Hyperlink"/>
            <w:sz w:val="20"/>
            <w:szCs w:val="20"/>
            <w:u w:val="none"/>
          </w:rPr>
          <w:t>Requirement to Obtain New Qualified Scheduling Entity or Qualified Scheduling Entity Qualification</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_Toc148960830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16-16</w:t>
        </w:r>
        <w:r w:rsidR="00373358" w:rsidRPr="007B72E7">
          <w:rPr>
            <w:webHidden/>
            <w:sz w:val="20"/>
            <w:szCs w:val="20"/>
          </w:rPr>
          <w:fldChar w:fldCharType="end"/>
        </w:r>
      </w:hyperlink>
    </w:p>
    <w:p w14:paraId="72EDB986" w14:textId="06AD391B" w:rsidR="00373358" w:rsidRPr="007B72E7" w:rsidRDefault="00A34A95" w:rsidP="00461B44">
      <w:pPr>
        <w:pStyle w:val="TOC3"/>
        <w:rPr>
          <w:rFonts w:eastAsiaTheme="minorEastAsia"/>
          <w:i w:val="0"/>
          <w:iCs w:val="0"/>
          <w:noProof/>
        </w:rPr>
      </w:pPr>
      <w:hyperlink w:anchor="_Toc148960831" w:history="1">
        <w:r w:rsidR="00373358" w:rsidRPr="007B72E7">
          <w:rPr>
            <w:rStyle w:val="Hyperlink"/>
            <w:i w:val="0"/>
            <w:iCs w:val="0"/>
            <w:noProof/>
            <w:u w:val="none"/>
          </w:rPr>
          <w:t>16.2.7</w:t>
        </w:r>
        <w:r w:rsidR="00373358" w:rsidRPr="007B72E7">
          <w:rPr>
            <w:rFonts w:eastAsiaTheme="minorEastAsia"/>
            <w:i w:val="0"/>
            <w:iCs w:val="0"/>
            <w:noProof/>
          </w:rPr>
          <w:tab/>
        </w:r>
        <w:r w:rsidR="00373358" w:rsidRPr="007B72E7">
          <w:rPr>
            <w:rStyle w:val="Hyperlink"/>
            <w:i w:val="0"/>
            <w:iCs w:val="0"/>
            <w:noProof/>
            <w:u w:val="none"/>
          </w:rPr>
          <w:t>Acceleration</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_Toc148960831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16-17</w:t>
        </w:r>
        <w:r w:rsidR="00373358" w:rsidRPr="007B72E7">
          <w:rPr>
            <w:i w:val="0"/>
            <w:iCs w:val="0"/>
            <w:noProof/>
            <w:webHidden/>
          </w:rPr>
          <w:fldChar w:fldCharType="end"/>
        </w:r>
      </w:hyperlink>
    </w:p>
    <w:p w14:paraId="24F35101" w14:textId="61416A3E" w:rsidR="00373358" w:rsidRPr="007B72E7" w:rsidRDefault="00A34A95" w:rsidP="00373358">
      <w:pPr>
        <w:pStyle w:val="TOC2"/>
        <w:rPr>
          <w:rFonts w:eastAsiaTheme="minorEastAsia"/>
        </w:rPr>
      </w:pPr>
      <w:hyperlink w:anchor="_Toc148960832" w:history="1">
        <w:r w:rsidR="00373358" w:rsidRPr="007B72E7">
          <w:rPr>
            <w:rStyle w:val="Hyperlink"/>
            <w:u w:val="none"/>
          </w:rPr>
          <w:t>16.3</w:t>
        </w:r>
        <w:r w:rsidR="00373358" w:rsidRPr="007B72E7">
          <w:rPr>
            <w:rFonts w:eastAsiaTheme="minorEastAsia"/>
          </w:rPr>
          <w:tab/>
        </w:r>
        <w:r w:rsidR="00373358" w:rsidRPr="007B72E7">
          <w:rPr>
            <w:rStyle w:val="Hyperlink"/>
            <w:u w:val="none"/>
          </w:rPr>
          <w:t>Registration of Load Serving Entities</w:t>
        </w:r>
        <w:r w:rsidR="00373358" w:rsidRPr="007B72E7">
          <w:rPr>
            <w:webHidden/>
          </w:rPr>
          <w:tab/>
        </w:r>
        <w:r w:rsidR="00373358" w:rsidRPr="007B72E7">
          <w:rPr>
            <w:webHidden/>
          </w:rPr>
          <w:fldChar w:fldCharType="begin"/>
        </w:r>
        <w:r w:rsidR="00373358" w:rsidRPr="007B72E7">
          <w:rPr>
            <w:webHidden/>
          </w:rPr>
          <w:instrText xml:space="preserve"> PAGEREF _Toc148960832 \h </w:instrText>
        </w:r>
        <w:r w:rsidR="00373358" w:rsidRPr="007B72E7">
          <w:rPr>
            <w:webHidden/>
          </w:rPr>
        </w:r>
        <w:r w:rsidR="00373358" w:rsidRPr="007B72E7">
          <w:rPr>
            <w:webHidden/>
          </w:rPr>
          <w:fldChar w:fldCharType="separate"/>
        </w:r>
        <w:r w:rsidR="007B72E7" w:rsidRPr="007B72E7">
          <w:rPr>
            <w:webHidden/>
          </w:rPr>
          <w:t>16-17</w:t>
        </w:r>
        <w:r w:rsidR="00373358" w:rsidRPr="007B72E7">
          <w:rPr>
            <w:webHidden/>
          </w:rPr>
          <w:fldChar w:fldCharType="end"/>
        </w:r>
      </w:hyperlink>
    </w:p>
    <w:p w14:paraId="257748A4" w14:textId="013E4C03" w:rsidR="00373358" w:rsidRPr="007B72E7" w:rsidRDefault="00A34A95" w:rsidP="00461B44">
      <w:pPr>
        <w:pStyle w:val="TOC3"/>
        <w:rPr>
          <w:rFonts w:eastAsiaTheme="minorEastAsia"/>
          <w:i w:val="0"/>
          <w:iCs w:val="0"/>
          <w:noProof/>
        </w:rPr>
      </w:pPr>
      <w:hyperlink w:anchor="_Toc148960833" w:history="1">
        <w:r w:rsidR="00373358" w:rsidRPr="007B72E7">
          <w:rPr>
            <w:rStyle w:val="Hyperlink"/>
            <w:i w:val="0"/>
            <w:iCs w:val="0"/>
            <w:noProof/>
            <w:u w:val="none"/>
          </w:rPr>
          <w:t>16.3.1</w:t>
        </w:r>
        <w:r w:rsidR="00373358" w:rsidRPr="007B72E7">
          <w:rPr>
            <w:rFonts w:eastAsiaTheme="minorEastAsia"/>
            <w:i w:val="0"/>
            <w:iCs w:val="0"/>
            <w:noProof/>
          </w:rPr>
          <w:tab/>
        </w:r>
        <w:r w:rsidR="00373358" w:rsidRPr="007B72E7">
          <w:rPr>
            <w:rStyle w:val="Hyperlink"/>
            <w:i w:val="0"/>
            <w:iCs w:val="0"/>
            <w:noProof/>
            <w:u w:val="none"/>
          </w:rPr>
          <w:t>Technical and Managerial Requirements for LSE Applicants</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_Toc148960833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16-18</w:t>
        </w:r>
        <w:r w:rsidR="00373358" w:rsidRPr="007B72E7">
          <w:rPr>
            <w:i w:val="0"/>
            <w:iCs w:val="0"/>
            <w:noProof/>
            <w:webHidden/>
          </w:rPr>
          <w:fldChar w:fldCharType="end"/>
        </w:r>
      </w:hyperlink>
    </w:p>
    <w:p w14:paraId="6C2A74AC" w14:textId="09F88864" w:rsidR="00373358" w:rsidRPr="007B72E7" w:rsidRDefault="00A34A95">
      <w:pPr>
        <w:pStyle w:val="TOC4"/>
        <w:rPr>
          <w:rFonts w:eastAsiaTheme="minorEastAsia"/>
          <w:sz w:val="20"/>
          <w:szCs w:val="20"/>
        </w:rPr>
      </w:pPr>
      <w:hyperlink w:anchor="_Toc148960834" w:history="1">
        <w:r w:rsidR="00373358" w:rsidRPr="007B72E7">
          <w:rPr>
            <w:rStyle w:val="Hyperlink"/>
            <w:sz w:val="20"/>
            <w:szCs w:val="20"/>
            <w:u w:val="none"/>
          </w:rPr>
          <w:t>16.3.1.1</w:t>
        </w:r>
        <w:r w:rsidR="00373358" w:rsidRPr="007B72E7">
          <w:rPr>
            <w:rFonts w:eastAsiaTheme="minorEastAsia"/>
            <w:sz w:val="20"/>
            <w:szCs w:val="20"/>
          </w:rPr>
          <w:tab/>
        </w:r>
        <w:r w:rsidR="00373358" w:rsidRPr="007B72E7">
          <w:rPr>
            <w:rStyle w:val="Hyperlink"/>
            <w:sz w:val="20"/>
            <w:szCs w:val="20"/>
            <w:u w:val="none"/>
          </w:rPr>
          <w:t>Designation of a Qualified Scheduling Entity</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_Toc148960834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16-18</w:t>
        </w:r>
        <w:r w:rsidR="00373358" w:rsidRPr="007B72E7">
          <w:rPr>
            <w:webHidden/>
            <w:sz w:val="20"/>
            <w:szCs w:val="20"/>
          </w:rPr>
          <w:fldChar w:fldCharType="end"/>
        </w:r>
      </w:hyperlink>
    </w:p>
    <w:p w14:paraId="33CAD40F" w14:textId="038DAF9B" w:rsidR="00373358" w:rsidRPr="007B72E7" w:rsidRDefault="00A34A95" w:rsidP="00461B44">
      <w:pPr>
        <w:pStyle w:val="TOC3"/>
        <w:rPr>
          <w:rFonts w:eastAsiaTheme="minorEastAsia"/>
          <w:i w:val="0"/>
          <w:iCs w:val="0"/>
          <w:noProof/>
        </w:rPr>
      </w:pPr>
      <w:hyperlink w:anchor="_Toc148960835" w:history="1">
        <w:r w:rsidR="00373358" w:rsidRPr="007B72E7">
          <w:rPr>
            <w:rStyle w:val="Hyperlink"/>
            <w:i w:val="0"/>
            <w:iCs w:val="0"/>
            <w:noProof/>
            <w:u w:val="none"/>
          </w:rPr>
          <w:t>16.3.2</w:t>
        </w:r>
        <w:r w:rsidR="00373358" w:rsidRPr="007B72E7">
          <w:rPr>
            <w:rFonts w:eastAsiaTheme="minorEastAsia"/>
            <w:i w:val="0"/>
            <w:iCs w:val="0"/>
            <w:noProof/>
          </w:rPr>
          <w:tab/>
        </w:r>
        <w:r w:rsidR="00373358" w:rsidRPr="007B72E7">
          <w:rPr>
            <w:rStyle w:val="Hyperlink"/>
            <w:i w:val="0"/>
            <w:iCs w:val="0"/>
            <w:noProof/>
            <w:u w:val="none"/>
          </w:rPr>
          <w:t>Registration Process for Load Serving Entities</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_Toc148960835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16-19</w:t>
        </w:r>
        <w:r w:rsidR="00373358" w:rsidRPr="007B72E7">
          <w:rPr>
            <w:i w:val="0"/>
            <w:iCs w:val="0"/>
            <w:noProof/>
            <w:webHidden/>
          </w:rPr>
          <w:fldChar w:fldCharType="end"/>
        </w:r>
      </w:hyperlink>
    </w:p>
    <w:p w14:paraId="07361ABF" w14:textId="0774AE21" w:rsidR="00373358" w:rsidRPr="007B72E7" w:rsidRDefault="00A34A95">
      <w:pPr>
        <w:pStyle w:val="TOC4"/>
        <w:rPr>
          <w:rFonts w:eastAsiaTheme="minorEastAsia"/>
          <w:sz w:val="20"/>
          <w:szCs w:val="20"/>
        </w:rPr>
      </w:pPr>
      <w:hyperlink w:anchor="_Toc148960836" w:history="1">
        <w:r w:rsidR="00373358" w:rsidRPr="007B72E7">
          <w:rPr>
            <w:rStyle w:val="Hyperlink"/>
            <w:sz w:val="20"/>
            <w:szCs w:val="20"/>
            <w:u w:val="none"/>
          </w:rPr>
          <w:t>16.3.2.1</w:t>
        </w:r>
        <w:r w:rsidR="00373358" w:rsidRPr="007B72E7">
          <w:rPr>
            <w:rFonts w:eastAsiaTheme="minorEastAsia"/>
            <w:sz w:val="20"/>
            <w:szCs w:val="20"/>
          </w:rPr>
          <w:tab/>
        </w:r>
        <w:r w:rsidR="00373358" w:rsidRPr="007B72E7">
          <w:rPr>
            <w:rStyle w:val="Hyperlink"/>
            <w:sz w:val="20"/>
            <w:szCs w:val="20"/>
            <w:u w:val="none"/>
          </w:rPr>
          <w:t>Notice of Receipt of Load Serving Entity Application</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_Toc148960836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16-19</w:t>
        </w:r>
        <w:r w:rsidR="00373358" w:rsidRPr="007B72E7">
          <w:rPr>
            <w:webHidden/>
            <w:sz w:val="20"/>
            <w:szCs w:val="20"/>
          </w:rPr>
          <w:fldChar w:fldCharType="end"/>
        </w:r>
      </w:hyperlink>
    </w:p>
    <w:p w14:paraId="41ACB5F4" w14:textId="13BB883F" w:rsidR="00373358" w:rsidRPr="007B72E7" w:rsidRDefault="00A34A95">
      <w:pPr>
        <w:pStyle w:val="TOC4"/>
        <w:rPr>
          <w:rFonts w:eastAsiaTheme="minorEastAsia"/>
          <w:sz w:val="20"/>
          <w:szCs w:val="20"/>
        </w:rPr>
      </w:pPr>
      <w:hyperlink w:anchor="_Toc148960837" w:history="1">
        <w:r w:rsidR="00373358" w:rsidRPr="007B72E7">
          <w:rPr>
            <w:rStyle w:val="Hyperlink"/>
            <w:sz w:val="20"/>
            <w:szCs w:val="20"/>
            <w:u w:val="none"/>
          </w:rPr>
          <w:t>16.3.2.2</w:t>
        </w:r>
        <w:r w:rsidR="00373358" w:rsidRPr="007B72E7">
          <w:rPr>
            <w:rFonts w:eastAsiaTheme="minorEastAsia"/>
            <w:sz w:val="20"/>
            <w:szCs w:val="20"/>
          </w:rPr>
          <w:tab/>
        </w:r>
        <w:r w:rsidR="00373358" w:rsidRPr="007B72E7">
          <w:rPr>
            <w:rStyle w:val="Hyperlink"/>
            <w:sz w:val="20"/>
            <w:szCs w:val="20"/>
            <w:u w:val="none"/>
          </w:rPr>
          <w:t>Incomplete Load Serving Entity Applications</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_Toc148960837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16-19</w:t>
        </w:r>
        <w:r w:rsidR="00373358" w:rsidRPr="007B72E7">
          <w:rPr>
            <w:webHidden/>
            <w:sz w:val="20"/>
            <w:szCs w:val="20"/>
          </w:rPr>
          <w:fldChar w:fldCharType="end"/>
        </w:r>
      </w:hyperlink>
    </w:p>
    <w:p w14:paraId="19CD1DB2" w14:textId="07E50104" w:rsidR="00373358" w:rsidRPr="007B72E7" w:rsidRDefault="00A34A95">
      <w:pPr>
        <w:pStyle w:val="TOC4"/>
        <w:rPr>
          <w:rFonts w:eastAsiaTheme="minorEastAsia"/>
          <w:sz w:val="20"/>
          <w:szCs w:val="20"/>
        </w:rPr>
      </w:pPr>
      <w:hyperlink w:anchor="_Toc148960838" w:history="1">
        <w:r w:rsidR="00373358" w:rsidRPr="007B72E7">
          <w:rPr>
            <w:rStyle w:val="Hyperlink"/>
            <w:sz w:val="20"/>
            <w:szCs w:val="20"/>
            <w:u w:val="none"/>
          </w:rPr>
          <w:t>16.3.2.3</w:t>
        </w:r>
        <w:r w:rsidR="00373358" w:rsidRPr="007B72E7">
          <w:rPr>
            <w:rFonts w:eastAsiaTheme="minorEastAsia"/>
            <w:sz w:val="20"/>
            <w:szCs w:val="20"/>
          </w:rPr>
          <w:tab/>
        </w:r>
        <w:r w:rsidR="00373358" w:rsidRPr="007B72E7">
          <w:rPr>
            <w:rStyle w:val="Hyperlink"/>
            <w:sz w:val="20"/>
            <w:szCs w:val="20"/>
            <w:u w:val="none"/>
          </w:rPr>
          <w:t>ERCOT Approval or Rejection of Load Serving Entity Application</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_Toc148960838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16-19</w:t>
        </w:r>
        <w:r w:rsidR="00373358" w:rsidRPr="007B72E7">
          <w:rPr>
            <w:webHidden/>
            <w:sz w:val="20"/>
            <w:szCs w:val="20"/>
          </w:rPr>
          <w:fldChar w:fldCharType="end"/>
        </w:r>
      </w:hyperlink>
    </w:p>
    <w:p w14:paraId="6CF8F726" w14:textId="510B0A43" w:rsidR="00373358" w:rsidRPr="007B72E7" w:rsidRDefault="00A34A95" w:rsidP="00461B44">
      <w:pPr>
        <w:pStyle w:val="TOC3"/>
        <w:rPr>
          <w:rFonts w:eastAsiaTheme="minorEastAsia"/>
          <w:i w:val="0"/>
          <w:iCs w:val="0"/>
          <w:noProof/>
        </w:rPr>
      </w:pPr>
      <w:hyperlink w:anchor="_Toc148960839" w:history="1">
        <w:r w:rsidR="00373358" w:rsidRPr="007B72E7">
          <w:rPr>
            <w:rStyle w:val="Hyperlink"/>
            <w:i w:val="0"/>
            <w:iCs w:val="0"/>
            <w:noProof/>
            <w:u w:val="none"/>
          </w:rPr>
          <w:t xml:space="preserve">16.3.3 </w:t>
        </w:r>
        <w:r w:rsidR="00373358" w:rsidRPr="007B72E7">
          <w:rPr>
            <w:rFonts w:eastAsiaTheme="minorEastAsia"/>
            <w:i w:val="0"/>
            <w:iCs w:val="0"/>
            <w:noProof/>
          </w:rPr>
          <w:tab/>
        </w:r>
        <w:r w:rsidR="00373358" w:rsidRPr="007B72E7">
          <w:rPr>
            <w:rStyle w:val="Hyperlink"/>
            <w:i w:val="0"/>
            <w:iCs w:val="0"/>
            <w:noProof/>
            <w:u w:val="none"/>
          </w:rPr>
          <w:t>Changing QSE Designation</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_Toc148960839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16-20</w:t>
        </w:r>
        <w:r w:rsidR="00373358" w:rsidRPr="007B72E7">
          <w:rPr>
            <w:i w:val="0"/>
            <w:iCs w:val="0"/>
            <w:noProof/>
            <w:webHidden/>
          </w:rPr>
          <w:fldChar w:fldCharType="end"/>
        </w:r>
      </w:hyperlink>
    </w:p>
    <w:p w14:paraId="262E6391" w14:textId="4181E887" w:rsidR="00373358" w:rsidRPr="007B72E7" w:rsidRDefault="00A34A95" w:rsidP="00461B44">
      <w:pPr>
        <w:pStyle w:val="TOC3"/>
        <w:rPr>
          <w:rFonts w:eastAsiaTheme="minorEastAsia"/>
          <w:i w:val="0"/>
          <w:iCs w:val="0"/>
          <w:noProof/>
        </w:rPr>
      </w:pPr>
      <w:hyperlink w:anchor="_Toc148960840" w:history="1">
        <w:r w:rsidR="00373358" w:rsidRPr="007B72E7">
          <w:rPr>
            <w:rStyle w:val="Hyperlink"/>
            <w:i w:val="0"/>
            <w:iCs w:val="0"/>
            <w:noProof/>
            <w:u w:val="none"/>
          </w:rPr>
          <w:t>16.3.4</w:t>
        </w:r>
        <w:r w:rsidR="00373358" w:rsidRPr="007B72E7">
          <w:rPr>
            <w:rFonts w:eastAsiaTheme="minorEastAsia"/>
            <w:i w:val="0"/>
            <w:iCs w:val="0"/>
            <w:noProof/>
          </w:rPr>
          <w:tab/>
        </w:r>
        <w:r w:rsidR="00373358" w:rsidRPr="007B72E7">
          <w:rPr>
            <w:rStyle w:val="Hyperlink"/>
            <w:i w:val="0"/>
            <w:iCs w:val="0"/>
            <w:noProof/>
            <w:u w:val="none"/>
          </w:rPr>
          <w:t>Maintaining and Updating LSE Information</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_Toc148960840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16-20</w:t>
        </w:r>
        <w:r w:rsidR="00373358" w:rsidRPr="007B72E7">
          <w:rPr>
            <w:i w:val="0"/>
            <w:iCs w:val="0"/>
            <w:noProof/>
            <w:webHidden/>
          </w:rPr>
          <w:fldChar w:fldCharType="end"/>
        </w:r>
      </w:hyperlink>
    </w:p>
    <w:p w14:paraId="5CAE87C4" w14:textId="6982B6B9" w:rsidR="00373358" w:rsidRPr="007B72E7" w:rsidRDefault="00A34A95" w:rsidP="00373358">
      <w:pPr>
        <w:pStyle w:val="TOC2"/>
        <w:rPr>
          <w:rFonts w:eastAsiaTheme="minorEastAsia"/>
        </w:rPr>
      </w:pPr>
      <w:hyperlink w:anchor="_Toc148960841" w:history="1">
        <w:r w:rsidR="00373358" w:rsidRPr="007B72E7">
          <w:rPr>
            <w:rStyle w:val="Hyperlink"/>
            <w:u w:val="none"/>
          </w:rPr>
          <w:t>16.4</w:t>
        </w:r>
        <w:r w:rsidR="00373358" w:rsidRPr="007B72E7">
          <w:rPr>
            <w:rFonts w:eastAsiaTheme="minorEastAsia"/>
          </w:rPr>
          <w:tab/>
        </w:r>
        <w:r w:rsidR="00373358" w:rsidRPr="007B72E7">
          <w:rPr>
            <w:rStyle w:val="Hyperlink"/>
            <w:u w:val="none"/>
          </w:rPr>
          <w:t>Registration of Transmission and Distribution Service Providers</w:t>
        </w:r>
        <w:r w:rsidR="00373358" w:rsidRPr="007B72E7">
          <w:rPr>
            <w:webHidden/>
          </w:rPr>
          <w:tab/>
        </w:r>
        <w:r w:rsidR="00373358" w:rsidRPr="007B72E7">
          <w:rPr>
            <w:webHidden/>
          </w:rPr>
          <w:fldChar w:fldCharType="begin"/>
        </w:r>
        <w:r w:rsidR="00373358" w:rsidRPr="007B72E7">
          <w:rPr>
            <w:webHidden/>
          </w:rPr>
          <w:instrText xml:space="preserve"> PAGEREF _Toc148960841 \h </w:instrText>
        </w:r>
        <w:r w:rsidR="00373358" w:rsidRPr="007B72E7">
          <w:rPr>
            <w:webHidden/>
          </w:rPr>
        </w:r>
        <w:r w:rsidR="00373358" w:rsidRPr="007B72E7">
          <w:rPr>
            <w:webHidden/>
          </w:rPr>
          <w:fldChar w:fldCharType="separate"/>
        </w:r>
        <w:r w:rsidR="007B72E7" w:rsidRPr="007B72E7">
          <w:rPr>
            <w:webHidden/>
          </w:rPr>
          <w:t>16-21</w:t>
        </w:r>
        <w:r w:rsidR="00373358" w:rsidRPr="007B72E7">
          <w:rPr>
            <w:webHidden/>
          </w:rPr>
          <w:fldChar w:fldCharType="end"/>
        </w:r>
      </w:hyperlink>
    </w:p>
    <w:p w14:paraId="2E9B5F18" w14:textId="191D9D06" w:rsidR="00373358" w:rsidRPr="007B72E7" w:rsidRDefault="00A34A95" w:rsidP="00373358">
      <w:pPr>
        <w:pStyle w:val="TOC2"/>
        <w:rPr>
          <w:rFonts w:eastAsiaTheme="minorEastAsia"/>
        </w:rPr>
      </w:pPr>
      <w:hyperlink w:anchor="_Toc148960842" w:history="1">
        <w:r w:rsidR="00373358" w:rsidRPr="007B72E7">
          <w:rPr>
            <w:rStyle w:val="Hyperlink"/>
            <w:u w:val="none"/>
          </w:rPr>
          <w:t>16.5</w:t>
        </w:r>
        <w:r w:rsidR="00373358" w:rsidRPr="007B72E7">
          <w:rPr>
            <w:rFonts w:eastAsiaTheme="minorEastAsia"/>
          </w:rPr>
          <w:tab/>
        </w:r>
        <w:r w:rsidR="00373358" w:rsidRPr="007B72E7">
          <w:rPr>
            <w:rStyle w:val="Hyperlink"/>
            <w:u w:val="none"/>
          </w:rPr>
          <w:t>Registration of a Resource Entity</w:t>
        </w:r>
        <w:r w:rsidR="00373358" w:rsidRPr="007B72E7">
          <w:rPr>
            <w:webHidden/>
          </w:rPr>
          <w:tab/>
        </w:r>
        <w:r w:rsidR="00373358" w:rsidRPr="007B72E7">
          <w:rPr>
            <w:webHidden/>
          </w:rPr>
          <w:fldChar w:fldCharType="begin"/>
        </w:r>
        <w:r w:rsidR="00373358" w:rsidRPr="007B72E7">
          <w:rPr>
            <w:webHidden/>
          </w:rPr>
          <w:instrText xml:space="preserve"> PAGEREF _Toc148960842 \h </w:instrText>
        </w:r>
        <w:r w:rsidR="00373358" w:rsidRPr="007B72E7">
          <w:rPr>
            <w:webHidden/>
          </w:rPr>
        </w:r>
        <w:r w:rsidR="00373358" w:rsidRPr="007B72E7">
          <w:rPr>
            <w:webHidden/>
          </w:rPr>
          <w:fldChar w:fldCharType="separate"/>
        </w:r>
        <w:r w:rsidR="007B72E7" w:rsidRPr="007B72E7">
          <w:rPr>
            <w:webHidden/>
          </w:rPr>
          <w:t>16-21</w:t>
        </w:r>
        <w:r w:rsidR="00373358" w:rsidRPr="007B72E7">
          <w:rPr>
            <w:webHidden/>
          </w:rPr>
          <w:fldChar w:fldCharType="end"/>
        </w:r>
      </w:hyperlink>
    </w:p>
    <w:p w14:paraId="199BDCFC" w14:textId="37EC4BB4" w:rsidR="00373358" w:rsidRPr="007B72E7" w:rsidRDefault="00A34A95" w:rsidP="00461B44">
      <w:pPr>
        <w:pStyle w:val="TOC3"/>
        <w:rPr>
          <w:rFonts w:eastAsiaTheme="minorEastAsia"/>
          <w:i w:val="0"/>
          <w:iCs w:val="0"/>
          <w:noProof/>
        </w:rPr>
      </w:pPr>
      <w:hyperlink w:anchor="_Toc148960843" w:history="1">
        <w:r w:rsidR="00373358" w:rsidRPr="007B72E7">
          <w:rPr>
            <w:rStyle w:val="Hyperlink"/>
            <w:i w:val="0"/>
            <w:iCs w:val="0"/>
            <w:noProof/>
            <w:u w:val="none"/>
          </w:rPr>
          <w:t>16.5.1</w:t>
        </w:r>
        <w:r w:rsidR="00373358" w:rsidRPr="007B72E7">
          <w:rPr>
            <w:rFonts w:eastAsiaTheme="minorEastAsia"/>
            <w:i w:val="0"/>
            <w:iCs w:val="0"/>
            <w:noProof/>
          </w:rPr>
          <w:tab/>
        </w:r>
        <w:r w:rsidR="00373358" w:rsidRPr="007B72E7">
          <w:rPr>
            <w:rStyle w:val="Hyperlink"/>
            <w:i w:val="0"/>
            <w:iCs w:val="0"/>
            <w:noProof/>
            <w:u w:val="none"/>
          </w:rPr>
          <w:t>Technical and Managerial Requirements for Resource Entity Applicants</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_Toc148960843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16-24</w:t>
        </w:r>
        <w:r w:rsidR="00373358" w:rsidRPr="007B72E7">
          <w:rPr>
            <w:i w:val="0"/>
            <w:iCs w:val="0"/>
            <w:noProof/>
            <w:webHidden/>
          </w:rPr>
          <w:fldChar w:fldCharType="end"/>
        </w:r>
      </w:hyperlink>
    </w:p>
    <w:p w14:paraId="0B796B0B" w14:textId="4E98550E" w:rsidR="00373358" w:rsidRPr="007B72E7" w:rsidRDefault="00A34A95">
      <w:pPr>
        <w:pStyle w:val="TOC4"/>
        <w:rPr>
          <w:rFonts w:eastAsiaTheme="minorEastAsia"/>
          <w:sz w:val="20"/>
          <w:szCs w:val="20"/>
        </w:rPr>
      </w:pPr>
      <w:hyperlink w:anchor="_Toc148960844" w:history="1">
        <w:r w:rsidR="00373358" w:rsidRPr="007B72E7">
          <w:rPr>
            <w:rStyle w:val="Hyperlink"/>
            <w:sz w:val="20"/>
            <w:szCs w:val="20"/>
            <w:u w:val="none"/>
          </w:rPr>
          <w:t>16.5.1.1</w:t>
        </w:r>
        <w:r w:rsidR="00373358" w:rsidRPr="007B72E7">
          <w:rPr>
            <w:rFonts w:eastAsiaTheme="minorEastAsia"/>
            <w:sz w:val="20"/>
            <w:szCs w:val="20"/>
          </w:rPr>
          <w:tab/>
        </w:r>
        <w:r w:rsidR="00373358" w:rsidRPr="007B72E7">
          <w:rPr>
            <w:rStyle w:val="Hyperlink"/>
            <w:sz w:val="20"/>
            <w:szCs w:val="20"/>
            <w:u w:val="none"/>
          </w:rPr>
          <w:t>Designation of a Qualified Scheduling Entity</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_Toc148960844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16-25</w:t>
        </w:r>
        <w:r w:rsidR="00373358" w:rsidRPr="007B72E7">
          <w:rPr>
            <w:webHidden/>
            <w:sz w:val="20"/>
            <w:szCs w:val="20"/>
          </w:rPr>
          <w:fldChar w:fldCharType="end"/>
        </w:r>
      </w:hyperlink>
    </w:p>
    <w:p w14:paraId="4C0C4103" w14:textId="399FAAEB" w:rsidR="00373358" w:rsidRPr="007B72E7" w:rsidRDefault="00A34A95">
      <w:pPr>
        <w:pStyle w:val="TOC4"/>
        <w:rPr>
          <w:rFonts w:eastAsiaTheme="minorEastAsia"/>
          <w:sz w:val="20"/>
          <w:szCs w:val="20"/>
        </w:rPr>
      </w:pPr>
      <w:hyperlink w:anchor="_Toc148960845" w:history="1">
        <w:r w:rsidR="00373358" w:rsidRPr="007B72E7">
          <w:rPr>
            <w:rStyle w:val="Hyperlink"/>
            <w:sz w:val="20"/>
            <w:szCs w:val="20"/>
            <w:u w:val="none"/>
          </w:rPr>
          <w:t>16.5.1.2</w:t>
        </w:r>
        <w:r w:rsidR="00373358" w:rsidRPr="007B72E7">
          <w:rPr>
            <w:rFonts w:eastAsiaTheme="minorEastAsia"/>
            <w:sz w:val="20"/>
            <w:szCs w:val="20"/>
          </w:rPr>
          <w:tab/>
        </w:r>
        <w:r w:rsidR="00373358" w:rsidRPr="007B72E7">
          <w:rPr>
            <w:rStyle w:val="Hyperlink"/>
            <w:sz w:val="20"/>
            <w:szCs w:val="20"/>
            <w:u w:val="none"/>
          </w:rPr>
          <w:t>Waiver for Federal Hydroelectric Facilities</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_Toc148960845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16-25</w:t>
        </w:r>
        <w:r w:rsidR="00373358" w:rsidRPr="007B72E7">
          <w:rPr>
            <w:webHidden/>
            <w:sz w:val="20"/>
            <w:szCs w:val="20"/>
          </w:rPr>
          <w:fldChar w:fldCharType="end"/>
        </w:r>
      </w:hyperlink>
    </w:p>
    <w:p w14:paraId="0D26FCE4" w14:textId="37ED9550" w:rsidR="00373358" w:rsidRPr="007B72E7" w:rsidRDefault="00A34A95">
      <w:pPr>
        <w:pStyle w:val="TOC4"/>
        <w:rPr>
          <w:rFonts w:eastAsiaTheme="minorEastAsia"/>
          <w:sz w:val="20"/>
          <w:szCs w:val="20"/>
        </w:rPr>
      </w:pPr>
      <w:hyperlink w:anchor="_Toc148960846" w:history="1">
        <w:r w:rsidR="00373358" w:rsidRPr="007B72E7">
          <w:rPr>
            <w:rStyle w:val="Hyperlink"/>
            <w:sz w:val="20"/>
            <w:szCs w:val="20"/>
            <w:u w:val="none"/>
          </w:rPr>
          <w:t>16.5.1.3</w:t>
        </w:r>
        <w:r w:rsidR="00373358" w:rsidRPr="007B72E7">
          <w:rPr>
            <w:rFonts w:eastAsiaTheme="minorEastAsia"/>
            <w:sz w:val="20"/>
            <w:szCs w:val="20"/>
          </w:rPr>
          <w:tab/>
        </w:r>
        <w:r w:rsidR="00373358" w:rsidRPr="007B72E7">
          <w:rPr>
            <w:rStyle w:val="Hyperlink"/>
            <w:sz w:val="20"/>
            <w:szCs w:val="20"/>
            <w:u w:val="none"/>
          </w:rPr>
          <w:t>Waiver for Block Load Transfer Resources</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_Toc148960846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16-26</w:t>
        </w:r>
        <w:r w:rsidR="00373358" w:rsidRPr="007B72E7">
          <w:rPr>
            <w:webHidden/>
            <w:sz w:val="20"/>
            <w:szCs w:val="20"/>
          </w:rPr>
          <w:fldChar w:fldCharType="end"/>
        </w:r>
      </w:hyperlink>
    </w:p>
    <w:p w14:paraId="2BC0606A" w14:textId="25A22372" w:rsidR="00373358" w:rsidRPr="007B72E7" w:rsidRDefault="00A34A95" w:rsidP="00461B44">
      <w:pPr>
        <w:pStyle w:val="TOC3"/>
        <w:rPr>
          <w:rFonts w:eastAsiaTheme="minorEastAsia"/>
          <w:i w:val="0"/>
          <w:iCs w:val="0"/>
          <w:noProof/>
        </w:rPr>
      </w:pPr>
      <w:hyperlink w:anchor="_Toc148960847" w:history="1">
        <w:r w:rsidR="00373358" w:rsidRPr="007B72E7">
          <w:rPr>
            <w:rStyle w:val="Hyperlink"/>
            <w:i w:val="0"/>
            <w:iCs w:val="0"/>
            <w:noProof/>
            <w:u w:val="none"/>
          </w:rPr>
          <w:t>16.5.2</w:t>
        </w:r>
        <w:r w:rsidR="00373358" w:rsidRPr="007B72E7">
          <w:rPr>
            <w:rFonts w:eastAsiaTheme="minorEastAsia"/>
            <w:i w:val="0"/>
            <w:iCs w:val="0"/>
            <w:noProof/>
          </w:rPr>
          <w:tab/>
        </w:r>
        <w:r w:rsidR="00373358" w:rsidRPr="007B72E7">
          <w:rPr>
            <w:rStyle w:val="Hyperlink"/>
            <w:i w:val="0"/>
            <w:iCs w:val="0"/>
            <w:noProof/>
            <w:u w:val="none"/>
          </w:rPr>
          <w:t>Registration Process for a Resource Entity</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_Toc148960847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16-26</w:t>
        </w:r>
        <w:r w:rsidR="00373358" w:rsidRPr="007B72E7">
          <w:rPr>
            <w:i w:val="0"/>
            <w:iCs w:val="0"/>
            <w:noProof/>
            <w:webHidden/>
          </w:rPr>
          <w:fldChar w:fldCharType="end"/>
        </w:r>
      </w:hyperlink>
    </w:p>
    <w:p w14:paraId="0E3F9515" w14:textId="03164624" w:rsidR="00373358" w:rsidRPr="007B72E7" w:rsidRDefault="00A34A95">
      <w:pPr>
        <w:pStyle w:val="TOC4"/>
        <w:rPr>
          <w:rFonts w:eastAsiaTheme="minorEastAsia"/>
          <w:sz w:val="20"/>
          <w:szCs w:val="20"/>
        </w:rPr>
      </w:pPr>
      <w:hyperlink w:anchor="_Toc148960848" w:history="1">
        <w:r w:rsidR="00373358" w:rsidRPr="007B72E7">
          <w:rPr>
            <w:rStyle w:val="Hyperlink"/>
            <w:sz w:val="20"/>
            <w:szCs w:val="20"/>
            <w:u w:val="none"/>
          </w:rPr>
          <w:t>16.5.2.1</w:t>
        </w:r>
        <w:r w:rsidR="00373358" w:rsidRPr="007B72E7">
          <w:rPr>
            <w:rFonts w:eastAsiaTheme="minorEastAsia"/>
            <w:sz w:val="20"/>
            <w:szCs w:val="20"/>
          </w:rPr>
          <w:tab/>
        </w:r>
        <w:r w:rsidR="00373358" w:rsidRPr="007B72E7">
          <w:rPr>
            <w:rStyle w:val="Hyperlink"/>
            <w:sz w:val="20"/>
            <w:szCs w:val="20"/>
            <w:u w:val="none"/>
          </w:rPr>
          <w:t>Notice of Receipt of Resource Entity Application</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_Toc148960848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16-27</w:t>
        </w:r>
        <w:r w:rsidR="00373358" w:rsidRPr="007B72E7">
          <w:rPr>
            <w:webHidden/>
            <w:sz w:val="20"/>
            <w:szCs w:val="20"/>
          </w:rPr>
          <w:fldChar w:fldCharType="end"/>
        </w:r>
      </w:hyperlink>
    </w:p>
    <w:p w14:paraId="3847008D" w14:textId="583BB4C0" w:rsidR="00373358" w:rsidRPr="007B72E7" w:rsidRDefault="00A34A95">
      <w:pPr>
        <w:pStyle w:val="TOC4"/>
        <w:rPr>
          <w:rFonts w:eastAsiaTheme="minorEastAsia"/>
          <w:sz w:val="20"/>
          <w:szCs w:val="20"/>
        </w:rPr>
      </w:pPr>
      <w:hyperlink w:anchor="_Toc148960849" w:history="1">
        <w:r w:rsidR="00373358" w:rsidRPr="007B72E7">
          <w:rPr>
            <w:rStyle w:val="Hyperlink"/>
            <w:sz w:val="20"/>
            <w:szCs w:val="20"/>
            <w:u w:val="none"/>
          </w:rPr>
          <w:t>16.5.2.2</w:t>
        </w:r>
        <w:r w:rsidR="00373358" w:rsidRPr="007B72E7">
          <w:rPr>
            <w:rFonts w:eastAsiaTheme="minorEastAsia"/>
            <w:sz w:val="20"/>
            <w:szCs w:val="20"/>
          </w:rPr>
          <w:tab/>
        </w:r>
        <w:r w:rsidR="00373358" w:rsidRPr="007B72E7">
          <w:rPr>
            <w:rStyle w:val="Hyperlink"/>
            <w:sz w:val="20"/>
            <w:szCs w:val="20"/>
            <w:u w:val="none"/>
          </w:rPr>
          <w:t>Incomplete Resource Entity Applications</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_Toc148960849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16-27</w:t>
        </w:r>
        <w:r w:rsidR="00373358" w:rsidRPr="007B72E7">
          <w:rPr>
            <w:webHidden/>
            <w:sz w:val="20"/>
            <w:szCs w:val="20"/>
          </w:rPr>
          <w:fldChar w:fldCharType="end"/>
        </w:r>
      </w:hyperlink>
    </w:p>
    <w:p w14:paraId="16ECE45C" w14:textId="39CA9018" w:rsidR="00373358" w:rsidRPr="007B72E7" w:rsidRDefault="00A34A95" w:rsidP="00461B44">
      <w:pPr>
        <w:pStyle w:val="TOC3"/>
        <w:rPr>
          <w:rFonts w:eastAsiaTheme="minorEastAsia"/>
          <w:i w:val="0"/>
          <w:iCs w:val="0"/>
          <w:noProof/>
        </w:rPr>
      </w:pPr>
      <w:hyperlink w:anchor="_Toc148960850" w:history="1">
        <w:r w:rsidR="00373358" w:rsidRPr="007B72E7">
          <w:rPr>
            <w:rStyle w:val="Hyperlink"/>
            <w:i w:val="0"/>
            <w:iCs w:val="0"/>
            <w:noProof/>
            <w:u w:val="none"/>
          </w:rPr>
          <w:t>16.5.3</w:t>
        </w:r>
        <w:r w:rsidR="00373358" w:rsidRPr="007B72E7">
          <w:rPr>
            <w:rFonts w:eastAsiaTheme="minorEastAsia"/>
            <w:i w:val="0"/>
            <w:iCs w:val="0"/>
            <w:noProof/>
          </w:rPr>
          <w:tab/>
        </w:r>
        <w:r w:rsidR="00373358" w:rsidRPr="007B72E7">
          <w:rPr>
            <w:rStyle w:val="Hyperlink"/>
            <w:i w:val="0"/>
            <w:iCs w:val="0"/>
            <w:noProof/>
            <w:u w:val="none"/>
          </w:rPr>
          <w:t>Changing QSE Designation</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_Toc148960850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16-28</w:t>
        </w:r>
        <w:r w:rsidR="00373358" w:rsidRPr="007B72E7">
          <w:rPr>
            <w:i w:val="0"/>
            <w:iCs w:val="0"/>
            <w:noProof/>
            <w:webHidden/>
          </w:rPr>
          <w:fldChar w:fldCharType="end"/>
        </w:r>
      </w:hyperlink>
    </w:p>
    <w:p w14:paraId="19016DAC" w14:textId="17B531CC" w:rsidR="00373358" w:rsidRPr="007B72E7" w:rsidRDefault="00A34A95" w:rsidP="00461B44">
      <w:pPr>
        <w:pStyle w:val="TOC3"/>
        <w:rPr>
          <w:rFonts w:eastAsiaTheme="minorEastAsia"/>
          <w:i w:val="0"/>
          <w:iCs w:val="0"/>
          <w:noProof/>
        </w:rPr>
      </w:pPr>
      <w:hyperlink w:anchor="_Toc148960851" w:history="1">
        <w:r w:rsidR="00373358" w:rsidRPr="007B72E7">
          <w:rPr>
            <w:rStyle w:val="Hyperlink"/>
            <w:i w:val="0"/>
            <w:iCs w:val="0"/>
            <w:noProof/>
            <w:u w:val="none"/>
          </w:rPr>
          <w:t>16.5.4</w:t>
        </w:r>
        <w:r w:rsidR="00373358" w:rsidRPr="007B72E7">
          <w:rPr>
            <w:rFonts w:eastAsiaTheme="minorEastAsia"/>
            <w:i w:val="0"/>
            <w:iCs w:val="0"/>
            <w:noProof/>
          </w:rPr>
          <w:tab/>
        </w:r>
        <w:r w:rsidR="00373358" w:rsidRPr="007B72E7">
          <w:rPr>
            <w:rStyle w:val="Hyperlink"/>
            <w:i w:val="0"/>
            <w:iCs w:val="0"/>
            <w:noProof/>
            <w:u w:val="none"/>
          </w:rPr>
          <w:t>Maintaining and Updating Resource Entity Information</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_Toc148960851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16-29</w:t>
        </w:r>
        <w:r w:rsidR="00373358" w:rsidRPr="007B72E7">
          <w:rPr>
            <w:i w:val="0"/>
            <w:iCs w:val="0"/>
            <w:noProof/>
            <w:webHidden/>
          </w:rPr>
          <w:fldChar w:fldCharType="end"/>
        </w:r>
      </w:hyperlink>
    </w:p>
    <w:p w14:paraId="66D92790" w14:textId="099FA1AD" w:rsidR="00373358" w:rsidRPr="007B72E7" w:rsidRDefault="00A34A95" w:rsidP="00373358">
      <w:pPr>
        <w:pStyle w:val="TOC2"/>
        <w:rPr>
          <w:rFonts w:eastAsiaTheme="minorEastAsia"/>
        </w:rPr>
      </w:pPr>
      <w:hyperlink w:anchor="_Toc148960852" w:history="1">
        <w:r w:rsidR="00373358" w:rsidRPr="007B72E7">
          <w:rPr>
            <w:rStyle w:val="Hyperlink"/>
            <w:u w:val="none"/>
          </w:rPr>
          <w:t>16.6</w:t>
        </w:r>
        <w:r w:rsidR="00373358" w:rsidRPr="007B72E7">
          <w:rPr>
            <w:rFonts w:eastAsiaTheme="minorEastAsia"/>
          </w:rPr>
          <w:tab/>
        </w:r>
        <w:r w:rsidR="00373358" w:rsidRPr="007B72E7">
          <w:rPr>
            <w:rStyle w:val="Hyperlink"/>
            <w:u w:val="none"/>
          </w:rPr>
          <w:t>Registration of Municipally Owned Utilities and Electric Cooperatives in the ERCOT Region</w:t>
        </w:r>
        <w:r w:rsidR="00373358" w:rsidRPr="007B72E7">
          <w:rPr>
            <w:webHidden/>
          </w:rPr>
          <w:tab/>
        </w:r>
        <w:r w:rsidR="00373358" w:rsidRPr="007B72E7">
          <w:rPr>
            <w:webHidden/>
          </w:rPr>
          <w:fldChar w:fldCharType="begin"/>
        </w:r>
        <w:r w:rsidR="00373358" w:rsidRPr="007B72E7">
          <w:rPr>
            <w:webHidden/>
          </w:rPr>
          <w:instrText xml:space="preserve"> PAGEREF _Toc148960852 \h </w:instrText>
        </w:r>
        <w:r w:rsidR="00373358" w:rsidRPr="007B72E7">
          <w:rPr>
            <w:webHidden/>
          </w:rPr>
        </w:r>
        <w:r w:rsidR="00373358" w:rsidRPr="007B72E7">
          <w:rPr>
            <w:webHidden/>
          </w:rPr>
          <w:fldChar w:fldCharType="separate"/>
        </w:r>
        <w:r w:rsidR="007B72E7" w:rsidRPr="007B72E7">
          <w:rPr>
            <w:webHidden/>
          </w:rPr>
          <w:t>16-30</w:t>
        </w:r>
        <w:r w:rsidR="00373358" w:rsidRPr="007B72E7">
          <w:rPr>
            <w:webHidden/>
          </w:rPr>
          <w:fldChar w:fldCharType="end"/>
        </w:r>
      </w:hyperlink>
    </w:p>
    <w:p w14:paraId="33CFB57A" w14:textId="6ED9C02C" w:rsidR="00373358" w:rsidRPr="007B72E7" w:rsidRDefault="00A34A95" w:rsidP="00373358">
      <w:pPr>
        <w:pStyle w:val="TOC2"/>
        <w:rPr>
          <w:rFonts w:eastAsiaTheme="minorEastAsia"/>
        </w:rPr>
      </w:pPr>
      <w:hyperlink w:anchor="_Toc148960853" w:history="1">
        <w:r w:rsidR="00373358" w:rsidRPr="007B72E7">
          <w:rPr>
            <w:rStyle w:val="Hyperlink"/>
            <w:u w:val="none"/>
          </w:rPr>
          <w:t>16.7</w:t>
        </w:r>
        <w:r w:rsidR="00373358" w:rsidRPr="007B72E7">
          <w:rPr>
            <w:rFonts w:eastAsiaTheme="minorEastAsia"/>
          </w:rPr>
          <w:tab/>
        </w:r>
        <w:r w:rsidR="00373358" w:rsidRPr="007B72E7">
          <w:rPr>
            <w:rStyle w:val="Hyperlink"/>
            <w:u w:val="none"/>
          </w:rPr>
          <w:t>Registration of Renewable Energy Credit Account Holders</w:t>
        </w:r>
        <w:r w:rsidR="00373358" w:rsidRPr="007B72E7">
          <w:rPr>
            <w:webHidden/>
          </w:rPr>
          <w:tab/>
        </w:r>
        <w:r w:rsidR="00373358" w:rsidRPr="007B72E7">
          <w:rPr>
            <w:webHidden/>
          </w:rPr>
          <w:fldChar w:fldCharType="begin"/>
        </w:r>
        <w:r w:rsidR="00373358" w:rsidRPr="007B72E7">
          <w:rPr>
            <w:webHidden/>
          </w:rPr>
          <w:instrText xml:space="preserve"> PAGEREF _Toc148960853 \h </w:instrText>
        </w:r>
        <w:r w:rsidR="00373358" w:rsidRPr="007B72E7">
          <w:rPr>
            <w:webHidden/>
          </w:rPr>
        </w:r>
        <w:r w:rsidR="00373358" w:rsidRPr="007B72E7">
          <w:rPr>
            <w:webHidden/>
          </w:rPr>
          <w:fldChar w:fldCharType="separate"/>
        </w:r>
        <w:r w:rsidR="007B72E7" w:rsidRPr="007B72E7">
          <w:rPr>
            <w:webHidden/>
          </w:rPr>
          <w:t>16-30</w:t>
        </w:r>
        <w:r w:rsidR="00373358" w:rsidRPr="007B72E7">
          <w:rPr>
            <w:webHidden/>
          </w:rPr>
          <w:fldChar w:fldCharType="end"/>
        </w:r>
      </w:hyperlink>
    </w:p>
    <w:p w14:paraId="4271CDF4" w14:textId="206E1244" w:rsidR="00373358" w:rsidRPr="007B72E7" w:rsidRDefault="00A34A95" w:rsidP="00373358">
      <w:pPr>
        <w:pStyle w:val="TOC2"/>
        <w:rPr>
          <w:rFonts w:eastAsiaTheme="minorEastAsia"/>
        </w:rPr>
      </w:pPr>
      <w:hyperlink w:anchor="_Toc148960854" w:history="1">
        <w:r w:rsidR="00373358" w:rsidRPr="007B72E7">
          <w:rPr>
            <w:rStyle w:val="Hyperlink"/>
            <w:u w:val="none"/>
          </w:rPr>
          <w:t>16.8</w:t>
        </w:r>
        <w:r w:rsidR="00373358" w:rsidRPr="007B72E7">
          <w:rPr>
            <w:rFonts w:eastAsiaTheme="minorEastAsia"/>
          </w:rPr>
          <w:tab/>
        </w:r>
        <w:r w:rsidR="00373358" w:rsidRPr="007B72E7">
          <w:rPr>
            <w:rStyle w:val="Hyperlink"/>
            <w:u w:val="none"/>
          </w:rPr>
          <w:t>Registration and Qualification of Congestion Revenue Rights Account Holders</w:t>
        </w:r>
        <w:r w:rsidR="00373358" w:rsidRPr="007B72E7">
          <w:rPr>
            <w:webHidden/>
          </w:rPr>
          <w:tab/>
        </w:r>
        <w:r w:rsidR="00373358" w:rsidRPr="007B72E7">
          <w:rPr>
            <w:webHidden/>
          </w:rPr>
          <w:fldChar w:fldCharType="begin"/>
        </w:r>
        <w:r w:rsidR="00373358" w:rsidRPr="007B72E7">
          <w:rPr>
            <w:webHidden/>
          </w:rPr>
          <w:instrText xml:space="preserve"> PAGEREF _Toc148960854 \h </w:instrText>
        </w:r>
        <w:r w:rsidR="00373358" w:rsidRPr="007B72E7">
          <w:rPr>
            <w:webHidden/>
          </w:rPr>
        </w:r>
        <w:r w:rsidR="00373358" w:rsidRPr="007B72E7">
          <w:rPr>
            <w:webHidden/>
          </w:rPr>
          <w:fldChar w:fldCharType="separate"/>
        </w:r>
        <w:r w:rsidR="007B72E7" w:rsidRPr="007B72E7">
          <w:rPr>
            <w:webHidden/>
          </w:rPr>
          <w:t>16-30</w:t>
        </w:r>
        <w:r w:rsidR="00373358" w:rsidRPr="007B72E7">
          <w:rPr>
            <w:webHidden/>
          </w:rPr>
          <w:fldChar w:fldCharType="end"/>
        </w:r>
      </w:hyperlink>
    </w:p>
    <w:p w14:paraId="22F6F22B" w14:textId="7ADC721C" w:rsidR="00373358" w:rsidRPr="007B72E7" w:rsidRDefault="00A34A95" w:rsidP="00461B44">
      <w:pPr>
        <w:pStyle w:val="TOC3"/>
        <w:rPr>
          <w:rFonts w:eastAsiaTheme="minorEastAsia"/>
          <w:i w:val="0"/>
          <w:iCs w:val="0"/>
          <w:noProof/>
        </w:rPr>
      </w:pPr>
      <w:hyperlink w:anchor="_Toc148960855" w:history="1">
        <w:r w:rsidR="00373358" w:rsidRPr="007B72E7">
          <w:rPr>
            <w:rStyle w:val="Hyperlink"/>
            <w:i w:val="0"/>
            <w:iCs w:val="0"/>
            <w:noProof/>
            <w:u w:val="none"/>
          </w:rPr>
          <w:t>16.8.1</w:t>
        </w:r>
        <w:r w:rsidR="00373358" w:rsidRPr="007B72E7">
          <w:rPr>
            <w:rFonts w:eastAsiaTheme="minorEastAsia"/>
            <w:i w:val="0"/>
            <w:iCs w:val="0"/>
            <w:noProof/>
          </w:rPr>
          <w:tab/>
        </w:r>
        <w:r w:rsidR="00373358" w:rsidRPr="007B72E7">
          <w:rPr>
            <w:rStyle w:val="Hyperlink"/>
            <w:i w:val="0"/>
            <w:iCs w:val="0"/>
            <w:noProof/>
            <w:u w:val="none"/>
          </w:rPr>
          <w:t>Criteria for Qualification as a CRR Account Holder</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_Toc148960855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16-30</w:t>
        </w:r>
        <w:r w:rsidR="00373358" w:rsidRPr="007B72E7">
          <w:rPr>
            <w:i w:val="0"/>
            <w:iCs w:val="0"/>
            <w:noProof/>
            <w:webHidden/>
          </w:rPr>
          <w:fldChar w:fldCharType="end"/>
        </w:r>
      </w:hyperlink>
    </w:p>
    <w:p w14:paraId="76B51E01" w14:textId="1940A50C" w:rsidR="00373358" w:rsidRPr="007B72E7" w:rsidRDefault="00A34A95" w:rsidP="00461B44">
      <w:pPr>
        <w:pStyle w:val="TOC3"/>
        <w:rPr>
          <w:rFonts w:eastAsiaTheme="minorEastAsia"/>
          <w:i w:val="0"/>
          <w:iCs w:val="0"/>
          <w:noProof/>
        </w:rPr>
      </w:pPr>
      <w:hyperlink w:anchor="_Toc148960856" w:history="1">
        <w:r w:rsidR="00373358" w:rsidRPr="007B72E7">
          <w:rPr>
            <w:rStyle w:val="Hyperlink"/>
            <w:i w:val="0"/>
            <w:iCs w:val="0"/>
            <w:noProof/>
            <w:u w:val="none"/>
          </w:rPr>
          <w:t>16.8.2</w:t>
        </w:r>
        <w:r w:rsidR="00373358" w:rsidRPr="007B72E7">
          <w:rPr>
            <w:rFonts w:eastAsiaTheme="minorEastAsia"/>
            <w:i w:val="0"/>
            <w:iCs w:val="0"/>
            <w:noProof/>
          </w:rPr>
          <w:tab/>
        </w:r>
        <w:r w:rsidR="00373358" w:rsidRPr="007B72E7">
          <w:rPr>
            <w:rStyle w:val="Hyperlink"/>
            <w:i w:val="0"/>
            <w:iCs w:val="0"/>
            <w:noProof/>
            <w:u w:val="none"/>
          </w:rPr>
          <w:t>CRR Account Holder Application Process</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_Toc148960856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16-33</w:t>
        </w:r>
        <w:r w:rsidR="00373358" w:rsidRPr="007B72E7">
          <w:rPr>
            <w:i w:val="0"/>
            <w:iCs w:val="0"/>
            <w:noProof/>
            <w:webHidden/>
          </w:rPr>
          <w:fldChar w:fldCharType="end"/>
        </w:r>
      </w:hyperlink>
    </w:p>
    <w:p w14:paraId="1D4D0A05" w14:textId="14EA5BBA" w:rsidR="00373358" w:rsidRPr="007B72E7" w:rsidRDefault="00A34A95">
      <w:pPr>
        <w:pStyle w:val="TOC4"/>
        <w:rPr>
          <w:rFonts w:eastAsiaTheme="minorEastAsia"/>
          <w:sz w:val="20"/>
          <w:szCs w:val="20"/>
        </w:rPr>
      </w:pPr>
      <w:hyperlink w:anchor="_Toc148960857" w:history="1">
        <w:r w:rsidR="00373358" w:rsidRPr="007B72E7">
          <w:rPr>
            <w:rStyle w:val="Hyperlink"/>
            <w:sz w:val="20"/>
            <w:szCs w:val="20"/>
            <w:u w:val="none"/>
          </w:rPr>
          <w:t>16.8.2.1</w:t>
        </w:r>
        <w:r w:rsidR="00373358" w:rsidRPr="007B72E7">
          <w:rPr>
            <w:rFonts w:eastAsiaTheme="minorEastAsia"/>
            <w:sz w:val="20"/>
            <w:szCs w:val="20"/>
          </w:rPr>
          <w:tab/>
        </w:r>
        <w:r w:rsidR="00373358" w:rsidRPr="007B72E7">
          <w:rPr>
            <w:rStyle w:val="Hyperlink"/>
            <w:sz w:val="20"/>
            <w:szCs w:val="20"/>
            <w:u w:val="none"/>
          </w:rPr>
          <w:t>Notice of Receipt of CRR Account Holder Application</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_Toc148960857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16-33</w:t>
        </w:r>
        <w:r w:rsidR="00373358" w:rsidRPr="007B72E7">
          <w:rPr>
            <w:webHidden/>
            <w:sz w:val="20"/>
            <w:szCs w:val="20"/>
          </w:rPr>
          <w:fldChar w:fldCharType="end"/>
        </w:r>
      </w:hyperlink>
    </w:p>
    <w:p w14:paraId="2F862CD2" w14:textId="293FB63E" w:rsidR="00373358" w:rsidRPr="007B72E7" w:rsidRDefault="00A34A95">
      <w:pPr>
        <w:pStyle w:val="TOC4"/>
        <w:rPr>
          <w:rFonts w:eastAsiaTheme="minorEastAsia"/>
          <w:sz w:val="20"/>
          <w:szCs w:val="20"/>
        </w:rPr>
      </w:pPr>
      <w:hyperlink w:anchor="_Toc148960858" w:history="1">
        <w:r w:rsidR="00373358" w:rsidRPr="007B72E7">
          <w:rPr>
            <w:rStyle w:val="Hyperlink"/>
            <w:sz w:val="20"/>
            <w:szCs w:val="20"/>
            <w:u w:val="none"/>
          </w:rPr>
          <w:t>16.8.2.2</w:t>
        </w:r>
        <w:r w:rsidR="00373358" w:rsidRPr="007B72E7">
          <w:rPr>
            <w:rFonts w:eastAsiaTheme="minorEastAsia"/>
            <w:sz w:val="20"/>
            <w:szCs w:val="20"/>
          </w:rPr>
          <w:tab/>
        </w:r>
        <w:r w:rsidR="00373358" w:rsidRPr="007B72E7">
          <w:rPr>
            <w:rStyle w:val="Hyperlink"/>
            <w:sz w:val="20"/>
            <w:szCs w:val="20"/>
            <w:u w:val="none"/>
          </w:rPr>
          <w:t>Incomplete CRR Account Holder Applications</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_Toc148960858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16-34</w:t>
        </w:r>
        <w:r w:rsidR="00373358" w:rsidRPr="007B72E7">
          <w:rPr>
            <w:webHidden/>
            <w:sz w:val="20"/>
            <w:szCs w:val="20"/>
          </w:rPr>
          <w:fldChar w:fldCharType="end"/>
        </w:r>
      </w:hyperlink>
    </w:p>
    <w:p w14:paraId="4972474F" w14:textId="08E7703B" w:rsidR="00373358" w:rsidRPr="007B72E7" w:rsidRDefault="00A34A95">
      <w:pPr>
        <w:pStyle w:val="TOC4"/>
        <w:rPr>
          <w:rFonts w:eastAsiaTheme="minorEastAsia"/>
          <w:sz w:val="20"/>
          <w:szCs w:val="20"/>
        </w:rPr>
      </w:pPr>
      <w:hyperlink w:anchor="_Toc148960859" w:history="1">
        <w:r w:rsidR="00373358" w:rsidRPr="007B72E7">
          <w:rPr>
            <w:rStyle w:val="Hyperlink"/>
            <w:sz w:val="20"/>
            <w:szCs w:val="20"/>
            <w:u w:val="none"/>
          </w:rPr>
          <w:t>16.8.2.3</w:t>
        </w:r>
        <w:r w:rsidR="00373358" w:rsidRPr="007B72E7">
          <w:rPr>
            <w:rFonts w:eastAsiaTheme="minorEastAsia"/>
            <w:sz w:val="20"/>
            <w:szCs w:val="20"/>
          </w:rPr>
          <w:tab/>
        </w:r>
        <w:r w:rsidR="00373358" w:rsidRPr="007B72E7">
          <w:rPr>
            <w:rStyle w:val="Hyperlink"/>
            <w:sz w:val="20"/>
            <w:szCs w:val="20"/>
            <w:u w:val="none"/>
          </w:rPr>
          <w:t>ERCOT Approval or Rejection of CRR Account Holder Application</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_Toc148960859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16-34</w:t>
        </w:r>
        <w:r w:rsidR="00373358" w:rsidRPr="007B72E7">
          <w:rPr>
            <w:webHidden/>
            <w:sz w:val="20"/>
            <w:szCs w:val="20"/>
          </w:rPr>
          <w:fldChar w:fldCharType="end"/>
        </w:r>
      </w:hyperlink>
    </w:p>
    <w:p w14:paraId="4026856E" w14:textId="7FA16964" w:rsidR="00373358" w:rsidRPr="007B72E7" w:rsidRDefault="00A34A95" w:rsidP="00461B44">
      <w:pPr>
        <w:pStyle w:val="TOC3"/>
        <w:rPr>
          <w:rFonts w:eastAsiaTheme="minorEastAsia"/>
          <w:i w:val="0"/>
          <w:iCs w:val="0"/>
          <w:noProof/>
        </w:rPr>
      </w:pPr>
      <w:hyperlink w:anchor="_Toc148960860" w:history="1">
        <w:r w:rsidR="00373358" w:rsidRPr="007B72E7">
          <w:rPr>
            <w:rStyle w:val="Hyperlink"/>
            <w:i w:val="0"/>
            <w:iCs w:val="0"/>
            <w:noProof/>
            <w:u w:val="none"/>
          </w:rPr>
          <w:t>16.8.3</w:t>
        </w:r>
        <w:r w:rsidR="00373358" w:rsidRPr="007B72E7">
          <w:rPr>
            <w:rFonts w:eastAsiaTheme="minorEastAsia"/>
            <w:i w:val="0"/>
            <w:iCs w:val="0"/>
            <w:noProof/>
          </w:rPr>
          <w:tab/>
        </w:r>
        <w:r w:rsidR="00373358" w:rsidRPr="007B72E7">
          <w:rPr>
            <w:rStyle w:val="Hyperlink"/>
            <w:i w:val="0"/>
            <w:iCs w:val="0"/>
            <w:noProof/>
            <w:u w:val="none"/>
          </w:rPr>
          <w:t>Remaining Steps for CRR Account Holder Registration</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_Toc148960860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16-35</w:t>
        </w:r>
        <w:r w:rsidR="00373358" w:rsidRPr="007B72E7">
          <w:rPr>
            <w:i w:val="0"/>
            <w:iCs w:val="0"/>
            <w:noProof/>
            <w:webHidden/>
          </w:rPr>
          <w:fldChar w:fldCharType="end"/>
        </w:r>
      </w:hyperlink>
    </w:p>
    <w:p w14:paraId="20D99DBC" w14:textId="1F672C7A" w:rsidR="00373358" w:rsidRPr="007B72E7" w:rsidRDefault="00A34A95">
      <w:pPr>
        <w:pStyle w:val="TOC4"/>
        <w:rPr>
          <w:rFonts w:eastAsiaTheme="minorEastAsia"/>
          <w:sz w:val="20"/>
          <w:szCs w:val="20"/>
        </w:rPr>
      </w:pPr>
      <w:hyperlink w:anchor="_Toc148960861" w:history="1">
        <w:r w:rsidR="00373358" w:rsidRPr="007B72E7">
          <w:rPr>
            <w:rStyle w:val="Hyperlink"/>
            <w:sz w:val="20"/>
            <w:szCs w:val="20"/>
            <w:u w:val="none"/>
          </w:rPr>
          <w:t>16.8.3.1</w:t>
        </w:r>
        <w:r w:rsidR="00373358" w:rsidRPr="007B72E7">
          <w:rPr>
            <w:rFonts w:eastAsiaTheme="minorEastAsia"/>
            <w:sz w:val="20"/>
            <w:szCs w:val="20"/>
          </w:rPr>
          <w:tab/>
        </w:r>
        <w:r w:rsidR="00373358" w:rsidRPr="007B72E7">
          <w:rPr>
            <w:rStyle w:val="Hyperlink"/>
            <w:sz w:val="20"/>
            <w:szCs w:val="20"/>
            <w:u w:val="none"/>
          </w:rPr>
          <w:t>Maintaining and Updating CRR Account Holder Information</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_Toc148960861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16-35</w:t>
        </w:r>
        <w:r w:rsidR="00373358" w:rsidRPr="007B72E7">
          <w:rPr>
            <w:webHidden/>
            <w:sz w:val="20"/>
            <w:szCs w:val="20"/>
          </w:rPr>
          <w:fldChar w:fldCharType="end"/>
        </w:r>
      </w:hyperlink>
    </w:p>
    <w:p w14:paraId="578507CB" w14:textId="275297DC" w:rsidR="00373358" w:rsidRPr="007B72E7" w:rsidRDefault="00A34A95" w:rsidP="00373358">
      <w:pPr>
        <w:pStyle w:val="TOC2"/>
        <w:rPr>
          <w:rFonts w:eastAsiaTheme="minorEastAsia"/>
        </w:rPr>
      </w:pPr>
      <w:hyperlink w:anchor="_Toc148960862" w:history="1">
        <w:r w:rsidR="00373358" w:rsidRPr="007B72E7">
          <w:rPr>
            <w:rStyle w:val="Hyperlink"/>
            <w:u w:val="none"/>
          </w:rPr>
          <w:t>16.9</w:t>
        </w:r>
        <w:r w:rsidR="00373358" w:rsidRPr="007B72E7">
          <w:rPr>
            <w:rFonts w:eastAsiaTheme="minorEastAsia"/>
          </w:rPr>
          <w:tab/>
        </w:r>
        <w:r w:rsidR="00373358" w:rsidRPr="007B72E7">
          <w:rPr>
            <w:rStyle w:val="Hyperlink"/>
            <w:u w:val="none"/>
          </w:rPr>
          <w:t>Resources Providing Reliability Must-Run Service</w:t>
        </w:r>
        <w:r w:rsidR="00373358" w:rsidRPr="007B72E7">
          <w:rPr>
            <w:webHidden/>
          </w:rPr>
          <w:tab/>
        </w:r>
        <w:r w:rsidR="00373358" w:rsidRPr="007B72E7">
          <w:rPr>
            <w:webHidden/>
          </w:rPr>
          <w:fldChar w:fldCharType="begin"/>
        </w:r>
        <w:r w:rsidR="00373358" w:rsidRPr="007B72E7">
          <w:rPr>
            <w:webHidden/>
          </w:rPr>
          <w:instrText xml:space="preserve"> PAGEREF _Toc148960862 \h </w:instrText>
        </w:r>
        <w:r w:rsidR="00373358" w:rsidRPr="007B72E7">
          <w:rPr>
            <w:webHidden/>
          </w:rPr>
        </w:r>
        <w:r w:rsidR="00373358" w:rsidRPr="007B72E7">
          <w:rPr>
            <w:webHidden/>
          </w:rPr>
          <w:fldChar w:fldCharType="separate"/>
        </w:r>
        <w:r w:rsidR="007B72E7" w:rsidRPr="007B72E7">
          <w:rPr>
            <w:webHidden/>
          </w:rPr>
          <w:t>16-36</w:t>
        </w:r>
        <w:r w:rsidR="00373358" w:rsidRPr="007B72E7">
          <w:rPr>
            <w:webHidden/>
          </w:rPr>
          <w:fldChar w:fldCharType="end"/>
        </w:r>
      </w:hyperlink>
    </w:p>
    <w:p w14:paraId="2588D010" w14:textId="6DC90523" w:rsidR="00373358" w:rsidRPr="007B72E7" w:rsidRDefault="00A34A95" w:rsidP="00373358">
      <w:pPr>
        <w:pStyle w:val="TOC2"/>
        <w:rPr>
          <w:rFonts w:eastAsiaTheme="minorEastAsia"/>
        </w:rPr>
      </w:pPr>
      <w:hyperlink w:anchor="_Toc148960863" w:history="1">
        <w:r w:rsidR="00373358" w:rsidRPr="007B72E7">
          <w:rPr>
            <w:rStyle w:val="Hyperlink"/>
            <w:u w:val="none"/>
          </w:rPr>
          <w:t>16.10</w:t>
        </w:r>
        <w:r w:rsidR="00373358" w:rsidRPr="007B72E7">
          <w:rPr>
            <w:rFonts w:eastAsiaTheme="minorEastAsia"/>
          </w:rPr>
          <w:tab/>
        </w:r>
        <w:r w:rsidR="00373358" w:rsidRPr="007B72E7">
          <w:rPr>
            <w:rStyle w:val="Hyperlink"/>
            <w:u w:val="none"/>
          </w:rPr>
          <w:t>Resources Providing Black Start Service</w:t>
        </w:r>
        <w:r w:rsidR="00373358" w:rsidRPr="007B72E7">
          <w:rPr>
            <w:webHidden/>
          </w:rPr>
          <w:tab/>
        </w:r>
        <w:r w:rsidR="00373358" w:rsidRPr="007B72E7">
          <w:rPr>
            <w:webHidden/>
          </w:rPr>
          <w:fldChar w:fldCharType="begin"/>
        </w:r>
        <w:r w:rsidR="00373358" w:rsidRPr="007B72E7">
          <w:rPr>
            <w:webHidden/>
          </w:rPr>
          <w:instrText xml:space="preserve"> PAGEREF _Toc148960863 \h </w:instrText>
        </w:r>
        <w:r w:rsidR="00373358" w:rsidRPr="007B72E7">
          <w:rPr>
            <w:webHidden/>
          </w:rPr>
        </w:r>
        <w:r w:rsidR="00373358" w:rsidRPr="007B72E7">
          <w:rPr>
            <w:webHidden/>
          </w:rPr>
          <w:fldChar w:fldCharType="separate"/>
        </w:r>
        <w:r w:rsidR="007B72E7" w:rsidRPr="007B72E7">
          <w:rPr>
            <w:webHidden/>
          </w:rPr>
          <w:t>16-36</w:t>
        </w:r>
        <w:r w:rsidR="00373358" w:rsidRPr="007B72E7">
          <w:rPr>
            <w:webHidden/>
          </w:rPr>
          <w:fldChar w:fldCharType="end"/>
        </w:r>
      </w:hyperlink>
    </w:p>
    <w:p w14:paraId="0CA2BD13" w14:textId="7EEA33F9" w:rsidR="00373358" w:rsidRPr="007B72E7" w:rsidRDefault="00A34A95" w:rsidP="00373358">
      <w:pPr>
        <w:pStyle w:val="TOC2"/>
        <w:rPr>
          <w:rFonts w:eastAsiaTheme="minorEastAsia"/>
        </w:rPr>
      </w:pPr>
      <w:hyperlink w:anchor="_Toc148960864" w:history="1">
        <w:r w:rsidR="00373358" w:rsidRPr="007B72E7">
          <w:rPr>
            <w:rStyle w:val="Hyperlink"/>
            <w:u w:val="none"/>
          </w:rPr>
          <w:t>16.11</w:t>
        </w:r>
        <w:r w:rsidR="00373358" w:rsidRPr="007B72E7">
          <w:rPr>
            <w:rFonts w:eastAsiaTheme="minorEastAsia"/>
          </w:rPr>
          <w:tab/>
        </w:r>
        <w:r w:rsidR="00373358" w:rsidRPr="007B72E7">
          <w:rPr>
            <w:rStyle w:val="Hyperlink"/>
            <w:u w:val="none"/>
          </w:rPr>
          <w:t>Financial Security for Counter-Parties</w:t>
        </w:r>
        <w:r w:rsidR="00373358" w:rsidRPr="007B72E7">
          <w:rPr>
            <w:webHidden/>
          </w:rPr>
          <w:tab/>
        </w:r>
        <w:r w:rsidR="00373358" w:rsidRPr="007B72E7">
          <w:rPr>
            <w:webHidden/>
          </w:rPr>
          <w:fldChar w:fldCharType="begin"/>
        </w:r>
        <w:r w:rsidR="00373358" w:rsidRPr="007B72E7">
          <w:rPr>
            <w:webHidden/>
          </w:rPr>
          <w:instrText xml:space="preserve"> PAGEREF _Toc148960864 \h </w:instrText>
        </w:r>
        <w:r w:rsidR="00373358" w:rsidRPr="007B72E7">
          <w:rPr>
            <w:webHidden/>
          </w:rPr>
        </w:r>
        <w:r w:rsidR="00373358" w:rsidRPr="007B72E7">
          <w:rPr>
            <w:webHidden/>
          </w:rPr>
          <w:fldChar w:fldCharType="separate"/>
        </w:r>
        <w:r w:rsidR="007B72E7" w:rsidRPr="007B72E7">
          <w:rPr>
            <w:webHidden/>
          </w:rPr>
          <w:t>16-36</w:t>
        </w:r>
        <w:r w:rsidR="00373358" w:rsidRPr="007B72E7">
          <w:rPr>
            <w:webHidden/>
          </w:rPr>
          <w:fldChar w:fldCharType="end"/>
        </w:r>
      </w:hyperlink>
    </w:p>
    <w:p w14:paraId="5A3C2B69" w14:textId="00B76BE1" w:rsidR="00373358" w:rsidRPr="007B72E7" w:rsidRDefault="00A34A95" w:rsidP="00461B44">
      <w:pPr>
        <w:pStyle w:val="TOC3"/>
        <w:rPr>
          <w:rFonts w:eastAsiaTheme="minorEastAsia"/>
          <w:i w:val="0"/>
          <w:iCs w:val="0"/>
          <w:noProof/>
        </w:rPr>
      </w:pPr>
      <w:hyperlink w:anchor="_Toc148960865" w:history="1">
        <w:r w:rsidR="00373358" w:rsidRPr="007B72E7">
          <w:rPr>
            <w:rStyle w:val="Hyperlink"/>
            <w:i w:val="0"/>
            <w:iCs w:val="0"/>
            <w:noProof/>
            <w:u w:val="none"/>
          </w:rPr>
          <w:t>16.11.1</w:t>
        </w:r>
        <w:r w:rsidR="00373358" w:rsidRPr="007B72E7">
          <w:rPr>
            <w:rFonts w:eastAsiaTheme="minorEastAsia"/>
            <w:i w:val="0"/>
            <w:iCs w:val="0"/>
            <w:noProof/>
          </w:rPr>
          <w:tab/>
        </w:r>
        <w:r w:rsidR="00373358" w:rsidRPr="007B72E7">
          <w:rPr>
            <w:rStyle w:val="Hyperlink"/>
            <w:i w:val="0"/>
            <w:iCs w:val="0"/>
            <w:noProof/>
            <w:u w:val="none"/>
          </w:rPr>
          <w:t>ERCOT Creditworthiness Requirements for Counter-Parties</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_Toc148960865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16-36</w:t>
        </w:r>
        <w:r w:rsidR="00373358" w:rsidRPr="007B72E7">
          <w:rPr>
            <w:i w:val="0"/>
            <w:iCs w:val="0"/>
            <w:noProof/>
            <w:webHidden/>
          </w:rPr>
          <w:fldChar w:fldCharType="end"/>
        </w:r>
      </w:hyperlink>
    </w:p>
    <w:p w14:paraId="515A4D1C" w14:textId="769AF8CB" w:rsidR="00373358" w:rsidRPr="007B72E7" w:rsidRDefault="00A34A95">
      <w:pPr>
        <w:pStyle w:val="TOC4"/>
        <w:rPr>
          <w:rFonts w:eastAsiaTheme="minorEastAsia"/>
          <w:sz w:val="20"/>
          <w:szCs w:val="20"/>
        </w:rPr>
      </w:pPr>
      <w:hyperlink w:anchor="_Toc148960866" w:history="1">
        <w:r w:rsidR="00373358" w:rsidRPr="007B72E7">
          <w:rPr>
            <w:rStyle w:val="Hyperlink"/>
            <w:sz w:val="20"/>
            <w:szCs w:val="20"/>
            <w:u w:val="none"/>
          </w:rPr>
          <w:t>16.11.1.</w:t>
        </w:r>
        <w:r>
          <w:rPr>
            <w:rStyle w:val="Hyperlink"/>
            <w:sz w:val="20"/>
            <w:szCs w:val="20"/>
            <w:u w:val="none"/>
          </w:rPr>
          <w:t>1</w:t>
        </w:r>
        <w:r w:rsidR="00373358" w:rsidRPr="007B72E7">
          <w:rPr>
            <w:rFonts w:eastAsiaTheme="minorEastAsia"/>
            <w:sz w:val="20"/>
            <w:szCs w:val="20"/>
          </w:rPr>
          <w:tab/>
        </w:r>
        <w:r w:rsidR="00373358" w:rsidRPr="007B72E7">
          <w:rPr>
            <w:rStyle w:val="Hyperlink"/>
            <w:sz w:val="20"/>
            <w:szCs w:val="20"/>
            <w:u w:val="none"/>
          </w:rPr>
          <w:t>Review of Counter-Party Eligibility</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_Toc148960866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16-37</w:t>
        </w:r>
        <w:r w:rsidR="00373358" w:rsidRPr="007B72E7">
          <w:rPr>
            <w:webHidden/>
            <w:sz w:val="20"/>
            <w:szCs w:val="20"/>
          </w:rPr>
          <w:fldChar w:fldCharType="end"/>
        </w:r>
      </w:hyperlink>
    </w:p>
    <w:p w14:paraId="104D0F94" w14:textId="7A730C0E" w:rsidR="00373358" w:rsidRPr="007B72E7" w:rsidRDefault="00A34A95">
      <w:pPr>
        <w:pStyle w:val="TOC5"/>
        <w:tabs>
          <w:tab w:val="left" w:pos="3614"/>
        </w:tabs>
        <w:rPr>
          <w:rFonts w:eastAsiaTheme="minorEastAsia"/>
          <w:i w:val="0"/>
          <w:sz w:val="20"/>
          <w:szCs w:val="20"/>
        </w:rPr>
      </w:pPr>
      <w:hyperlink w:anchor="_Toc148960867" w:history="1">
        <w:r w:rsidR="00373358" w:rsidRPr="007B72E7">
          <w:rPr>
            <w:rStyle w:val="Hyperlink"/>
            <w:i w:val="0"/>
            <w:sz w:val="20"/>
            <w:szCs w:val="20"/>
            <w:u w:val="none"/>
          </w:rPr>
          <w:t>16.11.1.</w:t>
        </w:r>
        <w:r>
          <w:rPr>
            <w:rStyle w:val="Hyperlink"/>
            <w:i w:val="0"/>
            <w:sz w:val="20"/>
            <w:szCs w:val="20"/>
            <w:u w:val="none"/>
          </w:rPr>
          <w:t>1</w:t>
        </w:r>
        <w:r w:rsidR="00373358" w:rsidRPr="007B72E7">
          <w:rPr>
            <w:rStyle w:val="Hyperlink"/>
            <w:i w:val="0"/>
            <w:sz w:val="20"/>
            <w:szCs w:val="20"/>
            <w:u w:val="none"/>
          </w:rPr>
          <w:t>.1</w:t>
        </w:r>
        <w:r w:rsidR="00373358" w:rsidRPr="007B72E7">
          <w:rPr>
            <w:rFonts w:eastAsiaTheme="minorEastAsia"/>
            <w:i w:val="0"/>
            <w:sz w:val="20"/>
            <w:szCs w:val="20"/>
          </w:rPr>
          <w:tab/>
        </w:r>
        <w:r w:rsidR="00373358" w:rsidRPr="007B72E7">
          <w:rPr>
            <w:rStyle w:val="Hyperlink"/>
            <w:i w:val="0"/>
            <w:sz w:val="20"/>
            <w:szCs w:val="20"/>
            <w:u w:val="none"/>
          </w:rPr>
          <w:t>Failure to Maintain Eligibility</w:t>
        </w:r>
        <w:r w:rsidR="00373358" w:rsidRPr="007B72E7">
          <w:rPr>
            <w:i w:val="0"/>
            <w:webHidden/>
            <w:sz w:val="20"/>
            <w:szCs w:val="20"/>
          </w:rPr>
          <w:tab/>
        </w:r>
        <w:r w:rsidR="00373358" w:rsidRPr="007B72E7">
          <w:rPr>
            <w:i w:val="0"/>
            <w:webHidden/>
            <w:sz w:val="20"/>
            <w:szCs w:val="20"/>
          </w:rPr>
          <w:fldChar w:fldCharType="begin"/>
        </w:r>
        <w:r w:rsidR="00373358" w:rsidRPr="007B72E7">
          <w:rPr>
            <w:i w:val="0"/>
            <w:webHidden/>
            <w:sz w:val="20"/>
            <w:szCs w:val="20"/>
          </w:rPr>
          <w:instrText xml:space="preserve"> PAGEREF _Toc148960867 \h </w:instrText>
        </w:r>
        <w:r w:rsidR="00373358" w:rsidRPr="007B72E7">
          <w:rPr>
            <w:i w:val="0"/>
            <w:webHidden/>
            <w:sz w:val="20"/>
            <w:szCs w:val="20"/>
          </w:rPr>
        </w:r>
        <w:r w:rsidR="00373358" w:rsidRPr="007B72E7">
          <w:rPr>
            <w:i w:val="0"/>
            <w:webHidden/>
            <w:sz w:val="20"/>
            <w:szCs w:val="20"/>
          </w:rPr>
          <w:fldChar w:fldCharType="separate"/>
        </w:r>
        <w:r w:rsidR="007B72E7" w:rsidRPr="007B72E7">
          <w:rPr>
            <w:i w:val="0"/>
            <w:webHidden/>
            <w:sz w:val="20"/>
            <w:szCs w:val="20"/>
          </w:rPr>
          <w:t>16-37</w:t>
        </w:r>
        <w:r w:rsidR="00373358" w:rsidRPr="007B72E7">
          <w:rPr>
            <w:i w:val="0"/>
            <w:webHidden/>
            <w:sz w:val="20"/>
            <w:szCs w:val="20"/>
          </w:rPr>
          <w:fldChar w:fldCharType="end"/>
        </w:r>
      </w:hyperlink>
    </w:p>
    <w:p w14:paraId="775B6386" w14:textId="69B3AE86" w:rsidR="00373358" w:rsidRPr="007B72E7" w:rsidRDefault="00A34A95" w:rsidP="00461B44">
      <w:pPr>
        <w:pStyle w:val="TOC3"/>
        <w:rPr>
          <w:rFonts w:eastAsiaTheme="minorEastAsia"/>
          <w:i w:val="0"/>
          <w:iCs w:val="0"/>
          <w:noProof/>
        </w:rPr>
      </w:pPr>
      <w:hyperlink w:anchor="_Toc148960868" w:history="1">
        <w:r w:rsidR="00373358" w:rsidRPr="007B72E7">
          <w:rPr>
            <w:rStyle w:val="Hyperlink"/>
            <w:i w:val="0"/>
            <w:iCs w:val="0"/>
            <w:noProof/>
            <w:u w:val="none"/>
          </w:rPr>
          <w:t>16.11.2</w:t>
        </w:r>
        <w:r w:rsidR="00373358" w:rsidRPr="007B72E7">
          <w:rPr>
            <w:rFonts w:eastAsiaTheme="minorEastAsia"/>
            <w:i w:val="0"/>
            <w:iCs w:val="0"/>
            <w:noProof/>
          </w:rPr>
          <w:tab/>
        </w:r>
        <w:r w:rsidR="00373358" w:rsidRPr="007B72E7">
          <w:rPr>
            <w:rStyle w:val="Hyperlink"/>
            <w:i w:val="0"/>
            <w:iCs w:val="0"/>
            <w:noProof/>
            <w:u w:val="none"/>
          </w:rPr>
          <w:t>[RESERVED]</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_Toc148960868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16-38</w:t>
        </w:r>
        <w:r w:rsidR="00373358" w:rsidRPr="007B72E7">
          <w:rPr>
            <w:i w:val="0"/>
            <w:iCs w:val="0"/>
            <w:noProof/>
            <w:webHidden/>
          </w:rPr>
          <w:fldChar w:fldCharType="end"/>
        </w:r>
      </w:hyperlink>
    </w:p>
    <w:p w14:paraId="080605D1" w14:textId="5C12EB3F" w:rsidR="00373358" w:rsidRPr="007B72E7" w:rsidRDefault="00A34A95" w:rsidP="00461B44">
      <w:pPr>
        <w:pStyle w:val="TOC3"/>
        <w:rPr>
          <w:rFonts w:eastAsiaTheme="minorEastAsia"/>
          <w:i w:val="0"/>
          <w:iCs w:val="0"/>
          <w:noProof/>
        </w:rPr>
      </w:pPr>
      <w:hyperlink w:anchor="_Toc148960869" w:history="1">
        <w:r w:rsidR="00373358" w:rsidRPr="007B72E7">
          <w:rPr>
            <w:rStyle w:val="Hyperlink"/>
            <w:i w:val="0"/>
            <w:iCs w:val="0"/>
            <w:noProof/>
            <w:u w:val="none"/>
          </w:rPr>
          <w:t>16.11.3</w:t>
        </w:r>
        <w:r w:rsidR="00373358" w:rsidRPr="007B72E7">
          <w:rPr>
            <w:rFonts w:eastAsiaTheme="minorEastAsia"/>
            <w:i w:val="0"/>
            <w:iCs w:val="0"/>
            <w:noProof/>
          </w:rPr>
          <w:tab/>
        </w:r>
        <w:r w:rsidR="00373358" w:rsidRPr="007B72E7">
          <w:rPr>
            <w:rStyle w:val="Hyperlink"/>
            <w:i w:val="0"/>
            <w:iCs w:val="0"/>
            <w:noProof/>
            <w:u w:val="none"/>
          </w:rPr>
          <w:t>Alternative Means of Satisfying ERCOT Creditworthiness Requirements</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_Toc148960869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16-38</w:t>
        </w:r>
        <w:r w:rsidR="00373358" w:rsidRPr="007B72E7">
          <w:rPr>
            <w:i w:val="0"/>
            <w:iCs w:val="0"/>
            <w:noProof/>
            <w:webHidden/>
          </w:rPr>
          <w:fldChar w:fldCharType="end"/>
        </w:r>
      </w:hyperlink>
    </w:p>
    <w:p w14:paraId="6A19D965" w14:textId="2A8A51C9" w:rsidR="00373358" w:rsidRPr="007B72E7" w:rsidRDefault="00A34A95" w:rsidP="00461B44">
      <w:pPr>
        <w:pStyle w:val="TOC3"/>
        <w:rPr>
          <w:rFonts w:eastAsiaTheme="minorEastAsia"/>
          <w:i w:val="0"/>
          <w:iCs w:val="0"/>
          <w:noProof/>
        </w:rPr>
      </w:pPr>
      <w:hyperlink w:anchor="_Toc148960870" w:history="1">
        <w:r w:rsidR="00373358" w:rsidRPr="007B72E7">
          <w:rPr>
            <w:rStyle w:val="Hyperlink"/>
            <w:i w:val="0"/>
            <w:iCs w:val="0"/>
            <w:noProof/>
            <w:u w:val="none"/>
          </w:rPr>
          <w:t>16.11.4</w:t>
        </w:r>
        <w:r w:rsidR="00373358" w:rsidRPr="007B72E7">
          <w:rPr>
            <w:rFonts w:eastAsiaTheme="minorEastAsia"/>
            <w:i w:val="0"/>
            <w:iCs w:val="0"/>
            <w:noProof/>
          </w:rPr>
          <w:tab/>
        </w:r>
        <w:r w:rsidR="00373358" w:rsidRPr="007B72E7">
          <w:rPr>
            <w:rStyle w:val="Hyperlink"/>
            <w:i w:val="0"/>
            <w:iCs w:val="0"/>
            <w:noProof/>
            <w:u w:val="none"/>
          </w:rPr>
          <w:t>Determination and Monitoring of Counter-Party Credit Exposure</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_Toc148960870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16-40</w:t>
        </w:r>
        <w:r w:rsidR="00373358" w:rsidRPr="007B72E7">
          <w:rPr>
            <w:i w:val="0"/>
            <w:iCs w:val="0"/>
            <w:noProof/>
            <w:webHidden/>
          </w:rPr>
          <w:fldChar w:fldCharType="end"/>
        </w:r>
      </w:hyperlink>
    </w:p>
    <w:p w14:paraId="7CB5F9EA" w14:textId="414E807E" w:rsidR="00373358" w:rsidRPr="007B72E7" w:rsidRDefault="00A34A95">
      <w:pPr>
        <w:pStyle w:val="TOC4"/>
        <w:rPr>
          <w:rFonts w:eastAsiaTheme="minorEastAsia"/>
          <w:sz w:val="20"/>
          <w:szCs w:val="20"/>
        </w:rPr>
      </w:pPr>
      <w:hyperlink w:anchor="_Toc148960871" w:history="1">
        <w:r w:rsidR="00373358" w:rsidRPr="007B72E7">
          <w:rPr>
            <w:rStyle w:val="Hyperlink"/>
            <w:sz w:val="20"/>
            <w:szCs w:val="20"/>
            <w:u w:val="none"/>
          </w:rPr>
          <w:t>16.11.4.1</w:t>
        </w:r>
        <w:r w:rsidR="00373358" w:rsidRPr="007B72E7">
          <w:rPr>
            <w:rFonts w:eastAsiaTheme="minorEastAsia"/>
            <w:sz w:val="20"/>
            <w:szCs w:val="20"/>
          </w:rPr>
          <w:tab/>
        </w:r>
        <w:r w:rsidR="00373358" w:rsidRPr="007B72E7">
          <w:rPr>
            <w:rStyle w:val="Hyperlink"/>
            <w:sz w:val="20"/>
            <w:szCs w:val="20"/>
            <w:u w:val="none"/>
          </w:rPr>
          <w:t>Determination of Total Potential Exposure for a Counter-Party</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_Toc148960871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16-40</w:t>
        </w:r>
        <w:r w:rsidR="00373358" w:rsidRPr="007B72E7">
          <w:rPr>
            <w:webHidden/>
            <w:sz w:val="20"/>
            <w:szCs w:val="20"/>
          </w:rPr>
          <w:fldChar w:fldCharType="end"/>
        </w:r>
      </w:hyperlink>
    </w:p>
    <w:p w14:paraId="6C417A5E" w14:textId="48EAA9B9" w:rsidR="00373358" w:rsidRPr="007B72E7" w:rsidRDefault="00A34A95">
      <w:pPr>
        <w:pStyle w:val="TOC4"/>
        <w:rPr>
          <w:rFonts w:eastAsiaTheme="minorEastAsia"/>
          <w:sz w:val="20"/>
          <w:szCs w:val="20"/>
        </w:rPr>
      </w:pPr>
      <w:hyperlink w:anchor="_Toc148960872" w:history="1">
        <w:r w:rsidR="00373358" w:rsidRPr="007B72E7">
          <w:rPr>
            <w:rStyle w:val="Hyperlink"/>
            <w:sz w:val="20"/>
            <w:szCs w:val="20"/>
            <w:u w:val="none"/>
          </w:rPr>
          <w:t>16.11.4.2</w:t>
        </w:r>
        <w:r w:rsidR="00373358" w:rsidRPr="007B72E7">
          <w:rPr>
            <w:rFonts w:eastAsiaTheme="minorEastAsia"/>
            <w:sz w:val="20"/>
            <w:szCs w:val="20"/>
          </w:rPr>
          <w:tab/>
        </w:r>
        <w:r w:rsidR="00373358" w:rsidRPr="007B72E7">
          <w:rPr>
            <w:rStyle w:val="Hyperlink"/>
            <w:sz w:val="20"/>
            <w:szCs w:val="20"/>
            <w:u w:val="none"/>
          </w:rPr>
          <w:t>Determination of Counter-Party Initial Estimated Liability</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_Toc148960872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16-46</w:t>
        </w:r>
        <w:r w:rsidR="00373358" w:rsidRPr="007B72E7">
          <w:rPr>
            <w:webHidden/>
            <w:sz w:val="20"/>
            <w:szCs w:val="20"/>
          </w:rPr>
          <w:fldChar w:fldCharType="end"/>
        </w:r>
      </w:hyperlink>
    </w:p>
    <w:p w14:paraId="27006BCD" w14:textId="165427A2" w:rsidR="00373358" w:rsidRPr="007B72E7" w:rsidRDefault="00A34A95">
      <w:pPr>
        <w:pStyle w:val="TOC4"/>
        <w:rPr>
          <w:rFonts w:eastAsiaTheme="minorEastAsia"/>
          <w:sz w:val="20"/>
          <w:szCs w:val="20"/>
        </w:rPr>
      </w:pPr>
      <w:hyperlink w:anchor="_Toc148960873" w:history="1">
        <w:r w:rsidR="00373358" w:rsidRPr="007B72E7">
          <w:rPr>
            <w:rStyle w:val="Hyperlink"/>
            <w:sz w:val="20"/>
            <w:szCs w:val="20"/>
            <w:u w:val="none"/>
          </w:rPr>
          <w:t>16.11.4.3</w:t>
        </w:r>
        <w:r w:rsidR="00373358" w:rsidRPr="007B72E7">
          <w:rPr>
            <w:rFonts w:eastAsiaTheme="minorEastAsia"/>
            <w:sz w:val="20"/>
            <w:szCs w:val="20"/>
          </w:rPr>
          <w:tab/>
        </w:r>
        <w:r w:rsidR="00373358" w:rsidRPr="007B72E7">
          <w:rPr>
            <w:rStyle w:val="Hyperlink"/>
            <w:sz w:val="20"/>
            <w:szCs w:val="20"/>
            <w:u w:val="none"/>
          </w:rPr>
          <w:t>Determination of Counter-Party Estimated Aggregate Liability</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_Toc148960873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16-48</w:t>
        </w:r>
        <w:r w:rsidR="00373358" w:rsidRPr="007B72E7">
          <w:rPr>
            <w:webHidden/>
            <w:sz w:val="20"/>
            <w:szCs w:val="20"/>
          </w:rPr>
          <w:fldChar w:fldCharType="end"/>
        </w:r>
      </w:hyperlink>
    </w:p>
    <w:p w14:paraId="5634507E" w14:textId="3B77F927" w:rsidR="00373358" w:rsidRPr="007B72E7" w:rsidRDefault="00A34A95">
      <w:pPr>
        <w:pStyle w:val="TOC5"/>
        <w:tabs>
          <w:tab w:val="left" w:pos="3614"/>
        </w:tabs>
        <w:rPr>
          <w:rFonts w:eastAsiaTheme="minorEastAsia"/>
          <w:i w:val="0"/>
          <w:sz w:val="20"/>
          <w:szCs w:val="20"/>
        </w:rPr>
      </w:pPr>
      <w:hyperlink w:anchor="_Toc148960874" w:history="1">
        <w:r w:rsidR="00373358" w:rsidRPr="007B72E7">
          <w:rPr>
            <w:rStyle w:val="Hyperlink"/>
            <w:i w:val="0"/>
            <w:sz w:val="20"/>
            <w:szCs w:val="20"/>
            <w:u w:val="none"/>
          </w:rPr>
          <w:t>16.11.4.3.1</w:t>
        </w:r>
        <w:r w:rsidR="00373358" w:rsidRPr="007B72E7">
          <w:rPr>
            <w:rFonts w:eastAsiaTheme="minorEastAsia"/>
            <w:i w:val="0"/>
            <w:sz w:val="20"/>
            <w:szCs w:val="20"/>
          </w:rPr>
          <w:tab/>
        </w:r>
        <w:r w:rsidR="00373358" w:rsidRPr="007B72E7">
          <w:rPr>
            <w:rStyle w:val="Hyperlink"/>
            <w:i w:val="0"/>
            <w:sz w:val="20"/>
            <w:szCs w:val="20"/>
            <w:u w:val="none"/>
          </w:rPr>
          <w:t>Day-Ahead Liability Estimate</w:t>
        </w:r>
        <w:r w:rsidR="00373358" w:rsidRPr="007B72E7">
          <w:rPr>
            <w:i w:val="0"/>
            <w:webHidden/>
            <w:sz w:val="20"/>
            <w:szCs w:val="20"/>
          </w:rPr>
          <w:tab/>
        </w:r>
        <w:r w:rsidR="00373358" w:rsidRPr="007B72E7">
          <w:rPr>
            <w:i w:val="0"/>
            <w:webHidden/>
            <w:sz w:val="20"/>
            <w:szCs w:val="20"/>
          </w:rPr>
          <w:fldChar w:fldCharType="begin"/>
        </w:r>
        <w:r w:rsidR="00373358" w:rsidRPr="007B72E7">
          <w:rPr>
            <w:i w:val="0"/>
            <w:webHidden/>
            <w:sz w:val="20"/>
            <w:szCs w:val="20"/>
          </w:rPr>
          <w:instrText xml:space="preserve"> PAGEREF _Toc148960874 \h </w:instrText>
        </w:r>
        <w:r w:rsidR="00373358" w:rsidRPr="007B72E7">
          <w:rPr>
            <w:i w:val="0"/>
            <w:webHidden/>
            <w:sz w:val="20"/>
            <w:szCs w:val="20"/>
          </w:rPr>
        </w:r>
        <w:r w:rsidR="00373358" w:rsidRPr="007B72E7">
          <w:rPr>
            <w:i w:val="0"/>
            <w:webHidden/>
            <w:sz w:val="20"/>
            <w:szCs w:val="20"/>
          </w:rPr>
          <w:fldChar w:fldCharType="separate"/>
        </w:r>
        <w:r w:rsidR="007B72E7" w:rsidRPr="007B72E7">
          <w:rPr>
            <w:i w:val="0"/>
            <w:webHidden/>
            <w:sz w:val="20"/>
            <w:szCs w:val="20"/>
          </w:rPr>
          <w:t>16-54</w:t>
        </w:r>
        <w:r w:rsidR="00373358" w:rsidRPr="007B72E7">
          <w:rPr>
            <w:i w:val="0"/>
            <w:webHidden/>
            <w:sz w:val="20"/>
            <w:szCs w:val="20"/>
          </w:rPr>
          <w:fldChar w:fldCharType="end"/>
        </w:r>
      </w:hyperlink>
    </w:p>
    <w:p w14:paraId="3000D461" w14:textId="784211EB" w:rsidR="00373358" w:rsidRPr="007B72E7" w:rsidRDefault="00A34A95">
      <w:pPr>
        <w:pStyle w:val="TOC5"/>
        <w:tabs>
          <w:tab w:val="left" w:pos="3614"/>
        </w:tabs>
        <w:rPr>
          <w:rFonts w:eastAsiaTheme="minorEastAsia"/>
          <w:i w:val="0"/>
          <w:sz w:val="20"/>
          <w:szCs w:val="20"/>
        </w:rPr>
      </w:pPr>
      <w:hyperlink w:anchor="_Toc148960875" w:history="1">
        <w:r w:rsidR="00373358" w:rsidRPr="007B72E7">
          <w:rPr>
            <w:rStyle w:val="Hyperlink"/>
            <w:i w:val="0"/>
            <w:sz w:val="20"/>
            <w:szCs w:val="20"/>
            <w:u w:val="none"/>
          </w:rPr>
          <w:t>16.11.4.3.2</w:t>
        </w:r>
        <w:r w:rsidR="00373358" w:rsidRPr="007B72E7">
          <w:rPr>
            <w:rFonts w:eastAsiaTheme="minorEastAsia"/>
            <w:i w:val="0"/>
            <w:sz w:val="20"/>
            <w:szCs w:val="20"/>
          </w:rPr>
          <w:tab/>
        </w:r>
        <w:r w:rsidR="00373358" w:rsidRPr="007B72E7">
          <w:rPr>
            <w:rStyle w:val="Hyperlink"/>
            <w:i w:val="0"/>
            <w:sz w:val="20"/>
            <w:szCs w:val="20"/>
            <w:u w:val="none"/>
          </w:rPr>
          <w:t>Real-Time Liability Estimate</w:t>
        </w:r>
        <w:r w:rsidR="00373358" w:rsidRPr="007B72E7">
          <w:rPr>
            <w:i w:val="0"/>
            <w:webHidden/>
            <w:sz w:val="20"/>
            <w:szCs w:val="20"/>
          </w:rPr>
          <w:tab/>
        </w:r>
        <w:r w:rsidR="00373358" w:rsidRPr="007B72E7">
          <w:rPr>
            <w:i w:val="0"/>
            <w:webHidden/>
            <w:sz w:val="20"/>
            <w:szCs w:val="20"/>
          </w:rPr>
          <w:fldChar w:fldCharType="begin"/>
        </w:r>
        <w:r w:rsidR="00373358" w:rsidRPr="007B72E7">
          <w:rPr>
            <w:i w:val="0"/>
            <w:webHidden/>
            <w:sz w:val="20"/>
            <w:szCs w:val="20"/>
          </w:rPr>
          <w:instrText xml:space="preserve"> PAGEREF _Toc148960875 \h </w:instrText>
        </w:r>
        <w:r w:rsidR="00373358" w:rsidRPr="007B72E7">
          <w:rPr>
            <w:i w:val="0"/>
            <w:webHidden/>
            <w:sz w:val="20"/>
            <w:szCs w:val="20"/>
          </w:rPr>
        </w:r>
        <w:r w:rsidR="00373358" w:rsidRPr="007B72E7">
          <w:rPr>
            <w:i w:val="0"/>
            <w:webHidden/>
            <w:sz w:val="20"/>
            <w:szCs w:val="20"/>
          </w:rPr>
          <w:fldChar w:fldCharType="separate"/>
        </w:r>
        <w:r w:rsidR="007B72E7" w:rsidRPr="007B72E7">
          <w:rPr>
            <w:i w:val="0"/>
            <w:webHidden/>
            <w:sz w:val="20"/>
            <w:szCs w:val="20"/>
          </w:rPr>
          <w:t>16-55</w:t>
        </w:r>
        <w:r w:rsidR="00373358" w:rsidRPr="007B72E7">
          <w:rPr>
            <w:i w:val="0"/>
            <w:webHidden/>
            <w:sz w:val="20"/>
            <w:szCs w:val="20"/>
          </w:rPr>
          <w:fldChar w:fldCharType="end"/>
        </w:r>
      </w:hyperlink>
    </w:p>
    <w:p w14:paraId="2AE06894" w14:textId="4EE0F115" w:rsidR="00373358" w:rsidRPr="007B72E7" w:rsidRDefault="00A34A95">
      <w:pPr>
        <w:pStyle w:val="TOC5"/>
        <w:tabs>
          <w:tab w:val="left" w:pos="3614"/>
        </w:tabs>
        <w:rPr>
          <w:rFonts w:eastAsiaTheme="minorEastAsia"/>
          <w:i w:val="0"/>
          <w:sz w:val="20"/>
          <w:szCs w:val="20"/>
        </w:rPr>
      </w:pPr>
      <w:hyperlink w:anchor="_Toc148960876" w:history="1">
        <w:r w:rsidR="00373358" w:rsidRPr="007B72E7">
          <w:rPr>
            <w:rStyle w:val="Hyperlink"/>
            <w:i w:val="0"/>
            <w:sz w:val="20"/>
            <w:szCs w:val="20"/>
            <w:u w:val="none"/>
          </w:rPr>
          <w:t>16.11.4.3.3</w:t>
        </w:r>
        <w:r w:rsidR="00373358" w:rsidRPr="007B72E7">
          <w:rPr>
            <w:rFonts w:eastAsiaTheme="minorEastAsia"/>
            <w:i w:val="0"/>
            <w:sz w:val="20"/>
            <w:szCs w:val="20"/>
          </w:rPr>
          <w:tab/>
        </w:r>
        <w:r w:rsidR="00373358" w:rsidRPr="007B72E7">
          <w:rPr>
            <w:rStyle w:val="Hyperlink"/>
            <w:i w:val="0"/>
            <w:sz w:val="20"/>
            <w:szCs w:val="20"/>
            <w:u w:val="none"/>
          </w:rPr>
          <w:t>Forward Adjustment Factors</w:t>
        </w:r>
        <w:r w:rsidR="00373358" w:rsidRPr="007B72E7">
          <w:rPr>
            <w:i w:val="0"/>
            <w:webHidden/>
            <w:sz w:val="20"/>
            <w:szCs w:val="20"/>
          </w:rPr>
          <w:tab/>
        </w:r>
        <w:r w:rsidR="00373358" w:rsidRPr="007B72E7">
          <w:rPr>
            <w:i w:val="0"/>
            <w:webHidden/>
            <w:sz w:val="20"/>
            <w:szCs w:val="20"/>
          </w:rPr>
          <w:fldChar w:fldCharType="begin"/>
        </w:r>
        <w:r w:rsidR="00373358" w:rsidRPr="007B72E7">
          <w:rPr>
            <w:i w:val="0"/>
            <w:webHidden/>
            <w:sz w:val="20"/>
            <w:szCs w:val="20"/>
          </w:rPr>
          <w:instrText xml:space="preserve"> PAGEREF _Toc148960876 \h </w:instrText>
        </w:r>
        <w:r w:rsidR="00373358" w:rsidRPr="007B72E7">
          <w:rPr>
            <w:i w:val="0"/>
            <w:webHidden/>
            <w:sz w:val="20"/>
            <w:szCs w:val="20"/>
          </w:rPr>
        </w:r>
        <w:r w:rsidR="00373358" w:rsidRPr="007B72E7">
          <w:rPr>
            <w:i w:val="0"/>
            <w:webHidden/>
            <w:sz w:val="20"/>
            <w:szCs w:val="20"/>
          </w:rPr>
          <w:fldChar w:fldCharType="separate"/>
        </w:r>
        <w:r w:rsidR="007B72E7" w:rsidRPr="007B72E7">
          <w:rPr>
            <w:i w:val="0"/>
            <w:webHidden/>
            <w:sz w:val="20"/>
            <w:szCs w:val="20"/>
          </w:rPr>
          <w:t>16-56</w:t>
        </w:r>
        <w:r w:rsidR="00373358" w:rsidRPr="007B72E7">
          <w:rPr>
            <w:i w:val="0"/>
            <w:webHidden/>
            <w:sz w:val="20"/>
            <w:szCs w:val="20"/>
          </w:rPr>
          <w:fldChar w:fldCharType="end"/>
        </w:r>
      </w:hyperlink>
    </w:p>
    <w:p w14:paraId="7E18B959" w14:textId="7E61303F" w:rsidR="00373358" w:rsidRPr="007B72E7" w:rsidRDefault="00A34A95">
      <w:pPr>
        <w:pStyle w:val="TOC4"/>
        <w:rPr>
          <w:rFonts w:eastAsiaTheme="minorEastAsia"/>
          <w:sz w:val="20"/>
          <w:szCs w:val="20"/>
        </w:rPr>
      </w:pPr>
      <w:hyperlink w:anchor="_Toc148960877" w:history="1">
        <w:r w:rsidR="00373358" w:rsidRPr="007B72E7">
          <w:rPr>
            <w:rStyle w:val="Hyperlink"/>
            <w:sz w:val="20"/>
            <w:szCs w:val="20"/>
            <w:u w:val="none"/>
          </w:rPr>
          <w:t>16.11.4.4</w:t>
        </w:r>
        <w:r w:rsidR="00373358" w:rsidRPr="007B72E7">
          <w:rPr>
            <w:rFonts w:eastAsiaTheme="minorEastAsia"/>
            <w:sz w:val="20"/>
            <w:szCs w:val="20"/>
          </w:rPr>
          <w:tab/>
        </w:r>
        <w:r w:rsidR="00373358" w:rsidRPr="007B72E7">
          <w:rPr>
            <w:rStyle w:val="Hyperlink"/>
            <w:sz w:val="20"/>
            <w:szCs w:val="20"/>
            <w:u w:val="none"/>
          </w:rPr>
          <w:t>[RESERVED]</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_Toc148960877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16-58</w:t>
        </w:r>
        <w:r w:rsidR="00373358" w:rsidRPr="007B72E7">
          <w:rPr>
            <w:webHidden/>
            <w:sz w:val="20"/>
            <w:szCs w:val="20"/>
          </w:rPr>
          <w:fldChar w:fldCharType="end"/>
        </w:r>
      </w:hyperlink>
    </w:p>
    <w:p w14:paraId="158B8565" w14:textId="54EB528D" w:rsidR="00373358" w:rsidRPr="007B72E7" w:rsidRDefault="00A34A95">
      <w:pPr>
        <w:pStyle w:val="TOC4"/>
        <w:rPr>
          <w:rFonts w:eastAsiaTheme="minorEastAsia"/>
          <w:sz w:val="20"/>
          <w:szCs w:val="20"/>
        </w:rPr>
      </w:pPr>
      <w:hyperlink w:anchor="_Toc148960878" w:history="1">
        <w:r w:rsidR="00373358" w:rsidRPr="007B72E7">
          <w:rPr>
            <w:rStyle w:val="Hyperlink"/>
            <w:snapToGrid w:val="0"/>
            <w:sz w:val="20"/>
            <w:szCs w:val="20"/>
            <w:u w:val="none"/>
          </w:rPr>
          <w:t>16.11.4.5</w:t>
        </w:r>
        <w:r w:rsidR="00373358" w:rsidRPr="007B72E7">
          <w:rPr>
            <w:rFonts w:eastAsiaTheme="minorEastAsia"/>
            <w:sz w:val="20"/>
            <w:szCs w:val="20"/>
          </w:rPr>
          <w:tab/>
        </w:r>
        <w:r w:rsidR="00373358" w:rsidRPr="007B72E7">
          <w:rPr>
            <w:rStyle w:val="Hyperlink"/>
            <w:snapToGrid w:val="0"/>
            <w:sz w:val="20"/>
            <w:szCs w:val="20"/>
            <w:u w:val="none"/>
          </w:rPr>
          <w:t>Determination of the Counter-Party Future Credit Exposure</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_Toc148960878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16-58</w:t>
        </w:r>
        <w:r w:rsidR="00373358" w:rsidRPr="007B72E7">
          <w:rPr>
            <w:webHidden/>
            <w:sz w:val="20"/>
            <w:szCs w:val="20"/>
          </w:rPr>
          <w:fldChar w:fldCharType="end"/>
        </w:r>
      </w:hyperlink>
    </w:p>
    <w:p w14:paraId="2489231F" w14:textId="60B4FCA7" w:rsidR="00373358" w:rsidRPr="007B72E7" w:rsidRDefault="00A34A95">
      <w:pPr>
        <w:pStyle w:val="TOC4"/>
        <w:rPr>
          <w:rFonts w:eastAsiaTheme="minorEastAsia"/>
          <w:sz w:val="20"/>
          <w:szCs w:val="20"/>
        </w:rPr>
      </w:pPr>
      <w:hyperlink w:anchor="_Toc148960879" w:history="1">
        <w:r w:rsidR="00373358" w:rsidRPr="007B72E7">
          <w:rPr>
            <w:rStyle w:val="Hyperlink"/>
            <w:sz w:val="20"/>
            <w:szCs w:val="20"/>
            <w:u w:val="none"/>
          </w:rPr>
          <w:t>16.11.4.6</w:t>
        </w:r>
        <w:r w:rsidR="00373358" w:rsidRPr="007B72E7">
          <w:rPr>
            <w:rFonts w:eastAsiaTheme="minorEastAsia"/>
            <w:sz w:val="20"/>
            <w:szCs w:val="20"/>
          </w:rPr>
          <w:tab/>
        </w:r>
        <w:r w:rsidR="00373358" w:rsidRPr="007B72E7">
          <w:rPr>
            <w:rStyle w:val="Hyperlink"/>
            <w:sz w:val="20"/>
            <w:szCs w:val="20"/>
            <w:u w:val="none"/>
          </w:rPr>
          <w:t>Determination of Counter-Party Available Credit Limits</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_Toc148960879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16-61</w:t>
        </w:r>
        <w:r w:rsidR="00373358" w:rsidRPr="007B72E7">
          <w:rPr>
            <w:webHidden/>
            <w:sz w:val="20"/>
            <w:szCs w:val="20"/>
          </w:rPr>
          <w:fldChar w:fldCharType="end"/>
        </w:r>
      </w:hyperlink>
    </w:p>
    <w:p w14:paraId="3C153547" w14:textId="1762ACA6" w:rsidR="00373358" w:rsidRPr="007B72E7" w:rsidRDefault="00A34A95">
      <w:pPr>
        <w:pStyle w:val="TOC5"/>
        <w:tabs>
          <w:tab w:val="left" w:pos="3614"/>
        </w:tabs>
        <w:rPr>
          <w:rFonts w:eastAsiaTheme="minorEastAsia"/>
          <w:i w:val="0"/>
          <w:sz w:val="20"/>
          <w:szCs w:val="20"/>
        </w:rPr>
      </w:pPr>
      <w:hyperlink w:anchor="_Toc148960880" w:history="1">
        <w:r w:rsidR="00373358" w:rsidRPr="007B72E7">
          <w:rPr>
            <w:rStyle w:val="Hyperlink"/>
            <w:i w:val="0"/>
            <w:sz w:val="20"/>
            <w:szCs w:val="20"/>
            <w:u w:val="none"/>
          </w:rPr>
          <w:t>16.11.4.6.1</w:t>
        </w:r>
        <w:r w:rsidR="00373358" w:rsidRPr="007B72E7">
          <w:rPr>
            <w:rFonts w:eastAsiaTheme="minorEastAsia"/>
            <w:i w:val="0"/>
            <w:sz w:val="20"/>
            <w:szCs w:val="20"/>
          </w:rPr>
          <w:tab/>
        </w:r>
        <w:r w:rsidR="00373358" w:rsidRPr="007B72E7">
          <w:rPr>
            <w:rStyle w:val="Hyperlink"/>
            <w:i w:val="0"/>
            <w:sz w:val="20"/>
            <w:szCs w:val="20"/>
            <w:u w:val="none"/>
          </w:rPr>
          <w:t>Credit Requirements for CRR Auction Participation</w:t>
        </w:r>
        <w:r w:rsidR="00373358" w:rsidRPr="007B72E7">
          <w:rPr>
            <w:i w:val="0"/>
            <w:webHidden/>
            <w:sz w:val="20"/>
            <w:szCs w:val="20"/>
          </w:rPr>
          <w:tab/>
        </w:r>
        <w:r w:rsidR="00373358" w:rsidRPr="007B72E7">
          <w:rPr>
            <w:i w:val="0"/>
            <w:webHidden/>
            <w:sz w:val="20"/>
            <w:szCs w:val="20"/>
          </w:rPr>
          <w:fldChar w:fldCharType="begin"/>
        </w:r>
        <w:r w:rsidR="00373358" w:rsidRPr="007B72E7">
          <w:rPr>
            <w:i w:val="0"/>
            <w:webHidden/>
            <w:sz w:val="20"/>
            <w:szCs w:val="20"/>
          </w:rPr>
          <w:instrText xml:space="preserve"> PAGEREF _Toc148960880 \h </w:instrText>
        </w:r>
        <w:r w:rsidR="00373358" w:rsidRPr="007B72E7">
          <w:rPr>
            <w:i w:val="0"/>
            <w:webHidden/>
            <w:sz w:val="20"/>
            <w:szCs w:val="20"/>
          </w:rPr>
        </w:r>
        <w:r w:rsidR="00373358" w:rsidRPr="007B72E7">
          <w:rPr>
            <w:i w:val="0"/>
            <w:webHidden/>
            <w:sz w:val="20"/>
            <w:szCs w:val="20"/>
          </w:rPr>
          <w:fldChar w:fldCharType="separate"/>
        </w:r>
        <w:r w:rsidR="007B72E7" w:rsidRPr="007B72E7">
          <w:rPr>
            <w:i w:val="0"/>
            <w:webHidden/>
            <w:sz w:val="20"/>
            <w:szCs w:val="20"/>
          </w:rPr>
          <w:t>16-62</w:t>
        </w:r>
        <w:r w:rsidR="00373358" w:rsidRPr="007B72E7">
          <w:rPr>
            <w:i w:val="0"/>
            <w:webHidden/>
            <w:sz w:val="20"/>
            <w:szCs w:val="20"/>
          </w:rPr>
          <w:fldChar w:fldCharType="end"/>
        </w:r>
      </w:hyperlink>
    </w:p>
    <w:p w14:paraId="14A9B68B" w14:textId="25DBC0DA" w:rsidR="00373358" w:rsidRPr="007B72E7" w:rsidRDefault="00A34A95">
      <w:pPr>
        <w:pStyle w:val="TOC5"/>
        <w:tabs>
          <w:tab w:val="left" w:pos="3614"/>
        </w:tabs>
        <w:rPr>
          <w:rFonts w:eastAsiaTheme="minorEastAsia"/>
          <w:i w:val="0"/>
          <w:sz w:val="20"/>
          <w:szCs w:val="20"/>
        </w:rPr>
      </w:pPr>
      <w:hyperlink w:anchor="_Toc148960881" w:history="1">
        <w:r w:rsidR="00373358" w:rsidRPr="007B72E7">
          <w:rPr>
            <w:rStyle w:val="Hyperlink"/>
            <w:i w:val="0"/>
            <w:sz w:val="20"/>
            <w:szCs w:val="20"/>
            <w:u w:val="none"/>
          </w:rPr>
          <w:t>16.11.4.6.2</w:t>
        </w:r>
        <w:r w:rsidR="00373358" w:rsidRPr="007B72E7">
          <w:rPr>
            <w:rFonts w:eastAsiaTheme="minorEastAsia"/>
            <w:i w:val="0"/>
            <w:sz w:val="20"/>
            <w:szCs w:val="20"/>
          </w:rPr>
          <w:tab/>
        </w:r>
        <w:r w:rsidR="00373358" w:rsidRPr="007B72E7">
          <w:rPr>
            <w:rStyle w:val="Hyperlink"/>
            <w:i w:val="0"/>
            <w:sz w:val="20"/>
            <w:szCs w:val="20"/>
            <w:u w:val="none"/>
          </w:rPr>
          <w:t>Credit Requirements for DAM Participation</w:t>
        </w:r>
        <w:r w:rsidR="00373358" w:rsidRPr="007B72E7">
          <w:rPr>
            <w:i w:val="0"/>
            <w:webHidden/>
            <w:sz w:val="20"/>
            <w:szCs w:val="20"/>
          </w:rPr>
          <w:tab/>
        </w:r>
        <w:r w:rsidR="00373358" w:rsidRPr="007B72E7">
          <w:rPr>
            <w:i w:val="0"/>
            <w:webHidden/>
            <w:sz w:val="20"/>
            <w:szCs w:val="20"/>
          </w:rPr>
          <w:fldChar w:fldCharType="begin"/>
        </w:r>
        <w:r w:rsidR="00373358" w:rsidRPr="007B72E7">
          <w:rPr>
            <w:i w:val="0"/>
            <w:webHidden/>
            <w:sz w:val="20"/>
            <w:szCs w:val="20"/>
          </w:rPr>
          <w:instrText xml:space="preserve"> PAGEREF _Toc148960881 \h </w:instrText>
        </w:r>
        <w:r w:rsidR="00373358" w:rsidRPr="007B72E7">
          <w:rPr>
            <w:i w:val="0"/>
            <w:webHidden/>
            <w:sz w:val="20"/>
            <w:szCs w:val="20"/>
          </w:rPr>
        </w:r>
        <w:r w:rsidR="00373358" w:rsidRPr="007B72E7">
          <w:rPr>
            <w:i w:val="0"/>
            <w:webHidden/>
            <w:sz w:val="20"/>
            <w:szCs w:val="20"/>
          </w:rPr>
          <w:fldChar w:fldCharType="separate"/>
        </w:r>
        <w:r w:rsidR="007B72E7" w:rsidRPr="007B72E7">
          <w:rPr>
            <w:i w:val="0"/>
            <w:webHidden/>
            <w:sz w:val="20"/>
            <w:szCs w:val="20"/>
          </w:rPr>
          <w:t>16-63</w:t>
        </w:r>
        <w:r w:rsidR="00373358" w:rsidRPr="007B72E7">
          <w:rPr>
            <w:i w:val="0"/>
            <w:webHidden/>
            <w:sz w:val="20"/>
            <w:szCs w:val="20"/>
          </w:rPr>
          <w:fldChar w:fldCharType="end"/>
        </w:r>
      </w:hyperlink>
    </w:p>
    <w:p w14:paraId="4DCCAC7D" w14:textId="6F3CF804" w:rsidR="00373358" w:rsidRPr="007B72E7" w:rsidRDefault="00A34A95">
      <w:pPr>
        <w:pStyle w:val="TOC4"/>
        <w:rPr>
          <w:rFonts w:eastAsiaTheme="minorEastAsia"/>
          <w:sz w:val="20"/>
          <w:szCs w:val="20"/>
        </w:rPr>
      </w:pPr>
      <w:hyperlink w:anchor="_Toc148960882" w:history="1">
        <w:r w:rsidR="00373358" w:rsidRPr="007B72E7">
          <w:rPr>
            <w:rStyle w:val="Hyperlink"/>
            <w:sz w:val="20"/>
            <w:szCs w:val="20"/>
            <w:u w:val="none"/>
          </w:rPr>
          <w:t>16.11.4.7</w:t>
        </w:r>
        <w:r w:rsidR="00373358" w:rsidRPr="007B72E7">
          <w:rPr>
            <w:rFonts w:eastAsiaTheme="minorEastAsia"/>
            <w:sz w:val="20"/>
            <w:szCs w:val="20"/>
          </w:rPr>
          <w:tab/>
        </w:r>
        <w:r w:rsidR="00373358" w:rsidRPr="007B72E7">
          <w:rPr>
            <w:rStyle w:val="Hyperlink"/>
            <w:sz w:val="20"/>
            <w:szCs w:val="20"/>
            <w:u w:val="none"/>
          </w:rPr>
          <w:t>Credit Monitoring and Management Reports</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_Toc148960882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16-63</w:t>
        </w:r>
        <w:r w:rsidR="00373358" w:rsidRPr="007B72E7">
          <w:rPr>
            <w:webHidden/>
            <w:sz w:val="20"/>
            <w:szCs w:val="20"/>
          </w:rPr>
          <w:fldChar w:fldCharType="end"/>
        </w:r>
      </w:hyperlink>
    </w:p>
    <w:p w14:paraId="400227E1" w14:textId="1508C540" w:rsidR="00373358" w:rsidRPr="007B72E7" w:rsidRDefault="00A34A95" w:rsidP="00461B44">
      <w:pPr>
        <w:pStyle w:val="TOC3"/>
        <w:rPr>
          <w:rFonts w:eastAsiaTheme="minorEastAsia"/>
          <w:i w:val="0"/>
          <w:iCs w:val="0"/>
          <w:noProof/>
        </w:rPr>
      </w:pPr>
      <w:hyperlink w:anchor="_Toc148960883" w:history="1">
        <w:r w:rsidR="00373358" w:rsidRPr="007B72E7">
          <w:rPr>
            <w:rStyle w:val="Hyperlink"/>
            <w:i w:val="0"/>
            <w:iCs w:val="0"/>
            <w:noProof/>
            <w:u w:val="none"/>
          </w:rPr>
          <w:t>16.11.5</w:t>
        </w:r>
        <w:r w:rsidR="00373358" w:rsidRPr="007B72E7">
          <w:rPr>
            <w:rFonts w:eastAsiaTheme="minorEastAsia"/>
            <w:i w:val="0"/>
            <w:iCs w:val="0"/>
            <w:noProof/>
          </w:rPr>
          <w:tab/>
        </w:r>
        <w:r w:rsidR="00373358" w:rsidRPr="007B72E7">
          <w:rPr>
            <w:rStyle w:val="Hyperlink"/>
            <w:i w:val="0"/>
            <w:iCs w:val="0"/>
            <w:noProof/>
            <w:u w:val="none"/>
          </w:rPr>
          <w:t>Monitoring of a Counter-Party’s Creditworthiness and Credit Exposure by ERCOT</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_Toc148960883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16-64</w:t>
        </w:r>
        <w:r w:rsidR="00373358" w:rsidRPr="007B72E7">
          <w:rPr>
            <w:i w:val="0"/>
            <w:iCs w:val="0"/>
            <w:noProof/>
            <w:webHidden/>
          </w:rPr>
          <w:fldChar w:fldCharType="end"/>
        </w:r>
      </w:hyperlink>
    </w:p>
    <w:p w14:paraId="2DC0AEDE" w14:textId="3A545A58" w:rsidR="00373358" w:rsidRPr="007B72E7" w:rsidRDefault="00A34A95" w:rsidP="00461B44">
      <w:pPr>
        <w:pStyle w:val="TOC3"/>
        <w:rPr>
          <w:rFonts w:eastAsiaTheme="minorEastAsia"/>
          <w:i w:val="0"/>
          <w:iCs w:val="0"/>
          <w:noProof/>
        </w:rPr>
      </w:pPr>
      <w:hyperlink w:anchor="_Toc148960884" w:history="1">
        <w:r w:rsidR="00373358" w:rsidRPr="007B72E7">
          <w:rPr>
            <w:rStyle w:val="Hyperlink"/>
            <w:i w:val="0"/>
            <w:iCs w:val="0"/>
            <w:noProof/>
            <w:u w:val="none"/>
          </w:rPr>
          <w:t>16.11.6</w:t>
        </w:r>
        <w:r w:rsidR="00373358" w:rsidRPr="007B72E7">
          <w:rPr>
            <w:rFonts w:eastAsiaTheme="minorEastAsia"/>
            <w:i w:val="0"/>
            <w:iCs w:val="0"/>
            <w:noProof/>
          </w:rPr>
          <w:tab/>
        </w:r>
        <w:r w:rsidR="00373358" w:rsidRPr="007B72E7">
          <w:rPr>
            <w:rStyle w:val="Hyperlink"/>
            <w:i w:val="0"/>
            <w:iCs w:val="0"/>
            <w:noProof/>
            <w:u w:val="none"/>
          </w:rPr>
          <w:t>Payment Breach and Late Payments by Market Participants</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_Toc148960884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16-67</w:t>
        </w:r>
        <w:r w:rsidR="00373358" w:rsidRPr="007B72E7">
          <w:rPr>
            <w:i w:val="0"/>
            <w:iCs w:val="0"/>
            <w:noProof/>
            <w:webHidden/>
          </w:rPr>
          <w:fldChar w:fldCharType="end"/>
        </w:r>
      </w:hyperlink>
    </w:p>
    <w:p w14:paraId="5401431A" w14:textId="134C32E7" w:rsidR="00373358" w:rsidRPr="007B72E7" w:rsidRDefault="00A34A95">
      <w:pPr>
        <w:pStyle w:val="TOC4"/>
        <w:rPr>
          <w:rFonts w:eastAsiaTheme="minorEastAsia"/>
          <w:sz w:val="20"/>
          <w:szCs w:val="20"/>
        </w:rPr>
      </w:pPr>
      <w:hyperlink w:anchor="_Toc148960885" w:history="1">
        <w:r w:rsidR="00373358" w:rsidRPr="007B72E7">
          <w:rPr>
            <w:rStyle w:val="Hyperlink"/>
            <w:sz w:val="20"/>
            <w:szCs w:val="20"/>
            <w:u w:val="none"/>
          </w:rPr>
          <w:t>16.11.6.1</w:t>
        </w:r>
        <w:r w:rsidR="00373358" w:rsidRPr="007B72E7">
          <w:rPr>
            <w:rFonts w:eastAsiaTheme="minorEastAsia"/>
            <w:sz w:val="20"/>
            <w:szCs w:val="20"/>
          </w:rPr>
          <w:tab/>
        </w:r>
        <w:r w:rsidR="00373358" w:rsidRPr="007B72E7">
          <w:rPr>
            <w:rStyle w:val="Hyperlink"/>
            <w:sz w:val="20"/>
            <w:szCs w:val="20"/>
            <w:u w:val="none"/>
          </w:rPr>
          <w:t>ERCOT’s Remedies</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_Toc148960885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16-68</w:t>
        </w:r>
        <w:r w:rsidR="00373358" w:rsidRPr="007B72E7">
          <w:rPr>
            <w:webHidden/>
            <w:sz w:val="20"/>
            <w:szCs w:val="20"/>
          </w:rPr>
          <w:fldChar w:fldCharType="end"/>
        </w:r>
      </w:hyperlink>
    </w:p>
    <w:p w14:paraId="4F782F16" w14:textId="7B2BF5F9" w:rsidR="00373358" w:rsidRPr="007B72E7" w:rsidRDefault="00A34A95">
      <w:pPr>
        <w:pStyle w:val="TOC5"/>
        <w:tabs>
          <w:tab w:val="left" w:pos="3614"/>
        </w:tabs>
        <w:rPr>
          <w:rFonts w:eastAsiaTheme="minorEastAsia"/>
          <w:i w:val="0"/>
          <w:sz w:val="20"/>
          <w:szCs w:val="20"/>
        </w:rPr>
      </w:pPr>
      <w:hyperlink w:anchor="_Toc148960886" w:history="1">
        <w:r w:rsidR="00373358" w:rsidRPr="007B72E7">
          <w:rPr>
            <w:rStyle w:val="Hyperlink"/>
            <w:i w:val="0"/>
            <w:sz w:val="20"/>
            <w:szCs w:val="20"/>
            <w:u w:val="none"/>
          </w:rPr>
          <w:t>16.11.6.1.1</w:t>
        </w:r>
        <w:r w:rsidR="00373358" w:rsidRPr="007B72E7">
          <w:rPr>
            <w:rFonts w:eastAsiaTheme="minorEastAsia"/>
            <w:i w:val="0"/>
            <w:sz w:val="20"/>
            <w:szCs w:val="20"/>
          </w:rPr>
          <w:tab/>
        </w:r>
        <w:r w:rsidR="00373358" w:rsidRPr="007B72E7">
          <w:rPr>
            <w:rStyle w:val="Hyperlink"/>
            <w:i w:val="0"/>
            <w:sz w:val="20"/>
            <w:szCs w:val="20"/>
            <w:u w:val="none"/>
          </w:rPr>
          <w:t>No Payments by ERCOT to Market Participant</w:t>
        </w:r>
        <w:r w:rsidR="00373358" w:rsidRPr="007B72E7">
          <w:rPr>
            <w:i w:val="0"/>
            <w:webHidden/>
            <w:sz w:val="20"/>
            <w:szCs w:val="20"/>
          </w:rPr>
          <w:tab/>
        </w:r>
        <w:r w:rsidR="00373358" w:rsidRPr="007B72E7">
          <w:rPr>
            <w:i w:val="0"/>
            <w:webHidden/>
            <w:sz w:val="20"/>
            <w:szCs w:val="20"/>
          </w:rPr>
          <w:fldChar w:fldCharType="begin"/>
        </w:r>
        <w:r w:rsidR="00373358" w:rsidRPr="007B72E7">
          <w:rPr>
            <w:i w:val="0"/>
            <w:webHidden/>
            <w:sz w:val="20"/>
            <w:szCs w:val="20"/>
          </w:rPr>
          <w:instrText xml:space="preserve"> PAGEREF _Toc148960886 \h </w:instrText>
        </w:r>
        <w:r w:rsidR="00373358" w:rsidRPr="007B72E7">
          <w:rPr>
            <w:i w:val="0"/>
            <w:webHidden/>
            <w:sz w:val="20"/>
            <w:szCs w:val="20"/>
          </w:rPr>
        </w:r>
        <w:r w:rsidR="00373358" w:rsidRPr="007B72E7">
          <w:rPr>
            <w:i w:val="0"/>
            <w:webHidden/>
            <w:sz w:val="20"/>
            <w:szCs w:val="20"/>
          </w:rPr>
          <w:fldChar w:fldCharType="separate"/>
        </w:r>
        <w:r w:rsidR="007B72E7" w:rsidRPr="007B72E7">
          <w:rPr>
            <w:i w:val="0"/>
            <w:webHidden/>
            <w:sz w:val="20"/>
            <w:szCs w:val="20"/>
          </w:rPr>
          <w:t>16-69</w:t>
        </w:r>
        <w:r w:rsidR="00373358" w:rsidRPr="007B72E7">
          <w:rPr>
            <w:i w:val="0"/>
            <w:webHidden/>
            <w:sz w:val="20"/>
            <w:szCs w:val="20"/>
          </w:rPr>
          <w:fldChar w:fldCharType="end"/>
        </w:r>
      </w:hyperlink>
    </w:p>
    <w:p w14:paraId="50B33562" w14:textId="6FFC67BE" w:rsidR="00373358" w:rsidRPr="007B72E7" w:rsidRDefault="00A34A95">
      <w:pPr>
        <w:pStyle w:val="TOC5"/>
        <w:tabs>
          <w:tab w:val="left" w:pos="3614"/>
        </w:tabs>
        <w:rPr>
          <w:rFonts w:eastAsiaTheme="minorEastAsia"/>
          <w:i w:val="0"/>
          <w:sz w:val="20"/>
          <w:szCs w:val="20"/>
        </w:rPr>
      </w:pPr>
      <w:hyperlink w:anchor="_Toc148960887" w:history="1">
        <w:r w:rsidR="00373358" w:rsidRPr="007B72E7">
          <w:rPr>
            <w:rStyle w:val="Hyperlink"/>
            <w:i w:val="0"/>
            <w:sz w:val="20"/>
            <w:szCs w:val="20"/>
            <w:u w:val="none"/>
          </w:rPr>
          <w:t>16.11.6.1.2</w:t>
        </w:r>
        <w:r w:rsidR="00373358" w:rsidRPr="007B72E7">
          <w:rPr>
            <w:rFonts w:eastAsiaTheme="minorEastAsia"/>
            <w:i w:val="0"/>
            <w:sz w:val="20"/>
            <w:szCs w:val="20"/>
          </w:rPr>
          <w:tab/>
        </w:r>
        <w:r w:rsidR="00373358" w:rsidRPr="007B72E7">
          <w:rPr>
            <w:rStyle w:val="Hyperlink"/>
            <w:i w:val="0"/>
            <w:sz w:val="20"/>
            <w:szCs w:val="20"/>
            <w:u w:val="none"/>
          </w:rPr>
          <w:t>ERCOT May Draw On, Hold or Distribute Funds</w:t>
        </w:r>
        <w:r w:rsidR="00373358" w:rsidRPr="007B72E7">
          <w:rPr>
            <w:i w:val="0"/>
            <w:webHidden/>
            <w:sz w:val="20"/>
            <w:szCs w:val="20"/>
          </w:rPr>
          <w:tab/>
        </w:r>
        <w:r w:rsidR="00373358" w:rsidRPr="007B72E7">
          <w:rPr>
            <w:i w:val="0"/>
            <w:webHidden/>
            <w:sz w:val="20"/>
            <w:szCs w:val="20"/>
          </w:rPr>
          <w:fldChar w:fldCharType="begin"/>
        </w:r>
        <w:r w:rsidR="00373358" w:rsidRPr="007B72E7">
          <w:rPr>
            <w:i w:val="0"/>
            <w:webHidden/>
            <w:sz w:val="20"/>
            <w:szCs w:val="20"/>
          </w:rPr>
          <w:instrText xml:space="preserve"> PAGEREF _Toc148960887 \h </w:instrText>
        </w:r>
        <w:r w:rsidR="00373358" w:rsidRPr="007B72E7">
          <w:rPr>
            <w:i w:val="0"/>
            <w:webHidden/>
            <w:sz w:val="20"/>
            <w:szCs w:val="20"/>
          </w:rPr>
        </w:r>
        <w:r w:rsidR="00373358" w:rsidRPr="007B72E7">
          <w:rPr>
            <w:i w:val="0"/>
            <w:webHidden/>
            <w:sz w:val="20"/>
            <w:szCs w:val="20"/>
          </w:rPr>
          <w:fldChar w:fldCharType="separate"/>
        </w:r>
        <w:r w:rsidR="007B72E7" w:rsidRPr="007B72E7">
          <w:rPr>
            <w:i w:val="0"/>
            <w:webHidden/>
            <w:sz w:val="20"/>
            <w:szCs w:val="20"/>
          </w:rPr>
          <w:t>16-69</w:t>
        </w:r>
        <w:r w:rsidR="00373358" w:rsidRPr="007B72E7">
          <w:rPr>
            <w:i w:val="0"/>
            <w:webHidden/>
            <w:sz w:val="20"/>
            <w:szCs w:val="20"/>
          </w:rPr>
          <w:fldChar w:fldCharType="end"/>
        </w:r>
      </w:hyperlink>
    </w:p>
    <w:p w14:paraId="0613DB01" w14:textId="5AB6E8BC" w:rsidR="00373358" w:rsidRPr="007B72E7" w:rsidRDefault="00A34A95">
      <w:pPr>
        <w:pStyle w:val="TOC5"/>
        <w:tabs>
          <w:tab w:val="left" w:pos="3614"/>
        </w:tabs>
        <w:rPr>
          <w:rFonts w:eastAsiaTheme="minorEastAsia"/>
          <w:i w:val="0"/>
          <w:sz w:val="20"/>
          <w:szCs w:val="20"/>
        </w:rPr>
      </w:pPr>
      <w:hyperlink w:anchor="_Toc148960888" w:history="1">
        <w:r w:rsidR="00373358" w:rsidRPr="007B72E7">
          <w:rPr>
            <w:rStyle w:val="Hyperlink"/>
            <w:i w:val="0"/>
            <w:sz w:val="20"/>
            <w:szCs w:val="20"/>
            <w:u w:val="none"/>
          </w:rPr>
          <w:t>16.11.6.1.3</w:t>
        </w:r>
        <w:r w:rsidR="00373358" w:rsidRPr="007B72E7">
          <w:rPr>
            <w:rFonts w:eastAsiaTheme="minorEastAsia"/>
            <w:i w:val="0"/>
            <w:sz w:val="20"/>
            <w:szCs w:val="20"/>
          </w:rPr>
          <w:tab/>
        </w:r>
        <w:r w:rsidR="00373358" w:rsidRPr="007B72E7">
          <w:rPr>
            <w:rStyle w:val="Hyperlink"/>
            <w:i w:val="0"/>
            <w:sz w:val="20"/>
            <w:szCs w:val="20"/>
            <w:u w:val="none"/>
          </w:rPr>
          <w:t>Aggregate Amount Owed by Breaching Market Participant Immediately Due</w:t>
        </w:r>
        <w:r w:rsidR="00373358" w:rsidRPr="007B72E7">
          <w:rPr>
            <w:i w:val="0"/>
            <w:webHidden/>
            <w:sz w:val="20"/>
            <w:szCs w:val="20"/>
          </w:rPr>
          <w:tab/>
        </w:r>
        <w:r w:rsidR="00373358" w:rsidRPr="007B72E7">
          <w:rPr>
            <w:i w:val="0"/>
            <w:webHidden/>
            <w:sz w:val="20"/>
            <w:szCs w:val="20"/>
          </w:rPr>
          <w:fldChar w:fldCharType="begin"/>
        </w:r>
        <w:r w:rsidR="00373358" w:rsidRPr="007B72E7">
          <w:rPr>
            <w:i w:val="0"/>
            <w:webHidden/>
            <w:sz w:val="20"/>
            <w:szCs w:val="20"/>
          </w:rPr>
          <w:instrText xml:space="preserve"> PAGEREF _Toc148960888 \h </w:instrText>
        </w:r>
        <w:r w:rsidR="00373358" w:rsidRPr="007B72E7">
          <w:rPr>
            <w:i w:val="0"/>
            <w:webHidden/>
            <w:sz w:val="20"/>
            <w:szCs w:val="20"/>
          </w:rPr>
        </w:r>
        <w:r w:rsidR="00373358" w:rsidRPr="007B72E7">
          <w:rPr>
            <w:i w:val="0"/>
            <w:webHidden/>
            <w:sz w:val="20"/>
            <w:szCs w:val="20"/>
          </w:rPr>
          <w:fldChar w:fldCharType="separate"/>
        </w:r>
        <w:r w:rsidR="007B72E7" w:rsidRPr="007B72E7">
          <w:rPr>
            <w:i w:val="0"/>
            <w:webHidden/>
            <w:sz w:val="20"/>
            <w:szCs w:val="20"/>
          </w:rPr>
          <w:t>16-69</w:t>
        </w:r>
        <w:r w:rsidR="00373358" w:rsidRPr="007B72E7">
          <w:rPr>
            <w:i w:val="0"/>
            <w:webHidden/>
            <w:sz w:val="20"/>
            <w:szCs w:val="20"/>
          </w:rPr>
          <w:fldChar w:fldCharType="end"/>
        </w:r>
      </w:hyperlink>
    </w:p>
    <w:p w14:paraId="42C56624" w14:textId="462AC228" w:rsidR="00373358" w:rsidRPr="007B72E7" w:rsidRDefault="00A34A95">
      <w:pPr>
        <w:pStyle w:val="TOC5"/>
        <w:tabs>
          <w:tab w:val="left" w:pos="3614"/>
        </w:tabs>
        <w:rPr>
          <w:rFonts w:eastAsiaTheme="minorEastAsia"/>
          <w:i w:val="0"/>
          <w:sz w:val="20"/>
          <w:szCs w:val="20"/>
        </w:rPr>
      </w:pPr>
      <w:hyperlink w:anchor="_Toc148960889" w:history="1">
        <w:r w:rsidR="00373358" w:rsidRPr="007B72E7">
          <w:rPr>
            <w:rStyle w:val="Hyperlink"/>
            <w:i w:val="0"/>
            <w:sz w:val="20"/>
            <w:szCs w:val="20"/>
            <w:u w:val="none"/>
          </w:rPr>
          <w:t>16.11.6.1.4</w:t>
        </w:r>
        <w:r w:rsidR="00373358" w:rsidRPr="007B72E7">
          <w:rPr>
            <w:rFonts w:eastAsiaTheme="minorEastAsia"/>
            <w:i w:val="0"/>
            <w:sz w:val="20"/>
            <w:szCs w:val="20"/>
          </w:rPr>
          <w:tab/>
        </w:r>
        <w:r w:rsidR="00373358" w:rsidRPr="007B72E7">
          <w:rPr>
            <w:rStyle w:val="Hyperlink"/>
            <w:i w:val="0"/>
            <w:sz w:val="20"/>
            <w:szCs w:val="20"/>
            <w:u w:val="none"/>
          </w:rPr>
          <w:t>Repossession of CRRs by ERCOT</w:t>
        </w:r>
        <w:r w:rsidR="00373358" w:rsidRPr="007B72E7">
          <w:rPr>
            <w:i w:val="0"/>
            <w:webHidden/>
            <w:sz w:val="20"/>
            <w:szCs w:val="20"/>
          </w:rPr>
          <w:tab/>
        </w:r>
        <w:r w:rsidR="00373358" w:rsidRPr="007B72E7">
          <w:rPr>
            <w:i w:val="0"/>
            <w:webHidden/>
            <w:sz w:val="20"/>
            <w:szCs w:val="20"/>
          </w:rPr>
          <w:fldChar w:fldCharType="begin"/>
        </w:r>
        <w:r w:rsidR="00373358" w:rsidRPr="007B72E7">
          <w:rPr>
            <w:i w:val="0"/>
            <w:webHidden/>
            <w:sz w:val="20"/>
            <w:szCs w:val="20"/>
          </w:rPr>
          <w:instrText xml:space="preserve"> PAGEREF _Toc148960889 \h </w:instrText>
        </w:r>
        <w:r w:rsidR="00373358" w:rsidRPr="007B72E7">
          <w:rPr>
            <w:i w:val="0"/>
            <w:webHidden/>
            <w:sz w:val="20"/>
            <w:szCs w:val="20"/>
          </w:rPr>
        </w:r>
        <w:r w:rsidR="00373358" w:rsidRPr="007B72E7">
          <w:rPr>
            <w:i w:val="0"/>
            <w:webHidden/>
            <w:sz w:val="20"/>
            <w:szCs w:val="20"/>
          </w:rPr>
          <w:fldChar w:fldCharType="separate"/>
        </w:r>
        <w:r w:rsidR="007B72E7" w:rsidRPr="007B72E7">
          <w:rPr>
            <w:i w:val="0"/>
            <w:webHidden/>
            <w:sz w:val="20"/>
            <w:szCs w:val="20"/>
          </w:rPr>
          <w:t>16-69</w:t>
        </w:r>
        <w:r w:rsidR="00373358" w:rsidRPr="007B72E7">
          <w:rPr>
            <w:i w:val="0"/>
            <w:webHidden/>
            <w:sz w:val="20"/>
            <w:szCs w:val="20"/>
          </w:rPr>
          <w:fldChar w:fldCharType="end"/>
        </w:r>
      </w:hyperlink>
    </w:p>
    <w:p w14:paraId="29EC566F" w14:textId="513829F6" w:rsidR="00373358" w:rsidRPr="007B72E7" w:rsidRDefault="00A34A95">
      <w:pPr>
        <w:pStyle w:val="TOC5"/>
        <w:tabs>
          <w:tab w:val="left" w:pos="3614"/>
        </w:tabs>
        <w:rPr>
          <w:rFonts w:eastAsiaTheme="minorEastAsia"/>
          <w:i w:val="0"/>
          <w:sz w:val="20"/>
          <w:szCs w:val="20"/>
        </w:rPr>
      </w:pPr>
      <w:hyperlink w:anchor="_Toc148960890" w:history="1">
        <w:r w:rsidR="00373358" w:rsidRPr="007B72E7">
          <w:rPr>
            <w:rStyle w:val="Hyperlink"/>
            <w:i w:val="0"/>
            <w:sz w:val="20"/>
            <w:szCs w:val="20"/>
            <w:u w:val="none"/>
          </w:rPr>
          <w:t>16.11.6.1.5</w:t>
        </w:r>
        <w:r w:rsidR="00373358" w:rsidRPr="007B72E7">
          <w:rPr>
            <w:rFonts w:eastAsiaTheme="minorEastAsia"/>
            <w:i w:val="0"/>
            <w:sz w:val="20"/>
            <w:szCs w:val="20"/>
          </w:rPr>
          <w:tab/>
        </w:r>
        <w:r w:rsidR="00373358" w:rsidRPr="007B72E7">
          <w:rPr>
            <w:rStyle w:val="Hyperlink"/>
            <w:i w:val="0"/>
            <w:sz w:val="20"/>
            <w:szCs w:val="20"/>
            <w:u w:val="none"/>
          </w:rPr>
          <w:t>Declaration of Forfeit of CRRs</w:t>
        </w:r>
        <w:r w:rsidR="00373358" w:rsidRPr="007B72E7">
          <w:rPr>
            <w:i w:val="0"/>
            <w:webHidden/>
            <w:sz w:val="20"/>
            <w:szCs w:val="20"/>
          </w:rPr>
          <w:tab/>
        </w:r>
        <w:r w:rsidR="00373358" w:rsidRPr="007B72E7">
          <w:rPr>
            <w:i w:val="0"/>
            <w:webHidden/>
            <w:sz w:val="20"/>
            <w:szCs w:val="20"/>
          </w:rPr>
          <w:fldChar w:fldCharType="begin"/>
        </w:r>
        <w:r w:rsidR="00373358" w:rsidRPr="007B72E7">
          <w:rPr>
            <w:i w:val="0"/>
            <w:webHidden/>
            <w:sz w:val="20"/>
            <w:szCs w:val="20"/>
          </w:rPr>
          <w:instrText xml:space="preserve"> PAGEREF _Toc148960890 \h </w:instrText>
        </w:r>
        <w:r w:rsidR="00373358" w:rsidRPr="007B72E7">
          <w:rPr>
            <w:i w:val="0"/>
            <w:webHidden/>
            <w:sz w:val="20"/>
            <w:szCs w:val="20"/>
          </w:rPr>
        </w:r>
        <w:r w:rsidR="00373358" w:rsidRPr="007B72E7">
          <w:rPr>
            <w:i w:val="0"/>
            <w:webHidden/>
            <w:sz w:val="20"/>
            <w:szCs w:val="20"/>
          </w:rPr>
          <w:fldChar w:fldCharType="separate"/>
        </w:r>
        <w:r w:rsidR="007B72E7" w:rsidRPr="007B72E7">
          <w:rPr>
            <w:i w:val="0"/>
            <w:webHidden/>
            <w:sz w:val="20"/>
            <w:szCs w:val="20"/>
          </w:rPr>
          <w:t>16-70</w:t>
        </w:r>
        <w:r w:rsidR="00373358" w:rsidRPr="007B72E7">
          <w:rPr>
            <w:i w:val="0"/>
            <w:webHidden/>
            <w:sz w:val="20"/>
            <w:szCs w:val="20"/>
          </w:rPr>
          <w:fldChar w:fldCharType="end"/>
        </w:r>
      </w:hyperlink>
    </w:p>
    <w:p w14:paraId="6469F87F" w14:textId="3536EFDD" w:rsidR="00373358" w:rsidRPr="007B72E7" w:rsidRDefault="00A34A95">
      <w:pPr>
        <w:pStyle w:val="TOC5"/>
        <w:tabs>
          <w:tab w:val="left" w:pos="3614"/>
        </w:tabs>
        <w:rPr>
          <w:rFonts w:eastAsiaTheme="minorEastAsia"/>
          <w:i w:val="0"/>
          <w:sz w:val="20"/>
          <w:szCs w:val="20"/>
        </w:rPr>
      </w:pPr>
      <w:hyperlink w:anchor="_Toc148960892" w:history="1">
        <w:r w:rsidR="00373358" w:rsidRPr="007B72E7">
          <w:rPr>
            <w:rStyle w:val="Hyperlink"/>
            <w:i w:val="0"/>
            <w:sz w:val="20"/>
            <w:szCs w:val="20"/>
            <w:u w:val="none"/>
          </w:rPr>
          <w:t>16.11.6.1.6</w:t>
        </w:r>
        <w:r w:rsidR="00373358" w:rsidRPr="007B72E7">
          <w:rPr>
            <w:rFonts w:eastAsiaTheme="minorEastAsia"/>
            <w:i w:val="0"/>
            <w:sz w:val="20"/>
            <w:szCs w:val="20"/>
          </w:rPr>
          <w:tab/>
        </w:r>
        <w:r w:rsidR="00373358" w:rsidRPr="007B72E7">
          <w:rPr>
            <w:rStyle w:val="Hyperlink"/>
            <w:i w:val="0"/>
            <w:sz w:val="20"/>
            <w:szCs w:val="20"/>
            <w:u w:val="none"/>
          </w:rPr>
          <w:t>Revocation of a Market Participant’s Rights and Termination of Agreements</w:t>
        </w:r>
        <w:r w:rsidR="00373358" w:rsidRPr="007B72E7">
          <w:rPr>
            <w:i w:val="0"/>
            <w:webHidden/>
            <w:sz w:val="20"/>
            <w:szCs w:val="20"/>
          </w:rPr>
          <w:tab/>
        </w:r>
        <w:r w:rsidR="00373358" w:rsidRPr="007B72E7">
          <w:rPr>
            <w:i w:val="0"/>
            <w:webHidden/>
            <w:sz w:val="20"/>
            <w:szCs w:val="20"/>
          </w:rPr>
          <w:fldChar w:fldCharType="begin"/>
        </w:r>
        <w:r w:rsidR="00373358" w:rsidRPr="007B72E7">
          <w:rPr>
            <w:i w:val="0"/>
            <w:webHidden/>
            <w:sz w:val="20"/>
            <w:szCs w:val="20"/>
          </w:rPr>
          <w:instrText xml:space="preserve"> PAGEREF _Toc148960892 \h </w:instrText>
        </w:r>
        <w:r w:rsidR="00373358" w:rsidRPr="007B72E7">
          <w:rPr>
            <w:i w:val="0"/>
            <w:webHidden/>
            <w:sz w:val="20"/>
            <w:szCs w:val="20"/>
          </w:rPr>
        </w:r>
        <w:r w:rsidR="00373358" w:rsidRPr="007B72E7">
          <w:rPr>
            <w:i w:val="0"/>
            <w:webHidden/>
            <w:sz w:val="20"/>
            <w:szCs w:val="20"/>
          </w:rPr>
          <w:fldChar w:fldCharType="separate"/>
        </w:r>
        <w:r w:rsidR="007B72E7" w:rsidRPr="007B72E7">
          <w:rPr>
            <w:i w:val="0"/>
            <w:webHidden/>
            <w:sz w:val="20"/>
            <w:szCs w:val="20"/>
          </w:rPr>
          <w:t>16-73</w:t>
        </w:r>
        <w:r w:rsidR="00373358" w:rsidRPr="007B72E7">
          <w:rPr>
            <w:i w:val="0"/>
            <w:webHidden/>
            <w:sz w:val="20"/>
            <w:szCs w:val="20"/>
          </w:rPr>
          <w:fldChar w:fldCharType="end"/>
        </w:r>
      </w:hyperlink>
    </w:p>
    <w:p w14:paraId="506F1DF1" w14:textId="63655EFC" w:rsidR="00373358" w:rsidRPr="007B72E7" w:rsidRDefault="00A34A95">
      <w:pPr>
        <w:pStyle w:val="TOC4"/>
        <w:rPr>
          <w:rFonts w:eastAsiaTheme="minorEastAsia"/>
          <w:sz w:val="20"/>
          <w:szCs w:val="20"/>
        </w:rPr>
      </w:pPr>
      <w:hyperlink w:anchor="_Toc148960893" w:history="1">
        <w:r w:rsidR="00373358" w:rsidRPr="007B72E7">
          <w:rPr>
            <w:rStyle w:val="Hyperlink"/>
            <w:sz w:val="20"/>
            <w:szCs w:val="20"/>
            <w:u w:val="none"/>
          </w:rPr>
          <w:t>16.11.6.2</w:t>
        </w:r>
        <w:r w:rsidR="00373358" w:rsidRPr="007B72E7">
          <w:rPr>
            <w:rFonts w:eastAsiaTheme="minorEastAsia"/>
            <w:sz w:val="20"/>
            <w:szCs w:val="20"/>
          </w:rPr>
          <w:tab/>
        </w:r>
        <w:r w:rsidR="00373358" w:rsidRPr="007B72E7">
          <w:rPr>
            <w:rStyle w:val="Hyperlink"/>
            <w:sz w:val="20"/>
            <w:szCs w:val="20"/>
            <w:u w:val="none"/>
          </w:rPr>
          <w:t>ERCOT’s Remedies for Late Payments by a Market Participant</w:t>
        </w:r>
        <w:r w:rsidR="00373358" w:rsidRPr="007B72E7">
          <w:rPr>
            <w:webHidden/>
            <w:sz w:val="20"/>
            <w:szCs w:val="20"/>
          </w:rPr>
          <w:tab/>
        </w:r>
        <w:r w:rsidR="00373358" w:rsidRPr="007B72E7">
          <w:rPr>
            <w:webHidden/>
            <w:sz w:val="20"/>
            <w:szCs w:val="20"/>
          </w:rPr>
          <w:fldChar w:fldCharType="begin"/>
        </w:r>
        <w:r w:rsidR="00373358" w:rsidRPr="007B72E7">
          <w:rPr>
            <w:webHidden/>
            <w:sz w:val="20"/>
            <w:szCs w:val="20"/>
          </w:rPr>
          <w:instrText xml:space="preserve"> PAGEREF _Toc148960893 \h </w:instrText>
        </w:r>
        <w:r w:rsidR="00373358" w:rsidRPr="007B72E7">
          <w:rPr>
            <w:webHidden/>
            <w:sz w:val="20"/>
            <w:szCs w:val="20"/>
          </w:rPr>
        </w:r>
        <w:r w:rsidR="00373358" w:rsidRPr="007B72E7">
          <w:rPr>
            <w:webHidden/>
            <w:sz w:val="20"/>
            <w:szCs w:val="20"/>
          </w:rPr>
          <w:fldChar w:fldCharType="separate"/>
        </w:r>
        <w:r w:rsidR="007B72E7" w:rsidRPr="007B72E7">
          <w:rPr>
            <w:webHidden/>
            <w:sz w:val="20"/>
            <w:szCs w:val="20"/>
          </w:rPr>
          <w:t>16-74</w:t>
        </w:r>
        <w:r w:rsidR="00373358" w:rsidRPr="007B72E7">
          <w:rPr>
            <w:webHidden/>
            <w:sz w:val="20"/>
            <w:szCs w:val="20"/>
          </w:rPr>
          <w:fldChar w:fldCharType="end"/>
        </w:r>
      </w:hyperlink>
    </w:p>
    <w:p w14:paraId="51DC7F6A" w14:textId="3D50483D" w:rsidR="00373358" w:rsidRPr="007B72E7" w:rsidRDefault="00A34A95">
      <w:pPr>
        <w:pStyle w:val="TOC5"/>
        <w:tabs>
          <w:tab w:val="left" w:pos="3614"/>
        </w:tabs>
        <w:rPr>
          <w:rFonts w:eastAsiaTheme="minorEastAsia"/>
          <w:i w:val="0"/>
          <w:sz w:val="20"/>
          <w:szCs w:val="20"/>
        </w:rPr>
      </w:pPr>
      <w:hyperlink w:anchor="_Toc148960894" w:history="1">
        <w:r w:rsidR="00373358" w:rsidRPr="007B72E7">
          <w:rPr>
            <w:rStyle w:val="Hyperlink"/>
            <w:i w:val="0"/>
            <w:sz w:val="20"/>
            <w:szCs w:val="20"/>
            <w:u w:val="none"/>
          </w:rPr>
          <w:t>16.11.6.2.1</w:t>
        </w:r>
        <w:r w:rsidR="00373358" w:rsidRPr="007B72E7">
          <w:rPr>
            <w:rFonts w:eastAsiaTheme="minorEastAsia"/>
            <w:i w:val="0"/>
            <w:sz w:val="20"/>
            <w:szCs w:val="20"/>
          </w:rPr>
          <w:tab/>
        </w:r>
        <w:r w:rsidR="00373358" w:rsidRPr="007B72E7">
          <w:rPr>
            <w:rStyle w:val="Hyperlink"/>
            <w:i w:val="0"/>
            <w:sz w:val="20"/>
            <w:szCs w:val="20"/>
            <w:u w:val="none"/>
          </w:rPr>
          <w:t>First Late Payment in Any Rolling 12-Month Period</w:t>
        </w:r>
        <w:r w:rsidR="00373358" w:rsidRPr="007B72E7">
          <w:rPr>
            <w:i w:val="0"/>
            <w:webHidden/>
            <w:sz w:val="20"/>
            <w:szCs w:val="20"/>
          </w:rPr>
          <w:tab/>
        </w:r>
        <w:r w:rsidR="00373358" w:rsidRPr="007B72E7">
          <w:rPr>
            <w:i w:val="0"/>
            <w:webHidden/>
            <w:sz w:val="20"/>
            <w:szCs w:val="20"/>
          </w:rPr>
          <w:fldChar w:fldCharType="begin"/>
        </w:r>
        <w:r w:rsidR="00373358" w:rsidRPr="007B72E7">
          <w:rPr>
            <w:i w:val="0"/>
            <w:webHidden/>
            <w:sz w:val="20"/>
            <w:szCs w:val="20"/>
          </w:rPr>
          <w:instrText xml:space="preserve"> PAGEREF _Toc148960894 \h </w:instrText>
        </w:r>
        <w:r w:rsidR="00373358" w:rsidRPr="007B72E7">
          <w:rPr>
            <w:i w:val="0"/>
            <w:webHidden/>
            <w:sz w:val="20"/>
            <w:szCs w:val="20"/>
          </w:rPr>
        </w:r>
        <w:r w:rsidR="00373358" w:rsidRPr="007B72E7">
          <w:rPr>
            <w:i w:val="0"/>
            <w:webHidden/>
            <w:sz w:val="20"/>
            <w:szCs w:val="20"/>
          </w:rPr>
          <w:fldChar w:fldCharType="separate"/>
        </w:r>
        <w:r w:rsidR="007B72E7" w:rsidRPr="007B72E7">
          <w:rPr>
            <w:i w:val="0"/>
            <w:webHidden/>
            <w:sz w:val="20"/>
            <w:szCs w:val="20"/>
          </w:rPr>
          <w:t>16-74</w:t>
        </w:r>
        <w:r w:rsidR="00373358" w:rsidRPr="007B72E7">
          <w:rPr>
            <w:i w:val="0"/>
            <w:webHidden/>
            <w:sz w:val="20"/>
            <w:szCs w:val="20"/>
          </w:rPr>
          <w:fldChar w:fldCharType="end"/>
        </w:r>
      </w:hyperlink>
    </w:p>
    <w:p w14:paraId="1310EFAF" w14:textId="3CD600EB" w:rsidR="00373358" w:rsidRPr="007B72E7" w:rsidRDefault="00A34A95">
      <w:pPr>
        <w:pStyle w:val="TOC5"/>
        <w:tabs>
          <w:tab w:val="left" w:pos="3614"/>
        </w:tabs>
        <w:rPr>
          <w:rFonts w:eastAsiaTheme="minorEastAsia"/>
          <w:i w:val="0"/>
          <w:sz w:val="20"/>
          <w:szCs w:val="20"/>
        </w:rPr>
      </w:pPr>
      <w:hyperlink w:anchor="_Toc148960895" w:history="1">
        <w:r w:rsidR="00373358" w:rsidRPr="007B72E7">
          <w:rPr>
            <w:rStyle w:val="Hyperlink"/>
            <w:i w:val="0"/>
            <w:sz w:val="20"/>
            <w:szCs w:val="20"/>
            <w:u w:val="none"/>
          </w:rPr>
          <w:t>16.11.6.2.2</w:t>
        </w:r>
        <w:r w:rsidR="00373358" w:rsidRPr="007B72E7">
          <w:rPr>
            <w:rFonts w:eastAsiaTheme="minorEastAsia"/>
            <w:i w:val="0"/>
            <w:sz w:val="20"/>
            <w:szCs w:val="20"/>
          </w:rPr>
          <w:tab/>
        </w:r>
        <w:r w:rsidR="00373358" w:rsidRPr="007B72E7">
          <w:rPr>
            <w:rStyle w:val="Hyperlink"/>
            <w:i w:val="0"/>
            <w:sz w:val="20"/>
            <w:szCs w:val="20"/>
            <w:u w:val="none"/>
          </w:rPr>
          <w:t>Second Late Payment in Any Rolling 12-Month Period</w:t>
        </w:r>
        <w:r w:rsidR="00373358" w:rsidRPr="007B72E7">
          <w:rPr>
            <w:i w:val="0"/>
            <w:webHidden/>
            <w:sz w:val="20"/>
            <w:szCs w:val="20"/>
          </w:rPr>
          <w:tab/>
        </w:r>
        <w:r w:rsidR="00373358" w:rsidRPr="007B72E7">
          <w:rPr>
            <w:i w:val="0"/>
            <w:webHidden/>
            <w:sz w:val="20"/>
            <w:szCs w:val="20"/>
          </w:rPr>
          <w:fldChar w:fldCharType="begin"/>
        </w:r>
        <w:r w:rsidR="00373358" w:rsidRPr="007B72E7">
          <w:rPr>
            <w:i w:val="0"/>
            <w:webHidden/>
            <w:sz w:val="20"/>
            <w:szCs w:val="20"/>
          </w:rPr>
          <w:instrText xml:space="preserve"> PAGEREF _Toc148960895 \h </w:instrText>
        </w:r>
        <w:r w:rsidR="00373358" w:rsidRPr="007B72E7">
          <w:rPr>
            <w:i w:val="0"/>
            <w:webHidden/>
            <w:sz w:val="20"/>
            <w:szCs w:val="20"/>
          </w:rPr>
        </w:r>
        <w:r w:rsidR="00373358" w:rsidRPr="007B72E7">
          <w:rPr>
            <w:i w:val="0"/>
            <w:webHidden/>
            <w:sz w:val="20"/>
            <w:szCs w:val="20"/>
          </w:rPr>
          <w:fldChar w:fldCharType="separate"/>
        </w:r>
        <w:r w:rsidR="007B72E7" w:rsidRPr="007B72E7">
          <w:rPr>
            <w:i w:val="0"/>
            <w:webHidden/>
            <w:sz w:val="20"/>
            <w:szCs w:val="20"/>
          </w:rPr>
          <w:t>16-74</w:t>
        </w:r>
        <w:r w:rsidR="00373358" w:rsidRPr="007B72E7">
          <w:rPr>
            <w:i w:val="0"/>
            <w:webHidden/>
            <w:sz w:val="20"/>
            <w:szCs w:val="20"/>
          </w:rPr>
          <w:fldChar w:fldCharType="end"/>
        </w:r>
      </w:hyperlink>
    </w:p>
    <w:p w14:paraId="0BC7CED0" w14:textId="686AD96E" w:rsidR="00373358" w:rsidRPr="007B72E7" w:rsidRDefault="00A34A95">
      <w:pPr>
        <w:pStyle w:val="TOC5"/>
        <w:tabs>
          <w:tab w:val="left" w:pos="3614"/>
        </w:tabs>
        <w:rPr>
          <w:rFonts w:eastAsiaTheme="minorEastAsia"/>
          <w:i w:val="0"/>
          <w:sz w:val="20"/>
          <w:szCs w:val="20"/>
        </w:rPr>
      </w:pPr>
      <w:hyperlink w:anchor="_Toc148960896" w:history="1">
        <w:r w:rsidR="00373358" w:rsidRPr="007B72E7">
          <w:rPr>
            <w:rStyle w:val="Hyperlink"/>
            <w:i w:val="0"/>
            <w:sz w:val="20"/>
            <w:szCs w:val="20"/>
            <w:u w:val="none"/>
          </w:rPr>
          <w:t>16.11.6.2.3</w:t>
        </w:r>
        <w:r w:rsidR="00373358" w:rsidRPr="007B72E7">
          <w:rPr>
            <w:rFonts w:eastAsiaTheme="minorEastAsia"/>
            <w:i w:val="0"/>
            <w:sz w:val="20"/>
            <w:szCs w:val="20"/>
          </w:rPr>
          <w:tab/>
        </w:r>
        <w:r w:rsidR="00373358" w:rsidRPr="007B72E7">
          <w:rPr>
            <w:rStyle w:val="Hyperlink"/>
            <w:i w:val="0"/>
            <w:sz w:val="20"/>
            <w:szCs w:val="20"/>
            <w:u w:val="none"/>
          </w:rPr>
          <w:t>Third Late Payment in Any Rolling 12-Month Period</w:t>
        </w:r>
        <w:r w:rsidR="00373358" w:rsidRPr="007B72E7">
          <w:rPr>
            <w:i w:val="0"/>
            <w:webHidden/>
            <w:sz w:val="20"/>
            <w:szCs w:val="20"/>
          </w:rPr>
          <w:tab/>
        </w:r>
        <w:r w:rsidR="00373358" w:rsidRPr="007B72E7">
          <w:rPr>
            <w:i w:val="0"/>
            <w:webHidden/>
            <w:sz w:val="20"/>
            <w:szCs w:val="20"/>
          </w:rPr>
          <w:fldChar w:fldCharType="begin"/>
        </w:r>
        <w:r w:rsidR="00373358" w:rsidRPr="007B72E7">
          <w:rPr>
            <w:i w:val="0"/>
            <w:webHidden/>
            <w:sz w:val="20"/>
            <w:szCs w:val="20"/>
          </w:rPr>
          <w:instrText xml:space="preserve"> PAGEREF _Toc148960896 \h </w:instrText>
        </w:r>
        <w:r w:rsidR="00373358" w:rsidRPr="007B72E7">
          <w:rPr>
            <w:i w:val="0"/>
            <w:webHidden/>
            <w:sz w:val="20"/>
            <w:szCs w:val="20"/>
          </w:rPr>
        </w:r>
        <w:r w:rsidR="00373358" w:rsidRPr="007B72E7">
          <w:rPr>
            <w:i w:val="0"/>
            <w:webHidden/>
            <w:sz w:val="20"/>
            <w:szCs w:val="20"/>
          </w:rPr>
          <w:fldChar w:fldCharType="separate"/>
        </w:r>
        <w:r w:rsidR="007B72E7" w:rsidRPr="007B72E7">
          <w:rPr>
            <w:i w:val="0"/>
            <w:webHidden/>
            <w:sz w:val="20"/>
            <w:szCs w:val="20"/>
          </w:rPr>
          <w:t>16-74</w:t>
        </w:r>
        <w:r w:rsidR="00373358" w:rsidRPr="007B72E7">
          <w:rPr>
            <w:i w:val="0"/>
            <w:webHidden/>
            <w:sz w:val="20"/>
            <w:szCs w:val="20"/>
          </w:rPr>
          <w:fldChar w:fldCharType="end"/>
        </w:r>
      </w:hyperlink>
    </w:p>
    <w:p w14:paraId="0B55CAEC" w14:textId="3590DBBE" w:rsidR="00373358" w:rsidRPr="007B72E7" w:rsidRDefault="00A34A95">
      <w:pPr>
        <w:pStyle w:val="TOC5"/>
        <w:tabs>
          <w:tab w:val="left" w:pos="3614"/>
        </w:tabs>
        <w:rPr>
          <w:rFonts w:eastAsiaTheme="minorEastAsia"/>
          <w:i w:val="0"/>
          <w:sz w:val="20"/>
          <w:szCs w:val="20"/>
        </w:rPr>
      </w:pPr>
      <w:hyperlink w:anchor="_Toc148960897" w:history="1">
        <w:r w:rsidR="00373358" w:rsidRPr="007B72E7">
          <w:rPr>
            <w:rStyle w:val="Hyperlink"/>
            <w:i w:val="0"/>
            <w:sz w:val="20"/>
            <w:szCs w:val="20"/>
            <w:u w:val="none"/>
          </w:rPr>
          <w:t>16.11.6.2.4</w:t>
        </w:r>
        <w:r w:rsidR="00373358" w:rsidRPr="007B72E7">
          <w:rPr>
            <w:rFonts w:eastAsiaTheme="minorEastAsia"/>
            <w:i w:val="0"/>
            <w:sz w:val="20"/>
            <w:szCs w:val="20"/>
          </w:rPr>
          <w:tab/>
        </w:r>
        <w:r w:rsidR="00373358" w:rsidRPr="007B72E7">
          <w:rPr>
            <w:rStyle w:val="Hyperlink"/>
            <w:i w:val="0"/>
            <w:sz w:val="20"/>
            <w:szCs w:val="20"/>
            <w:u w:val="none"/>
          </w:rPr>
          <w:t>Fourth Late Payment in Any Rolling 12-Month Period</w:t>
        </w:r>
        <w:r w:rsidR="00373358" w:rsidRPr="007B72E7">
          <w:rPr>
            <w:i w:val="0"/>
            <w:webHidden/>
            <w:sz w:val="20"/>
            <w:szCs w:val="20"/>
          </w:rPr>
          <w:tab/>
        </w:r>
        <w:r w:rsidR="00373358" w:rsidRPr="007B72E7">
          <w:rPr>
            <w:i w:val="0"/>
            <w:webHidden/>
            <w:sz w:val="20"/>
            <w:szCs w:val="20"/>
          </w:rPr>
          <w:fldChar w:fldCharType="begin"/>
        </w:r>
        <w:r w:rsidR="00373358" w:rsidRPr="007B72E7">
          <w:rPr>
            <w:i w:val="0"/>
            <w:webHidden/>
            <w:sz w:val="20"/>
            <w:szCs w:val="20"/>
          </w:rPr>
          <w:instrText xml:space="preserve"> PAGEREF _Toc148960897 \h </w:instrText>
        </w:r>
        <w:r w:rsidR="00373358" w:rsidRPr="007B72E7">
          <w:rPr>
            <w:i w:val="0"/>
            <w:webHidden/>
            <w:sz w:val="20"/>
            <w:szCs w:val="20"/>
          </w:rPr>
        </w:r>
        <w:r w:rsidR="00373358" w:rsidRPr="007B72E7">
          <w:rPr>
            <w:i w:val="0"/>
            <w:webHidden/>
            <w:sz w:val="20"/>
            <w:szCs w:val="20"/>
          </w:rPr>
          <w:fldChar w:fldCharType="separate"/>
        </w:r>
        <w:r w:rsidR="007B72E7" w:rsidRPr="007B72E7">
          <w:rPr>
            <w:i w:val="0"/>
            <w:webHidden/>
            <w:sz w:val="20"/>
            <w:szCs w:val="20"/>
          </w:rPr>
          <w:t>16-75</w:t>
        </w:r>
        <w:r w:rsidR="00373358" w:rsidRPr="007B72E7">
          <w:rPr>
            <w:i w:val="0"/>
            <w:webHidden/>
            <w:sz w:val="20"/>
            <w:szCs w:val="20"/>
          </w:rPr>
          <w:fldChar w:fldCharType="end"/>
        </w:r>
      </w:hyperlink>
    </w:p>
    <w:p w14:paraId="75566C8A" w14:textId="093FE203" w:rsidR="00373358" w:rsidRPr="007B72E7" w:rsidRDefault="00A34A95">
      <w:pPr>
        <w:pStyle w:val="TOC5"/>
        <w:tabs>
          <w:tab w:val="left" w:pos="3614"/>
        </w:tabs>
        <w:rPr>
          <w:rFonts w:eastAsiaTheme="minorEastAsia"/>
          <w:i w:val="0"/>
          <w:sz w:val="20"/>
          <w:szCs w:val="20"/>
        </w:rPr>
      </w:pPr>
      <w:hyperlink w:anchor="_Toc148960898" w:history="1">
        <w:r w:rsidR="00373358" w:rsidRPr="007B72E7">
          <w:rPr>
            <w:rStyle w:val="Hyperlink"/>
            <w:i w:val="0"/>
            <w:sz w:val="20"/>
            <w:szCs w:val="20"/>
            <w:u w:val="none"/>
          </w:rPr>
          <w:t>16.11.6.2.5</w:t>
        </w:r>
        <w:r w:rsidR="00373358" w:rsidRPr="007B72E7">
          <w:rPr>
            <w:rFonts w:eastAsiaTheme="minorEastAsia"/>
            <w:i w:val="0"/>
            <w:sz w:val="20"/>
            <w:szCs w:val="20"/>
          </w:rPr>
          <w:tab/>
        </w:r>
        <w:r w:rsidR="00373358" w:rsidRPr="007B72E7">
          <w:rPr>
            <w:rStyle w:val="Hyperlink"/>
            <w:i w:val="0"/>
            <w:sz w:val="20"/>
            <w:szCs w:val="20"/>
            <w:u w:val="none"/>
          </w:rPr>
          <w:t>Level I Enforcement</w:t>
        </w:r>
        <w:r w:rsidR="00373358" w:rsidRPr="007B72E7">
          <w:rPr>
            <w:i w:val="0"/>
            <w:webHidden/>
            <w:sz w:val="20"/>
            <w:szCs w:val="20"/>
          </w:rPr>
          <w:tab/>
        </w:r>
        <w:r w:rsidR="00373358" w:rsidRPr="007B72E7">
          <w:rPr>
            <w:i w:val="0"/>
            <w:webHidden/>
            <w:sz w:val="20"/>
            <w:szCs w:val="20"/>
          </w:rPr>
          <w:fldChar w:fldCharType="begin"/>
        </w:r>
        <w:r w:rsidR="00373358" w:rsidRPr="007B72E7">
          <w:rPr>
            <w:i w:val="0"/>
            <w:webHidden/>
            <w:sz w:val="20"/>
            <w:szCs w:val="20"/>
          </w:rPr>
          <w:instrText xml:space="preserve"> PAGEREF _Toc148960898 \h </w:instrText>
        </w:r>
        <w:r w:rsidR="00373358" w:rsidRPr="007B72E7">
          <w:rPr>
            <w:i w:val="0"/>
            <w:webHidden/>
            <w:sz w:val="20"/>
            <w:szCs w:val="20"/>
          </w:rPr>
        </w:r>
        <w:r w:rsidR="00373358" w:rsidRPr="007B72E7">
          <w:rPr>
            <w:i w:val="0"/>
            <w:webHidden/>
            <w:sz w:val="20"/>
            <w:szCs w:val="20"/>
          </w:rPr>
          <w:fldChar w:fldCharType="separate"/>
        </w:r>
        <w:r w:rsidR="007B72E7" w:rsidRPr="007B72E7">
          <w:rPr>
            <w:i w:val="0"/>
            <w:webHidden/>
            <w:sz w:val="20"/>
            <w:szCs w:val="20"/>
          </w:rPr>
          <w:t>16-75</w:t>
        </w:r>
        <w:r w:rsidR="00373358" w:rsidRPr="007B72E7">
          <w:rPr>
            <w:i w:val="0"/>
            <w:webHidden/>
            <w:sz w:val="20"/>
            <w:szCs w:val="20"/>
          </w:rPr>
          <w:fldChar w:fldCharType="end"/>
        </w:r>
      </w:hyperlink>
    </w:p>
    <w:p w14:paraId="0F8EDBCD" w14:textId="272D35BC" w:rsidR="00373358" w:rsidRPr="007B72E7" w:rsidRDefault="00A34A95">
      <w:pPr>
        <w:pStyle w:val="TOC5"/>
        <w:tabs>
          <w:tab w:val="left" w:pos="3614"/>
        </w:tabs>
        <w:rPr>
          <w:rFonts w:eastAsiaTheme="minorEastAsia"/>
          <w:i w:val="0"/>
          <w:sz w:val="20"/>
          <w:szCs w:val="20"/>
        </w:rPr>
      </w:pPr>
      <w:hyperlink w:anchor="_Toc148960899" w:history="1">
        <w:r w:rsidR="00373358" w:rsidRPr="007B72E7">
          <w:rPr>
            <w:rStyle w:val="Hyperlink"/>
            <w:i w:val="0"/>
            <w:sz w:val="20"/>
            <w:szCs w:val="20"/>
            <w:u w:val="none"/>
          </w:rPr>
          <w:t>16.11.6.2.6</w:t>
        </w:r>
        <w:r w:rsidR="00373358" w:rsidRPr="007B72E7">
          <w:rPr>
            <w:rFonts w:eastAsiaTheme="minorEastAsia"/>
            <w:i w:val="0"/>
            <w:sz w:val="20"/>
            <w:szCs w:val="20"/>
          </w:rPr>
          <w:tab/>
        </w:r>
        <w:r w:rsidR="00373358" w:rsidRPr="007B72E7">
          <w:rPr>
            <w:rStyle w:val="Hyperlink"/>
            <w:i w:val="0"/>
            <w:sz w:val="20"/>
            <w:szCs w:val="20"/>
            <w:u w:val="none"/>
          </w:rPr>
          <w:t>Level II Enforcement</w:t>
        </w:r>
        <w:r w:rsidR="00373358" w:rsidRPr="007B72E7">
          <w:rPr>
            <w:i w:val="0"/>
            <w:webHidden/>
            <w:sz w:val="20"/>
            <w:szCs w:val="20"/>
          </w:rPr>
          <w:tab/>
        </w:r>
        <w:r w:rsidR="00373358" w:rsidRPr="007B72E7">
          <w:rPr>
            <w:i w:val="0"/>
            <w:webHidden/>
            <w:sz w:val="20"/>
            <w:szCs w:val="20"/>
          </w:rPr>
          <w:fldChar w:fldCharType="begin"/>
        </w:r>
        <w:r w:rsidR="00373358" w:rsidRPr="007B72E7">
          <w:rPr>
            <w:i w:val="0"/>
            <w:webHidden/>
            <w:sz w:val="20"/>
            <w:szCs w:val="20"/>
          </w:rPr>
          <w:instrText xml:space="preserve"> PAGEREF _Toc148960899 \h </w:instrText>
        </w:r>
        <w:r w:rsidR="00373358" w:rsidRPr="007B72E7">
          <w:rPr>
            <w:i w:val="0"/>
            <w:webHidden/>
            <w:sz w:val="20"/>
            <w:szCs w:val="20"/>
          </w:rPr>
        </w:r>
        <w:r w:rsidR="00373358" w:rsidRPr="007B72E7">
          <w:rPr>
            <w:i w:val="0"/>
            <w:webHidden/>
            <w:sz w:val="20"/>
            <w:szCs w:val="20"/>
          </w:rPr>
          <w:fldChar w:fldCharType="separate"/>
        </w:r>
        <w:r w:rsidR="007B72E7" w:rsidRPr="007B72E7">
          <w:rPr>
            <w:i w:val="0"/>
            <w:webHidden/>
            <w:sz w:val="20"/>
            <w:szCs w:val="20"/>
          </w:rPr>
          <w:t>16-75</w:t>
        </w:r>
        <w:r w:rsidR="00373358" w:rsidRPr="007B72E7">
          <w:rPr>
            <w:i w:val="0"/>
            <w:webHidden/>
            <w:sz w:val="20"/>
            <w:szCs w:val="20"/>
          </w:rPr>
          <w:fldChar w:fldCharType="end"/>
        </w:r>
      </w:hyperlink>
    </w:p>
    <w:p w14:paraId="76931013" w14:textId="067391F6" w:rsidR="00373358" w:rsidRPr="007B72E7" w:rsidRDefault="00A34A95">
      <w:pPr>
        <w:pStyle w:val="TOC5"/>
        <w:tabs>
          <w:tab w:val="left" w:pos="3614"/>
        </w:tabs>
        <w:rPr>
          <w:rFonts w:eastAsiaTheme="minorEastAsia"/>
          <w:i w:val="0"/>
          <w:sz w:val="20"/>
          <w:szCs w:val="20"/>
        </w:rPr>
      </w:pPr>
      <w:hyperlink w:anchor="_Toc148960900" w:history="1">
        <w:r w:rsidR="00373358" w:rsidRPr="007B72E7">
          <w:rPr>
            <w:rStyle w:val="Hyperlink"/>
            <w:i w:val="0"/>
            <w:sz w:val="20"/>
            <w:szCs w:val="20"/>
            <w:u w:val="none"/>
          </w:rPr>
          <w:t>16.11.6.2.7</w:t>
        </w:r>
        <w:r w:rsidR="00373358" w:rsidRPr="007B72E7">
          <w:rPr>
            <w:rFonts w:eastAsiaTheme="minorEastAsia"/>
            <w:i w:val="0"/>
            <w:sz w:val="20"/>
            <w:szCs w:val="20"/>
          </w:rPr>
          <w:tab/>
        </w:r>
        <w:r w:rsidR="00373358" w:rsidRPr="007B72E7">
          <w:rPr>
            <w:rStyle w:val="Hyperlink"/>
            <w:i w:val="0"/>
            <w:sz w:val="20"/>
            <w:szCs w:val="20"/>
            <w:u w:val="none"/>
          </w:rPr>
          <w:t>Level III Enforcement</w:t>
        </w:r>
        <w:r w:rsidR="00373358" w:rsidRPr="007B72E7">
          <w:rPr>
            <w:i w:val="0"/>
            <w:webHidden/>
            <w:sz w:val="20"/>
            <w:szCs w:val="20"/>
          </w:rPr>
          <w:tab/>
        </w:r>
        <w:r w:rsidR="00373358" w:rsidRPr="007B72E7">
          <w:rPr>
            <w:i w:val="0"/>
            <w:webHidden/>
            <w:sz w:val="20"/>
            <w:szCs w:val="20"/>
          </w:rPr>
          <w:fldChar w:fldCharType="begin"/>
        </w:r>
        <w:r w:rsidR="00373358" w:rsidRPr="007B72E7">
          <w:rPr>
            <w:i w:val="0"/>
            <w:webHidden/>
            <w:sz w:val="20"/>
            <w:szCs w:val="20"/>
          </w:rPr>
          <w:instrText xml:space="preserve"> PAGEREF _Toc148960900 \h </w:instrText>
        </w:r>
        <w:r w:rsidR="00373358" w:rsidRPr="007B72E7">
          <w:rPr>
            <w:i w:val="0"/>
            <w:webHidden/>
            <w:sz w:val="20"/>
            <w:szCs w:val="20"/>
          </w:rPr>
        </w:r>
        <w:r w:rsidR="00373358" w:rsidRPr="007B72E7">
          <w:rPr>
            <w:i w:val="0"/>
            <w:webHidden/>
            <w:sz w:val="20"/>
            <w:szCs w:val="20"/>
          </w:rPr>
          <w:fldChar w:fldCharType="separate"/>
        </w:r>
        <w:r w:rsidR="007B72E7" w:rsidRPr="007B72E7">
          <w:rPr>
            <w:i w:val="0"/>
            <w:webHidden/>
            <w:sz w:val="20"/>
            <w:szCs w:val="20"/>
          </w:rPr>
          <w:t>16-76</w:t>
        </w:r>
        <w:r w:rsidR="00373358" w:rsidRPr="007B72E7">
          <w:rPr>
            <w:i w:val="0"/>
            <w:webHidden/>
            <w:sz w:val="20"/>
            <w:szCs w:val="20"/>
          </w:rPr>
          <w:fldChar w:fldCharType="end"/>
        </w:r>
      </w:hyperlink>
    </w:p>
    <w:p w14:paraId="02DCA97C" w14:textId="01BE2981" w:rsidR="00373358" w:rsidRPr="007B72E7" w:rsidRDefault="00A34A95" w:rsidP="00461B44">
      <w:pPr>
        <w:pStyle w:val="TOC3"/>
        <w:rPr>
          <w:rFonts w:eastAsiaTheme="minorEastAsia"/>
          <w:i w:val="0"/>
          <w:iCs w:val="0"/>
          <w:noProof/>
        </w:rPr>
      </w:pPr>
      <w:hyperlink w:anchor="_Toc148960901" w:history="1">
        <w:r w:rsidR="00373358" w:rsidRPr="007B72E7">
          <w:rPr>
            <w:rStyle w:val="Hyperlink"/>
            <w:i w:val="0"/>
            <w:iCs w:val="0"/>
            <w:noProof/>
            <w:u w:val="none"/>
          </w:rPr>
          <w:t>16.11.7</w:t>
        </w:r>
        <w:r w:rsidR="00373358" w:rsidRPr="007B72E7">
          <w:rPr>
            <w:rFonts w:eastAsiaTheme="minorEastAsia"/>
            <w:i w:val="0"/>
            <w:iCs w:val="0"/>
            <w:noProof/>
          </w:rPr>
          <w:tab/>
        </w:r>
        <w:r w:rsidR="00373358" w:rsidRPr="007B72E7">
          <w:rPr>
            <w:rStyle w:val="Hyperlink"/>
            <w:i w:val="0"/>
            <w:iCs w:val="0"/>
            <w:noProof/>
            <w:u w:val="none"/>
          </w:rPr>
          <w:t>Release of Market Participant’s Financial Security Requirement</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_Toc148960901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16-76</w:t>
        </w:r>
        <w:r w:rsidR="00373358" w:rsidRPr="007B72E7">
          <w:rPr>
            <w:i w:val="0"/>
            <w:iCs w:val="0"/>
            <w:noProof/>
            <w:webHidden/>
          </w:rPr>
          <w:fldChar w:fldCharType="end"/>
        </w:r>
      </w:hyperlink>
    </w:p>
    <w:p w14:paraId="665EA1D5" w14:textId="2D70E257" w:rsidR="00373358" w:rsidRPr="007B72E7" w:rsidRDefault="00A34A95" w:rsidP="00461B44">
      <w:pPr>
        <w:pStyle w:val="TOC3"/>
        <w:rPr>
          <w:rFonts w:eastAsiaTheme="minorEastAsia"/>
          <w:i w:val="0"/>
          <w:iCs w:val="0"/>
          <w:noProof/>
        </w:rPr>
      </w:pPr>
      <w:hyperlink w:anchor="_Toc148960902" w:history="1">
        <w:r w:rsidR="00373358" w:rsidRPr="007B72E7">
          <w:rPr>
            <w:rStyle w:val="Hyperlink"/>
            <w:i w:val="0"/>
            <w:iCs w:val="0"/>
            <w:noProof/>
            <w:u w:val="none"/>
          </w:rPr>
          <w:t>16.11.8</w:t>
        </w:r>
        <w:r w:rsidR="00373358" w:rsidRPr="007B72E7">
          <w:rPr>
            <w:rFonts w:eastAsiaTheme="minorEastAsia"/>
            <w:i w:val="0"/>
            <w:iCs w:val="0"/>
            <w:noProof/>
          </w:rPr>
          <w:tab/>
        </w:r>
        <w:r w:rsidR="00373358" w:rsidRPr="007B72E7">
          <w:rPr>
            <w:rStyle w:val="Hyperlink"/>
            <w:i w:val="0"/>
            <w:iCs w:val="0"/>
            <w:noProof/>
            <w:u w:val="none"/>
          </w:rPr>
          <w:t>Acceleration</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_Toc148960902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16-77</w:t>
        </w:r>
        <w:r w:rsidR="00373358" w:rsidRPr="007B72E7">
          <w:rPr>
            <w:i w:val="0"/>
            <w:iCs w:val="0"/>
            <w:noProof/>
            <w:webHidden/>
          </w:rPr>
          <w:fldChar w:fldCharType="end"/>
        </w:r>
      </w:hyperlink>
    </w:p>
    <w:p w14:paraId="57735387" w14:textId="33DC3044" w:rsidR="00373358" w:rsidRPr="007B72E7" w:rsidRDefault="00A34A95" w:rsidP="00373358">
      <w:pPr>
        <w:pStyle w:val="TOC2"/>
        <w:rPr>
          <w:rFonts w:eastAsiaTheme="minorEastAsia"/>
        </w:rPr>
      </w:pPr>
      <w:hyperlink w:anchor="_Toc148960903" w:history="1">
        <w:r w:rsidR="00373358" w:rsidRPr="007B72E7">
          <w:rPr>
            <w:rStyle w:val="Hyperlink"/>
            <w:u w:val="none"/>
          </w:rPr>
          <w:t>16.12</w:t>
        </w:r>
        <w:r w:rsidR="00373358" w:rsidRPr="007B72E7">
          <w:rPr>
            <w:rFonts w:eastAsiaTheme="minorEastAsia"/>
          </w:rPr>
          <w:tab/>
        </w:r>
        <w:r w:rsidR="00373358" w:rsidRPr="007B72E7">
          <w:rPr>
            <w:rStyle w:val="Hyperlink"/>
            <w:u w:val="none"/>
          </w:rPr>
          <w:t>User Security Administrator and Digital Certificates</w:t>
        </w:r>
        <w:r w:rsidR="00373358" w:rsidRPr="007B72E7">
          <w:rPr>
            <w:webHidden/>
          </w:rPr>
          <w:tab/>
        </w:r>
        <w:r w:rsidR="00373358" w:rsidRPr="007B72E7">
          <w:rPr>
            <w:webHidden/>
          </w:rPr>
          <w:fldChar w:fldCharType="begin"/>
        </w:r>
        <w:r w:rsidR="00373358" w:rsidRPr="007B72E7">
          <w:rPr>
            <w:webHidden/>
          </w:rPr>
          <w:instrText xml:space="preserve"> PAGEREF _Toc148960903 \h </w:instrText>
        </w:r>
        <w:r w:rsidR="00373358" w:rsidRPr="007B72E7">
          <w:rPr>
            <w:webHidden/>
          </w:rPr>
        </w:r>
        <w:r w:rsidR="00373358" w:rsidRPr="007B72E7">
          <w:rPr>
            <w:webHidden/>
          </w:rPr>
          <w:fldChar w:fldCharType="separate"/>
        </w:r>
        <w:r w:rsidR="007B72E7" w:rsidRPr="007B72E7">
          <w:rPr>
            <w:webHidden/>
          </w:rPr>
          <w:t>16-78</w:t>
        </w:r>
        <w:r w:rsidR="00373358" w:rsidRPr="007B72E7">
          <w:rPr>
            <w:webHidden/>
          </w:rPr>
          <w:fldChar w:fldCharType="end"/>
        </w:r>
      </w:hyperlink>
    </w:p>
    <w:p w14:paraId="7E584924" w14:textId="09C5F118" w:rsidR="00373358" w:rsidRPr="007B72E7" w:rsidRDefault="00A34A95" w:rsidP="00461B44">
      <w:pPr>
        <w:pStyle w:val="TOC3"/>
        <w:rPr>
          <w:rFonts w:eastAsiaTheme="minorEastAsia"/>
          <w:i w:val="0"/>
          <w:iCs w:val="0"/>
          <w:noProof/>
        </w:rPr>
      </w:pPr>
      <w:hyperlink w:anchor="_Toc148960904" w:history="1">
        <w:r w:rsidR="00373358" w:rsidRPr="007B72E7">
          <w:rPr>
            <w:rStyle w:val="Hyperlink"/>
            <w:i w:val="0"/>
            <w:iCs w:val="0"/>
            <w:noProof/>
            <w:u w:val="none"/>
          </w:rPr>
          <w:t>16.12.1</w:t>
        </w:r>
        <w:r w:rsidR="00373358" w:rsidRPr="007B72E7">
          <w:rPr>
            <w:rFonts w:eastAsiaTheme="minorEastAsia"/>
            <w:i w:val="0"/>
            <w:iCs w:val="0"/>
            <w:noProof/>
          </w:rPr>
          <w:tab/>
        </w:r>
        <w:r w:rsidR="00373358" w:rsidRPr="007B72E7">
          <w:rPr>
            <w:rStyle w:val="Hyperlink"/>
            <w:i w:val="0"/>
            <w:iCs w:val="0"/>
            <w:noProof/>
            <w:u w:val="none"/>
          </w:rPr>
          <w:t>USA Responsibilities and Qualifications for Digital Certificate Holders</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_Toc148960904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16-79</w:t>
        </w:r>
        <w:r w:rsidR="00373358" w:rsidRPr="007B72E7">
          <w:rPr>
            <w:i w:val="0"/>
            <w:iCs w:val="0"/>
            <w:noProof/>
            <w:webHidden/>
          </w:rPr>
          <w:fldChar w:fldCharType="end"/>
        </w:r>
      </w:hyperlink>
    </w:p>
    <w:p w14:paraId="1BFAE7E3" w14:textId="45FBA618" w:rsidR="00373358" w:rsidRPr="007B72E7" w:rsidRDefault="00A34A95" w:rsidP="00461B44">
      <w:pPr>
        <w:pStyle w:val="TOC3"/>
        <w:rPr>
          <w:rFonts w:eastAsiaTheme="minorEastAsia"/>
          <w:i w:val="0"/>
          <w:iCs w:val="0"/>
          <w:noProof/>
        </w:rPr>
      </w:pPr>
      <w:hyperlink w:anchor="_Toc148960905" w:history="1">
        <w:r w:rsidR="00373358" w:rsidRPr="007B72E7">
          <w:rPr>
            <w:rStyle w:val="Hyperlink"/>
            <w:i w:val="0"/>
            <w:iCs w:val="0"/>
            <w:noProof/>
            <w:u w:val="none"/>
          </w:rPr>
          <w:t>16.12.2</w:t>
        </w:r>
        <w:r w:rsidR="00373358" w:rsidRPr="007B72E7">
          <w:rPr>
            <w:rFonts w:eastAsiaTheme="minorEastAsia"/>
            <w:i w:val="0"/>
            <w:iCs w:val="0"/>
            <w:noProof/>
          </w:rPr>
          <w:tab/>
        </w:r>
        <w:r w:rsidR="00373358" w:rsidRPr="007B72E7">
          <w:rPr>
            <w:rStyle w:val="Hyperlink"/>
            <w:i w:val="0"/>
            <w:iCs w:val="0"/>
            <w:noProof/>
            <w:u w:val="none"/>
          </w:rPr>
          <w:t>Requirements for Use of Digital Certificates</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_Toc148960905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16-81</w:t>
        </w:r>
        <w:r w:rsidR="00373358" w:rsidRPr="007B72E7">
          <w:rPr>
            <w:i w:val="0"/>
            <w:iCs w:val="0"/>
            <w:noProof/>
            <w:webHidden/>
          </w:rPr>
          <w:fldChar w:fldCharType="end"/>
        </w:r>
      </w:hyperlink>
    </w:p>
    <w:p w14:paraId="039EA20C" w14:textId="169C4F8F" w:rsidR="00373358" w:rsidRPr="007B72E7" w:rsidRDefault="00A34A95" w:rsidP="00461B44">
      <w:pPr>
        <w:pStyle w:val="TOC3"/>
        <w:rPr>
          <w:rFonts w:eastAsiaTheme="minorEastAsia"/>
          <w:i w:val="0"/>
          <w:iCs w:val="0"/>
          <w:noProof/>
        </w:rPr>
      </w:pPr>
      <w:hyperlink w:anchor="_Toc148960906" w:history="1">
        <w:r w:rsidR="00373358" w:rsidRPr="007B72E7">
          <w:rPr>
            <w:rStyle w:val="Hyperlink"/>
            <w:i w:val="0"/>
            <w:iCs w:val="0"/>
            <w:noProof/>
            <w:u w:val="none"/>
          </w:rPr>
          <w:t>16.12.3</w:t>
        </w:r>
        <w:r w:rsidR="00373358" w:rsidRPr="007B72E7">
          <w:rPr>
            <w:rFonts w:eastAsiaTheme="minorEastAsia"/>
            <w:i w:val="0"/>
            <w:iCs w:val="0"/>
            <w:noProof/>
          </w:rPr>
          <w:tab/>
        </w:r>
        <w:r w:rsidR="00373358" w:rsidRPr="007B72E7">
          <w:rPr>
            <w:rStyle w:val="Hyperlink"/>
            <w:i w:val="0"/>
            <w:iCs w:val="0"/>
            <w:noProof/>
            <w:u w:val="none"/>
          </w:rPr>
          <w:t>Market Participant Audits of User Security Administrators and Digital Certificates</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_Toc148960906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16-81</w:t>
        </w:r>
        <w:r w:rsidR="00373358" w:rsidRPr="007B72E7">
          <w:rPr>
            <w:i w:val="0"/>
            <w:iCs w:val="0"/>
            <w:noProof/>
            <w:webHidden/>
          </w:rPr>
          <w:fldChar w:fldCharType="end"/>
        </w:r>
      </w:hyperlink>
    </w:p>
    <w:p w14:paraId="77BB4AC5" w14:textId="66E53986" w:rsidR="00373358" w:rsidRPr="007B72E7" w:rsidRDefault="00A34A95" w:rsidP="00373358">
      <w:pPr>
        <w:pStyle w:val="TOC2"/>
        <w:rPr>
          <w:rFonts w:eastAsiaTheme="minorEastAsia"/>
        </w:rPr>
      </w:pPr>
      <w:hyperlink w:anchor="_Toc148960907" w:history="1">
        <w:r w:rsidR="00373358" w:rsidRPr="007B72E7">
          <w:rPr>
            <w:rStyle w:val="Hyperlink"/>
            <w:u w:val="none"/>
          </w:rPr>
          <w:t>16.13</w:t>
        </w:r>
        <w:r w:rsidR="00373358" w:rsidRPr="007B72E7">
          <w:rPr>
            <w:rFonts w:eastAsiaTheme="minorEastAsia"/>
          </w:rPr>
          <w:tab/>
        </w:r>
        <w:r w:rsidR="00373358" w:rsidRPr="007B72E7">
          <w:rPr>
            <w:rStyle w:val="Hyperlink"/>
            <w:u w:val="none"/>
          </w:rPr>
          <w:t>Registration of Emergency Response Service Resources</w:t>
        </w:r>
        <w:r w:rsidR="00373358" w:rsidRPr="007B72E7">
          <w:rPr>
            <w:webHidden/>
          </w:rPr>
          <w:tab/>
        </w:r>
        <w:r w:rsidR="00373358" w:rsidRPr="007B72E7">
          <w:rPr>
            <w:webHidden/>
          </w:rPr>
          <w:fldChar w:fldCharType="begin"/>
        </w:r>
        <w:r w:rsidR="00373358" w:rsidRPr="007B72E7">
          <w:rPr>
            <w:webHidden/>
          </w:rPr>
          <w:instrText xml:space="preserve"> PAGEREF _Toc148960907 \h </w:instrText>
        </w:r>
        <w:r w:rsidR="00373358" w:rsidRPr="007B72E7">
          <w:rPr>
            <w:webHidden/>
          </w:rPr>
        </w:r>
        <w:r w:rsidR="00373358" w:rsidRPr="007B72E7">
          <w:rPr>
            <w:webHidden/>
          </w:rPr>
          <w:fldChar w:fldCharType="separate"/>
        </w:r>
        <w:r w:rsidR="007B72E7" w:rsidRPr="007B72E7">
          <w:rPr>
            <w:webHidden/>
          </w:rPr>
          <w:t>16-83</w:t>
        </w:r>
        <w:r w:rsidR="00373358" w:rsidRPr="007B72E7">
          <w:rPr>
            <w:webHidden/>
          </w:rPr>
          <w:fldChar w:fldCharType="end"/>
        </w:r>
      </w:hyperlink>
    </w:p>
    <w:p w14:paraId="67307268" w14:textId="0E73A76E" w:rsidR="00373358" w:rsidRPr="007B72E7" w:rsidRDefault="00A34A95" w:rsidP="00373358">
      <w:pPr>
        <w:pStyle w:val="TOC2"/>
        <w:rPr>
          <w:rFonts w:eastAsiaTheme="minorEastAsia"/>
        </w:rPr>
      </w:pPr>
      <w:hyperlink w:anchor="_Toc148960908" w:history="1">
        <w:r w:rsidR="00373358" w:rsidRPr="007B72E7">
          <w:rPr>
            <w:rStyle w:val="Hyperlink"/>
            <w:u w:val="none"/>
          </w:rPr>
          <w:t>16.14</w:t>
        </w:r>
        <w:r w:rsidR="00373358" w:rsidRPr="007B72E7">
          <w:rPr>
            <w:rFonts w:eastAsiaTheme="minorEastAsia"/>
          </w:rPr>
          <w:tab/>
        </w:r>
        <w:r w:rsidR="00373358" w:rsidRPr="007B72E7">
          <w:rPr>
            <w:rStyle w:val="Hyperlink"/>
            <w:u w:val="none"/>
          </w:rPr>
          <w:t>Termination of Access Privileges to Restricted Computer Systems and Control Systems</w:t>
        </w:r>
        <w:r w:rsidR="00373358" w:rsidRPr="007B72E7">
          <w:rPr>
            <w:webHidden/>
          </w:rPr>
          <w:tab/>
        </w:r>
        <w:r w:rsidR="00373358" w:rsidRPr="007B72E7">
          <w:rPr>
            <w:webHidden/>
          </w:rPr>
          <w:fldChar w:fldCharType="begin"/>
        </w:r>
        <w:r w:rsidR="00373358" w:rsidRPr="007B72E7">
          <w:rPr>
            <w:webHidden/>
          </w:rPr>
          <w:instrText xml:space="preserve"> PAGEREF _Toc148960908 \h </w:instrText>
        </w:r>
        <w:r w:rsidR="00373358" w:rsidRPr="007B72E7">
          <w:rPr>
            <w:webHidden/>
          </w:rPr>
        </w:r>
        <w:r w:rsidR="00373358" w:rsidRPr="007B72E7">
          <w:rPr>
            <w:webHidden/>
          </w:rPr>
          <w:fldChar w:fldCharType="separate"/>
        </w:r>
        <w:r w:rsidR="007B72E7" w:rsidRPr="007B72E7">
          <w:rPr>
            <w:webHidden/>
          </w:rPr>
          <w:t>16-83</w:t>
        </w:r>
        <w:r w:rsidR="00373358" w:rsidRPr="007B72E7">
          <w:rPr>
            <w:webHidden/>
          </w:rPr>
          <w:fldChar w:fldCharType="end"/>
        </w:r>
      </w:hyperlink>
    </w:p>
    <w:p w14:paraId="48A1EFF3" w14:textId="76998311" w:rsidR="00373358" w:rsidRPr="007B72E7" w:rsidRDefault="00A34A95" w:rsidP="00373358">
      <w:pPr>
        <w:pStyle w:val="TOC2"/>
        <w:rPr>
          <w:rFonts w:eastAsiaTheme="minorEastAsia"/>
        </w:rPr>
      </w:pPr>
      <w:hyperlink w:anchor="_Toc148960909" w:history="1">
        <w:r w:rsidR="00373358" w:rsidRPr="007B72E7">
          <w:rPr>
            <w:rStyle w:val="Hyperlink"/>
            <w:u w:val="none"/>
          </w:rPr>
          <w:t>16.15</w:t>
        </w:r>
        <w:r w:rsidR="00373358" w:rsidRPr="007B72E7">
          <w:rPr>
            <w:rFonts w:eastAsiaTheme="minorEastAsia"/>
          </w:rPr>
          <w:tab/>
        </w:r>
        <w:r w:rsidR="00373358" w:rsidRPr="007B72E7">
          <w:rPr>
            <w:rStyle w:val="Hyperlink"/>
            <w:u w:val="none"/>
          </w:rPr>
          <w:t>Registration of Independent Market Information System Registered Entity</w:t>
        </w:r>
        <w:r w:rsidR="00373358" w:rsidRPr="007B72E7">
          <w:rPr>
            <w:webHidden/>
          </w:rPr>
          <w:tab/>
        </w:r>
        <w:r w:rsidR="00373358" w:rsidRPr="007B72E7">
          <w:rPr>
            <w:webHidden/>
          </w:rPr>
          <w:fldChar w:fldCharType="begin"/>
        </w:r>
        <w:r w:rsidR="00373358" w:rsidRPr="007B72E7">
          <w:rPr>
            <w:webHidden/>
          </w:rPr>
          <w:instrText xml:space="preserve"> PAGEREF _Toc148960909 \h </w:instrText>
        </w:r>
        <w:r w:rsidR="00373358" w:rsidRPr="007B72E7">
          <w:rPr>
            <w:webHidden/>
          </w:rPr>
        </w:r>
        <w:r w:rsidR="00373358" w:rsidRPr="007B72E7">
          <w:rPr>
            <w:webHidden/>
          </w:rPr>
          <w:fldChar w:fldCharType="separate"/>
        </w:r>
        <w:r w:rsidR="007B72E7" w:rsidRPr="007B72E7">
          <w:rPr>
            <w:webHidden/>
          </w:rPr>
          <w:t>16-84</w:t>
        </w:r>
        <w:r w:rsidR="00373358" w:rsidRPr="007B72E7">
          <w:rPr>
            <w:webHidden/>
          </w:rPr>
          <w:fldChar w:fldCharType="end"/>
        </w:r>
      </w:hyperlink>
    </w:p>
    <w:p w14:paraId="077F13E6" w14:textId="71261B74" w:rsidR="00373358" w:rsidRPr="007B72E7" w:rsidRDefault="00A34A95" w:rsidP="00373358">
      <w:pPr>
        <w:pStyle w:val="TOC2"/>
        <w:rPr>
          <w:rFonts w:eastAsiaTheme="minorEastAsia"/>
        </w:rPr>
      </w:pPr>
      <w:hyperlink w:anchor="_Toc148960910" w:history="1">
        <w:r w:rsidR="00373358" w:rsidRPr="007B72E7">
          <w:rPr>
            <w:rStyle w:val="Hyperlink"/>
            <w:u w:val="none"/>
          </w:rPr>
          <w:t>16.16</w:t>
        </w:r>
        <w:r w:rsidR="00373358" w:rsidRPr="007B72E7">
          <w:rPr>
            <w:rFonts w:eastAsiaTheme="minorEastAsia"/>
          </w:rPr>
          <w:tab/>
        </w:r>
        <w:r w:rsidR="00373358" w:rsidRPr="007B72E7">
          <w:rPr>
            <w:rStyle w:val="Hyperlink"/>
            <w:u w:val="none"/>
          </w:rPr>
          <w:t>Additional Counter-Party Qualification Requirements</w:t>
        </w:r>
        <w:r w:rsidR="00373358" w:rsidRPr="007B72E7">
          <w:rPr>
            <w:webHidden/>
          </w:rPr>
          <w:tab/>
        </w:r>
        <w:r w:rsidR="00373358" w:rsidRPr="007B72E7">
          <w:rPr>
            <w:webHidden/>
          </w:rPr>
          <w:fldChar w:fldCharType="begin"/>
        </w:r>
        <w:r w:rsidR="00373358" w:rsidRPr="007B72E7">
          <w:rPr>
            <w:webHidden/>
          </w:rPr>
          <w:instrText xml:space="preserve"> PAGEREF _Toc148960910 \h </w:instrText>
        </w:r>
        <w:r w:rsidR="00373358" w:rsidRPr="007B72E7">
          <w:rPr>
            <w:webHidden/>
          </w:rPr>
        </w:r>
        <w:r w:rsidR="00373358" w:rsidRPr="007B72E7">
          <w:rPr>
            <w:webHidden/>
          </w:rPr>
          <w:fldChar w:fldCharType="separate"/>
        </w:r>
        <w:r w:rsidR="007B72E7" w:rsidRPr="007B72E7">
          <w:rPr>
            <w:webHidden/>
          </w:rPr>
          <w:t>16-85</w:t>
        </w:r>
        <w:r w:rsidR="00373358" w:rsidRPr="007B72E7">
          <w:rPr>
            <w:webHidden/>
          </w:rPr>
          <w:fldChar w:fldCharType="end"/>
        </w:r>
      </w:hyperlink>
    </w:p>
    <w:p w14:paraId="312B1122" w14:textId="783C82CC" w:rsidR="00373358" w:rsidRPr="007B72E7" w:rsidRDefault="00A34A95" w:rsidP="00461B44">
      <w:pPr>
        <w:pStyle w:val="TOC3"/>
        <w:rPr>
          <w:rFonts w:eastAsiaTheme="minorEastAsia"/>
          <w:i w:val="0"/>
          <w:iCs w:val="0"/>
          <w:noProof/>
        </w:rPr>
      </w:pPr>
      <w:hyperlink w:anchor="_Toc148960911" w:history="1">
        <w:r w:rsidR="00373358" w:rsidRPr="007B72E7">
          <w:rPr>
            <w:rStyle w:val="Hyperlink"/>
            <w:i w:val="0"/>
            <w:iCs w:val="0"/>
            <w:noProof/>
            <w:u w:val="none"/>
          </w:rPr>
          <w:t>16.16.1</w:t>
        </w:r>
        <w:r w:rsidR="00373358" w:rsidRPr="007B72E7">
          <w:rPr>
            <w:rFonts w:eastAsiaTheme="minorEastAsia"/>
            <w:i w:val="0"/>
            <w:iCs w:val="0"/>
            <w:noProof/>
          </w:rPr>
          <w:tab/>
        </w:r>
        <w:r w:rsidR="00373358" w:rsidRPr="007B72E7">
          <w:rPr>
            <w:rStyle w:val="Hyperlink"/>
            <w:i w:val="0"/>
            <w:iCs w:val="0"/>
            <w:noProof/>
            <w:u w:val="none"/>
          </w:rPr>
          <w:t>Counter-Party Criteria</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_Toc148960911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16-85</w:t>
        </w:r>
        <w:r w:rsidR="00373358" w:rsidRPr="007B72E7">
          <w:rPr>
            <w:i w:val="0"/>
            <w:iCs w:val="0"/>
            <w:noProof/>
            <w:webHidden/>
          </w:rPr>
          <w:fldChar w:fldCharType="end"/>
        </w:r>
      </w:hyperlink>
    </w:p>
    <w:p w14:paraId="5C3D1021" w14:textId="3231FC64" w:rsidR="00373358" w:rsidRPr="007B72E7" w:rsidRDefault="00A34A95" w:rsidP="00461B44">
      <w:pPr>
        <w:pStyle w:val="TOC3"/>
        <w:rPr>
          <w:rFonts w:eastAsiaTheme="minorEastAsia"/>
          <w:i w:val="0"/>
          <w:iCs w:val="0"/>
          <w:noProof/>
        </w:rPr>
      </w:pPr>
      <w:hyperlink w:anchor="_Toc148960912" w:history="1">
        <w:r w:rsidR="00373358" w:rsidRPr="007B72E7">
          <w:rPr>
            <w:rStyle w:val="Hyperlink"/>
            <w:i w:val="0"/>
            <w:iCs w:val="0"/>
            <w:noProof/>
            <w:u w:val="none"/>
          </w:rPr>
          <w:t>16.16.2</w:t>
        </w:r>
        <w:r w:rsidR="00373358" w:rsidRPr="007B72E7">
          <w:rPr>
            <w:rFonts w:eastAsiaTheme="minorEastAsia"/>
            <w:i w:val="0"/>
            <w:iCs w:val="0"/>
            <w:noProof/>
          </w:rPr>
          <w:tab/>
        </w:r>
        <w:r w:rsidR="00373358" w:rsidRPr="007B72E7">
          <w:rPr>
            <w:rStyle w:val="Hyperlink"/>
            <w:i w:val="0"/>
            <w:iCs w:val="0"/>
            <w:noProof/>
            <w:u w:val="none"/>
          </w:rPr>
          <w:t>Annual Certification</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_Toc148960912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16-86</w:t>
        </w:r>
        <w:r w:rsidR="00373358" w:rsidRPr="007B72E7">
          <w:rPr>
            <w:i w:val="0"/>
            <w:iCs w:val="0"/>
            <w:noProof/>
            <w:webHidden/>
          </w:rPr>
          <w:fldChar w:fldCharType="end"/>
        </w:r>
      </w:hyperlink>
    </w:p>
    <w:p w14:paraId="2DA0A678" w14:textId="58104010" w:rsidR="00373358" w:rsidRPr="007B72E7" w:rsidRDefault="00A34A95" w:rsidP="00461B44">
      <w:pPr>
        <w:pStyle w:val="TOC3"/>
        <w:rPr>
          <w:rFonts w:eastAsiaTheme="minorEastAsia"/>
          <w:i w:val="0"/>
          <w:iCs w:val="0"/>
          <w:noProof/>
        </w:rPr>
      </w:pPr>
      <w:hyperlink w:anchor="_Toc148960913" w:history="1">
        <w:r w:rsidR="00373358" w:rsidRPr="007B72E7">
          <w:rPr>
            <w:rStyle w:val="Hyperlink"/>
            <w:i w:val="0"/>
            <w:iCs w:val="0"/>
            <w:noProof/>
            <w:u w:val="none"/>
          </w:rPr>
          <w:t>16.16.3</w:t>
        </w:r>
        <w:r w:rsidR="00373358" w:rsidRPr="007B72E7">
          <w:rPr>
            <w:rFonts w:eastAsiaTheme="minorEastAsia"/>
            <w:i w:val="0"/>
            <w:iCs w:val="0"/>
            <w:noProof/>
          </w:rPr>
          <w:tab/>
        </w:r>
        <w:r w:rsidR="00373358" w:rsidRPr="007B72E7">
          <w:rPr>
            <w:rStyle w:val="Hyperlink"/>
            <w:i w:val="0"/>
            <w:iCs w:val="0"/>
            <w:noProof/>
            <w:u w:val="none"/>
          </w:rPr>
          <w:t>Verification of Risk Management Framework</w:t>
        </w:r>
        <w:r w:rsidR="00373358" w:rsidRPr="007B72E7">
          <w:rPr>
            <w:i w:val="0"/>
            <w:iCs w:val="0"/>
            <w:noProof/>
            <w:webHidden/>
          </w:rPr>
          <w:tab/>
        </w:r>
        <w:r w:rsidR="00373358" w:rsidRPr="007B72E7">
          <w:rPr>
            <w:i w:val="0"/>
            <w:iCs w:val="0"/>
            <w:noProof/>
            <w:webHidden/>
          </w:rPr>
          <w:fldChar w:fldCharType="begin"/>
        </w:r>
        <w:r w:rsidR="00373358" w:rsidRPr="007B72E7">
          <w:rPr>
            <w:i w:val="0"/>
            <w:iCs w:val="0"/>
            <w:noProof/>
            <w:webHidden/>
          </w:rPr>
          <w:instrText xml:space="preserve"> PAGEREF _Toc148960913 \h </w:instrText>
        </w:r>
        <w:r w:rsidR="00373358" w:rsidRPr="007B72E7">
          <w:rPr>
            <w:i w:val="0"/>
            <w:iCs w:val="0"/>
            <w:noProof/>
            <w:webHidden/>
          </w:rPr>
        </w:r>
        <w:r w:rsidR="00373358" w:rsidRPr="007B72E7">
          <w:rPr>
            <w:i w:val="0"/>
            <w:iCs w:val="0"/>
            <w:noProof/>
            <w:webHidden/>
          </w:rPr>
          <w:fldChar w:fldCharType="separate"/>
        </w:r>
        <w:r w:rsidR="007B72E7" w:rsidRPr="007B72E7">
          <w:rPr>
            <w:i w:val="0"/>
            <w:iCs w:val="0"/>
            <w:noProof/>
            <w:webHidden/>
          </w:rPr>
          <w:t>16-87</w:t>
        </w:r>
        <w:r w:rsidR="00373358" w:rsidRPr="007B72E7">
          <w:rPr>
            <w:i w:val="0"/>
            <w:iCs w:val="0"/>
            <w:noProof/>
            <w:webHidden/>
          </w:rPr>
          <w:fldChar w:fldCharType="end"/>
        </w:r>
      </w:hyperlink>
    </w:p>
    <w:p w14:paraId="071F1354" w14:textId="555CFE52" w:rsidR="00373358" w:rsidRPr="007B72E7" w:rsidRDefault="00A34A95" w:rsidP="00373358">
      <w:pPr>
        <w:pStyle w:val="TOC2"/>
        <w:rPr>
          <w:rFonts w:eastAsiaTheme="minorEastAsia"/>
        </w:rPr>
      </w:pPr>
      <w:hyperlink w:anchor="_Toc148960914" w:history="1">
        <w:r w:rsidR="00373358" w:rsidRPr="007B72E7">
          <w:rPr>
            <w:rStyle w:val="Hyperlink"/>
            <w:u w:val="none"/>
          </w:rPr>
          <w:t>16.17</w:t>
        </w:r>
        <w:r w:rsidR="00373358" w:rsidRPr="007B72E7">
          <w:rPr>
            <w:rFonts w:eastAsiaTheme="minorEastAsia"/>
          </w:rPr>
          <w:tab/>
        </w:r>
        <w:r w:rsidR="00373358" w:rsidRPr="007B72E7">
          <w:rPr>
            <w:rStyle w:val="Hyperlink"/>
            <w:u w:val="none"/>
          </w:rPr>
          <w:t>Exemption for Qualified Scheduling Entities Participating Only in Emergency Response Service</w:t>
        </w:r>
        <w:r w:rsidR="00373358" w:rsidRPr="007B72E7">
          <w:rPr>
            <w:webHidden/>
          </w:rPr>
          <w:tab/>
        </w:r>
        <w:r w:rsidR="00373358" w:rsidRPr="007B72E7">
          <w:rPr>
            <w:webHidden/>
          </w:rPr>
          <w:fldChar w:fldCharType="begin"/>
        </w:r>
        <w:r w:rsidR="00373358" w:rsidRPr="007B72E7">
          <w:rPr>
            <w:webHidden/>
          </w:rPr>
          <w:instrText xml:space="preserve"> PAGEREF _Toc148960914 \h </w:instrText>
        </w:r>
        <w:r w:rsidR="00373358" w:rsidRPr="007B72E7">
          <w:rPr>
            <w:webHidden/>
          </w:rPr>
        </w:r>
        <w:r w:rsidR="00373358" w:rsidRPr="007B72E7">
          <w:rPr>
            <w:webHidden/>
          </w:rPr>
          <w:fldChar w:fldCharType="separate"/>
        </w:r>
        <w:r w:rsidR="007B72E7" w:rsidRPr="007B72E7">
          <w:rPr>
            <w:webHidden/>
          </w:rPr>
          <w:t>16-89</w:t>
        </w:r>
        <w:r w:rsidR="00373358" w:rsidRPr="007B72E7">
          <w:rPr>
            <w:webHidden/>
          </w:rPr>
          <w:fldChar w:fldCharType="end"/>
        </w:r>
      </w:hyperlink>
    </w:p>
    <w:p w14:paraId="4E3526CD" w14:textId="65433541" w:rsidR="00373358" w:rsidRPr="007B72E7" w:rsidRDefault="00A34A95" w:rsidP="00373358">
      <w:pPr>
        <w:pStyle w:val="TOC2"/>
        <w:rPr>
          <w:rFonts w:eastAsiaTheme="minorEastAsia"/>
        </w:rPr>
      </w:pPr>
      <w:hyperlink w:anchor="_Toc148960915" w:history="1">
        <w:r w:rsidR="00373358" w:rsidRPr="007B72E7">
          <w:rPr>
            <w:rStyle w:val="Hyperlink"/>
            <w:u w:val="none"/>
          </w:rPr>
          <w:t>16.18</w:t>
        </w:r>
        <w:r w:rsidR="00373358" w:rsidRPr="007B72E7">
          <w:rPr>
            <w:rFonts w:eastAsiaTheme="minorEastAsia"/>
          </w:rPr>
          <w:tab/>
        </w:r>
        <w:r w:rsidR="00707317" w:rsidRPr="007B72E7">
          <w:t>Cybersecurity Incident Notification</w:t>
        </w:r>
        <w:r w:rsidR="00373358" w:rsidRPr="007B72E7">
          <w:rPr>
            <w:webHidden/>
          </w:rPr>
          <w:tab/>
        </w:r>
        <w:r w:rsidR="00373358" w:rsidRPr="007B72E7">
          <w:rPr>
            <w:webHidden/>
          </w:rPr>
          <w:fldChar w:fldCharType="begin"/>
        </w:r>
        <w:r w:rsidR="00373358" w:rsidRPr="007B72E7">
          <w:rPr>
            <w:webHidden/>
          </w:rPr>
          <w:instrText xml:space="preserve"> PAGEREF _Toc148960915 \h </w:instrText>
        </w:r>
        <w:r w:rsidR="00373358" w:rsidRPr="007B72E7">
          <w:rPr>
            <w:webHidden/>
          </w:rPr>
        </w:r>
        <w:r w:rsidR="00373358" w:rsidRPr="007B72E7">
          <w:rPr>
            <w:webHidden/>
          </w:rPr>
          <w:fldChar w:fldCharType="separate"/>
        </w:r>
        <w:r w:rsidR="007B72E7" w:rsidRPr="007B72E7">
          <w:rPr>
            <w:webHidden/>
          </w:rPr>
          <w:t>16-90</w:t>
        </w:r>
        <w:r w:rsidR="00373358" w:rsidRPr="007B72E7">
          <w:rPr>
            <w:webHidden/>
          </w:rPr>
          <w:fldChar w:fldCharType="end"/>
        </w:r>
      </w:hyperlink>
    </w:p>
    <w:p w14:paraId="70DD492C" w14:textId="2D048DE8" w:rsidR="00373358" w:rsidRPr="007B72E7" w:rsidRDefault="00A34A95" w:rsidP="00373358">
      <w:pPr>
        <w:pStyle w:val="TOC2"/>
        <w:rPr>
          <w:rFonts w:eastAsiaTheme="minorEastAsia"/>
        </w:rPr>
      </w:pPr>
      <w:hyperlink w:anchor="_Toc148960917" w:history="1">
        <w:r w:rsidR="00373358" w:rsidRPr="007B72E7">
          <w:rPr>
            <w:rStyle w:val="Hyperlink"/>
            <w:snapToGrid w:val="0"/>
            <w:u w:val="none"/>
          </w:rPr>
          <w:t>16.19</w:t>
        </w:r>
        <w:r w:rsidR="00373358" w:rsidRPr="007B72E7">
          <w:rPr>
            <w:rFonts w:eastAsiaTheme="minorEastAsia"/>
          </w:rPr>
          <w:tab/>
        </w:r>
        <w:r w:rsidR="00373358" w:rsidRPr="007B72E7">
          <w:rPr>
            <w:rStyle w:val="Hyperlink"/>
            <w:u w:val="none"/>
          </w:rPr>
          <w:t>Designation</w:t>
        </w:r>
        <w:r w:rsidR="00373358" w:rsidRPr="007B72E7">
          <w:rPr>
            <w:rStyle w:val="Hyperlink"/>
            <w:snapToGrid w:val="0"/>
            <w:u w:val="none"/>
          </w:rPr>
          <w:t xml:space="preserve"> of Transmission Operators</w:t>
        </w:r>
        <w:r w:rsidR="00373358" w:rsidRPr="007B72E7">
          <w:rPr>
            <w:webHidden/>
          </w:rPr>
          <w:tab/>
        </w:r>
        <w:r w:rsidR="00373358" w:rsidRPr="007B72E7">
          <w:rPr>
            <w:webHidden/>
          </w:rPr>
          <w:fldChar w:fldCharType="begin"/>
        </w:r>
        <w:r w:rsidR="00373358" w:rsidRPr="007B72E7">
          <w:rPr>
            <w:webHidden/>
          </w:rPr>
          <w:instrText xml:space="preserve"> PAGEREF _Toc148960917 \h </w:instrText>
        </w:r>
        <w:r w:rsidR="00373358" w:rsidRPr="007B72E7">
          <w:rPr>
            <w:webHidden/>
          </w:rPr>
        </w:r>
        <w:r w:rsidR="00373358" w:rsidRPr="007B72E7">
          <w:rPr>
            <w:webHidden/>
          </w:rPr>
          <w:fldChar w:fldCharType="separate"/>
        </w:r>
        <w:r w:rsidR="007B72E7" w:rsidRPr="007B72E7">
          <w:rPr>
            <w:webHidden/>
          </w:rPr>
          <w:t>16-92</w:t>
        </w:r>
        <w:r w:rsidR="00373358" w:rsidRPr="007B72E7">
          <w:rPr>
            <w:webHidden/>
          </w:rPr>
          <w:fldChar w:fldCharType="end"/>
        </w:r>
      </w:hyperlink>
    </w:p>
    <w:p w14:paraId="5217AED2" w14:textId="49C515E2" w:rsidR="00FC1C5F" w:rsidRDefault="00816A7E">
      <w:pPr>
        <w:pStyle w:val="Heading1"/>
        <w:numPr>
          <w:ilvl w:val="0"/>
          <w:numId w:val="0"/>
        </w:numPr>
        <w:rPr>
          <w:bCs/>
          <w:i/>
          <w:caps w:val="0"/>
          <w:szCs w:val="24"/>
        </w:rPr>
        <w:sectPr w:rsidR="00FC1C5F">
          <w:headerReference w:type="default" r:id="rId12"/>
          <w:footerReference w:type="default" r:id="rId13"/>
          <w:headerReference w:type="first" r:id="rId14"/>
          <w:footerReference w:type="first" r:id="rId15"/>
          <w:pgSz w:w="12240" w:h="15840" w:code="1"/>
          <w:pgMar w:top="1440" w:right="1440" w:bottom="1440" w:left="1440" w:header="720" w:footer="720" w:gutter="0"/>
          <w:pgNumType w:start="0"/>
          <w:cols w:space="720"/>
        </w:sectPr>
      </w:pPr>
      <w:r w:rsidRPr="005250EA">
        <w:rPr>
          <w:b w:val="0"/>
          <w:szCs w:val="24"/>
        </w:rPr>
        <w:fldChar w:fldCharType="end"/>
      </w:r>
    </w:p>
    <w:p w14:paraId="719A87FA" w14:textId="77777777" w:rsidR="00FC1C5F" w:rsidRDefault="00727E32">
      <w:pPr>
        <w:pStyle w:val="Heading1"/>
      </w:pPr>
      <w:bookmarkStart w:id="0" w:name="_Toc71369169"/>
      <w:bookmarkStart w:id="1" w:name="_Toc71539385"/>
      <w:bookmarkStart w:id="2" w:name="_Toc390438909"/>
      <w:bookmarkStart w:id="3" w:name="_Toc405897606"/>
      <w:bookmarkStart w:id="4" w:name="_Toc415055710"/>
      <w:bookmarkStart w:id="5" w:name="_Toc415055836"/>
      <w:bookmarkStart w:id="6" w:name="_Toc415055935"/>
      <w:bookmarkStart w:id="7" w:name="_Toc415056036"/>
      <w:bookmarkStart w:id="8" w:name="_Toc148960808"/>
      <w:r>
        <w:lastRenderedPageBreak/>
        <w:t xml:space="preserve">REGISTRATION </w:t>
      </w:r>
      <w:smartTag w:uri="urn:schemas-microsoft-com:office:smarttags" w:element="stockticker">
        <w:r>
          <w:t>AND</w:t>
        </w:r>
      </w:smartTag>
      <w:r>
        <w:t xml:space="preserve"> QUALIFICATION OF MARKET PARTICIPANTS</w:t>
      </w:r>
      <w:bookmarkEnd w:id="0"/>
      <w:bookmarkEnd w:id="1"/>
      <w:bookmarkEnd w:id="2"/>
      <w:bookmarkEnd w:id="3"/>
      <w:bookmarkEnd w:id="4"/>
      <w:bookmarkEnd w:id="5"/>
      <w:bookmarkEnd w:id="6"/>
      <w:bookmarkEnd w:id="7"/>
      <w:bookmarkEnd w:id="8"/>
      <w:r>
        <w:t xml:space="preserve"> </w:t>
      </w:r>
    </w:p>
    <w:p w14:paraId="505F6BEB" w14:textId="77777777" w:rsidR="00FC1C5F" w:rsidRDefault="00727E32">
      <w:pPr>
        <w:pStyle w:val="H2"/>
      </w:pPr>
      <w:bookmarkStart w:id="9" w:name="_Toc71369170"/>
      <w:bookmarkStart w:id="10" w:name="_Toc71539386"/>
      <w:bookmarkStart w:id="11" w:name="_Toc390438910"/>
      <w:bookmarkStart w:id="12" w:name="_Toc405897607"/>
      <w:bookmarkStart w:id="13" w:name="_Toc415055711"/>
      <w:bookmarkStart w:id="14" w:name="_Toc415055837"/>
      <w:bookmarkStart w:id="15" w:name="_Toc415055936"/>
      <w:bookmarkStart w:id="16" w:name="_Toc415056037"/>
      <w:bookmarkStart w:id="17" w:name="_Toc148960809"/>
      <w:r>
        <w:t>16.1</w:t>
      </w:r>
      <w:r>
        <w:tab/>
        <w:t>Registration and Execution of Agreements</w:t>
      </w:r>
      <w:bookmarkEnd w:id="9"/>
      <w:bookmarkEnd w:id="10"/>
      <w:bookmarkEnd w:id="11"/>
      <w:bookmarkEnd w:id="12"/>
      <w:bookmarkEnd w:id="13"/>
      <w:bookmarkEnd w:id="14"/>
      <w:bookmarkEnd w:id="15"/>
      <w:bookmarkEnd w:id="16"/>
      <w:bookmarkEnd w:id="17"/>
    </w:p>
    <w:p w14:paraId="77BBF800" w14:textId="7498E5D1" w:rsidR="00FC1C5F" w:rsidRDefault="00727E32">
      <w:pPr>
        <w:pStyle w:val="List"/>
        <w:ind w:left="720"/>
      </w:pPr>
      <w:r>
        <w:t>(1)</w:t>
      </w:r>
      <w:r>
        <w:tab/>
        <w:t xml:space="preserve">ERCOT shall require each Market Participant to register and execute the Standard Form Market Participant Agreement and, as applicable, </w:t>
      </w:r>
      <w:r w:rsidR="00081A43">
        <w:t xml:space="preserve">Standard Form </w:t>
      </w:r>
      <w:r>
        <w:t>Reliability Must-Run Agreement</w:t>
      </w:r>
      <w:r w:rsidR="00573E18">
        <w:t xml:space="preserve">, </w:t>
      </w:r>
      <w:r>
        <w:t xml:space="preserve">and </w:t>
      </w:r>
      <w:r w:rsidR="00081A43">
        <w:t xml:space="preserve">Standard Form </w:t>
      </w:r>
      <w:r>
        <w:t>Black Start Agreement.</w:t>
      </w:r>
    </w:p>
    <w:p w14:paraId="01260BD8" w14:textId="5EC6866C" w:rsidR="00FC1C5F" w:rsidRDefault="00727E32">
      <w:pPr>
        <w:pStyle w:val="BodyText"/>
        <w:ind w:left="720" w:hanging="720"/>
      </w:pPr>
      <w:r>
        <w:t>(2)</w:t>
      </w:r>
      <w:r>
        <w:tab/>
        <w:t xml:space="preserve">A Standard Form Market Participant Agreement is in Section 22, </w:t>
      </w:r>
      <w:r w:rsidR="008E0107">
        <w:t>Attachments</w:t>
      </w:r>
      <w:r>
        <w:t xml:space="preserve">, and ERCOT shall also post this agreement on the </w:t>
      </w:r>
      <w:r w:rsidR="00F13002">
        <w:t>ERCOT website</w:t>
      </w:r>
      <w:r>
        <w:t>.</w:t>
      </w:r>
    </w:p>
    <w:p w14:paraId="2BA10A0D" w14:textId="011FC9A9" w:rsidR="00FC1C5F" w:rsidRDefault="00727E32">
      <w:pPr>
        <w:pStyle w:val="BodyText"/>
        <w:ind w:left="720" w:hanging="720"/>
      </w:pPr>
      <w:r>
        <w:t>(3)</w:t>
      </w:r>
      <w:r>
        <w:tab/>
        <w:t xml:space="preserve">ERCOT shall post on the </w:t>
      </w:r>
      <w:r w:rsidR="00F13002">
        <w:t>ERCOT website</w:t>
      </w:r>
      <w:r>
        <w:t xml:space="preserve"> all registration procedures and applications necessary to complete registration for any function described in these Protocols.  As part of its registration procedures, ERCOT may require one or more of the following:</w:t>
      </w:r>
    </w:p>
    <w:p w14:paraId="5C0B717C" w14:textId="77777777" w:rsidR="00FC1C5F" w:rsidRDefault="00727E32">
      <w:pPr>
        <w:pStyle w:val="List"/>
      </w:pPr>
      <w:r>
        <w:t>(a)</w:t>
      </w:r>
      <w:r>
        <w:tab/>
        <w:t>Reasonable tests of the ability of a Market Participant to communicate with ERCOT or perform as required under these Protocols;</w:t>
      </w:r>
    </w:p>
    <w:p w14:paraId="3E0D8271" w14:textId="77777777" w:rsidR="00FC1C5F" w:rsidRDefault="00727E32">
      <w:pPr>
        <w:pStyle w:val="List"/>
      </w:pPr>
      <w:r>
        <w:t>(b)</w:t>
      </w:r>
      <w:r>
        <w:tab/>
        <w:t xml:space="preserve">An application fee as determined by the ERCOT Board; </w:t>
      </w:r>
    </w:p>
    <w:p w14:paraId="275209DC" w14:textId="482B7B7B" w:rsidR="00FC1C5F" w:rsidRDefault="00727E32">
      <w:pPr>
        <w:pStyle w:val="List"/>
      </w:pPr>
      <w:r>
        <w:t>(c)</w:t>
      </w:r>
      <w:r>
        <w:tab/>
        <w:t>Related agreements for specific purposes (such as agency designation, meter splitting, or network interconnection) that apply only to some Market Participants</w:t>
      </w:r>
      <w:r w:rsidR="005444D9">
        <w:t>;</w:t>
      </w:r>
    </w:p>
    <w:p w14:paraId="454B3C9C" w14:textId="472CF0EE" w:rsidR="00B22CBC" w:rsidRPr="003A2715" w:rsidRDefault="005444D9" w:rsidP="00B22CBC">
      <w:pPr>
        <w:spacing w:after="240"/>
        <w:ind w:left="1440" w:hanging="720"/>
      </w:pPr>
      <w:r w:rsidRPr="00C717AD">
        <w:t>(</w:t>
      </w:r>
      <w:r>
        <w:t>d</w:t>
      </w:r>
      <w:r w:rsidRPr="00C717AD">
        <w:t>)</w:t>
      </w:r>
      <w:r w:rsidRPr="00C717AD">
        <w:tab/>
        <w:t xml:space="preserve">A representation to ERCOT that no officer, owner, </w:t>
      </w:r>
      <w:proofErr w:type="gramStart"/>
      <w:r w:rsidRPr="00C717AD">
        <w:t>partner</w:t>
      </w:r>
      <w:proofErr w:type="gramEnd"/>
      <w:r w:rsidRPr="00C717AD">
        <w:t xml:space="preserve"> or other equity interest owner of the Entity was CEO or President or collectively held more than a </w:t>
      </w:r>
      <w:r>
        <w:t>1</w:t>
      </w:r>
      <w:r w:rsidRPr="00C717AD">
        <w:t>0% equity interest in (as owner, partner or other equity interest owner) another Entity at the time of a default where the default resulted in amounts owed to ERCOT remaining unpaid on any Agreement with ERCOT</w:t>
      </w:r>
      <w:r w:rsidR="00B22CBC">
        <w:t>; and</w:t>
      </w:r>
    </w:p>
    <w:p w14:paraId="7260F9D8" w14:textId="77777777" w:rsidR="00B22CBC" w:rsidRDefault="00B22CBC" w:rsidP="00B22CBC">
      <w:pPr>
        <w:spacing w:after="240"/>
        <w:ind w:left="1440" w:hanging="720"/>
      </w:pPr>
      <w:r>
        <w:t>(e)</w:t>
      </w:r>
      <w:r>
        <w:tab/>
        <w:t xml:space="preserve">An </w:t>
      </w:r>
      <w:r w:rsidRPr="003A2715">
        <w:t>attestation</w:t>
      </w:r>
      <w:r>
        <w:t xml:space="preserve"> regarding citizenship, ownership, or headquarters of the Entity seeking to register as a Market Participant.</w:t>
      </w:r>
    </w:p>
    <w:p w14:paraId="6D0B9DB8" w14:textId="77777777" w:rsidR="00271ED3" w:rsidRDefault="00271ED3" w:rsidP="00271ED3">
      <w:pPr>
        <w:pStyle w:val="H3"/>
      </w:pPr>
      <w:bookmarkStart w:id="18" w:name="_Toc390438911"/>
      <w:bookmarkStart w:id="19" w:name="_Toc405897608"/>
      <w:bookmarkStart w:id="20" w:name="_Toc415055712"/>
      <w:bookmarkStart w:id="21" w:name="_Toc415055838"/>
      <w:bookmarkStart w:id="22" w:name="_Toc415055937"/>
      <w:bookmarkStart w:id="23" w:name="_Toc415056038"/>
      <w:bookmarkStart w:id="24" w:name="_Toc148960810"/>
      <w:bookmarkStart w:id="25" w:name="_Toc71369171"/>
      <w:bookmarkStart w:id="26" w:name="_Toc71539387"/>
      <w:r>
        <w:t>16.1.1</w:t>
      </w:r>
      <w:r>
        <w:tab/>
        <w:t>Re-Registration as a Market Participant</w:t>
      </w:r>
      <w:bookmarkEnd w:id="18"/>
      <w:bookmarkEnd w:id="19"/>
      <w:bookmarkEnd w:id="20"/>
      <w:bookmarkEnd w:id="21"/>
      <w:bookmarkEnd w:id="22"/>
      <w:bookmarkEnd w:id="23"/>
      <w:bookmarkEnd w:id="24"/>
    </w:p>
    <w:p w14:paraId="71AE8CE8" w14:textId="77777777" w:rsidR="00271ED3" w:rsidRDefault="00853D39" w:rsidP="009F10FE">
      <w:pPr>
        <w:pStyle w:val="BodyText"/>
        <w:ind w:left="720" w:hanging="720"/>
      </w:pPr>
      <w:r>
        <w:t>(1)</w:t>
      </w:r>
      <w:r>
        <w:tab/>
      </w:r>
      <w:r w:rsidR="00271ED3">
        <w:t>Any M</w:t>
      </w:r>
      <w:r w:rsidR="00FA18C9">
        <w:t xml:space="preserve">arket </w:t>
      </w:r>
      <w:r w:rsidR="00271ED3">
        <w:t>P</w:t>
      </w:r>
      <w:r w:rsidR="00FA18C9">
        <w:t>articipant</w:t>
      </w:r>
      <w:r w:rsidR="00271ED3">
        <w:t xml:space="preserve"> that has had one of the following occur must provide to ERCOT a new DUNS Number (DUNS #) to re-register as a M</w:t>
      </w:r>
      <w:r w:rsidR="00FA18C9">
        <w:t xml:space="preserve">arket </w:t>
      </w:r>
      <w:r w:rsidR="00271ED3">
        <w:t>P</w:t>
      </w:r>
      <w:r w:rsidR="00FA18C9">
        <w:t>articipant</w:t>
      </w:r>
      <w:r w:rsidR="00271ED3">
        <w:t xml:space="preserve"> with ERCOT:</w:t>
      </w:r>
    </w:p>
    <w:p w14:paraId="5060A43B" w14:textId="77777777" w:rsidR="00271ED3" w:rsidRDefault="00271ED3" w:rsidP="00271ED3">
      <w:pPr>
        <w:pStyle w:val="List"/>
      </w:pPr>
      <w:r>
        <w:t>(</w:t>
      </w:r>
      <w:r w:rsidR="00825A48">
        <w:t>a</w:t>
      </w:r>
      <w:r>
        <w:t>)</w:t>
      </w:r>
      <w:r>
        <w:tab/>
        <w:t>Its Agreement with ERCOT terminated;</w:t>
      </w:r>
    </w:p>
    <w:p w14:paraId="26894054" w14:textId="3B880581" w:rsidR="00271ED3" w:rsidRDefault="00825A48" w:rsidP="00271ED3">
      <w:pPr>
        <w:pStyle w:val="List"/>
      </w:pPr>
      <w:r>
        <w:t>(b</w:t>
      </w:r>
      <w:r w:rsidR="00271ED3">
        <w:t>)</w:t>
      </w:r>
      <w:r w:rsidR="00271ED3">
        <w:tab/>
        <w:t>Its Customers dropped to the Provider(s) of Last Resort (POLR(s)) pursuant to Section 15.1.3, Transition</w:t>
      </w:r>
      <w:r w:rsidR="00081A43">
        <w:t xml:space="preserve"> Process</w:t>
      </w:r>
      <w:r w:rsidR="00271ED3">
        <w:t>; or</w:t>
      </w:r>
    </w:p>
    <w:p w14:paraId="7A75A8A2" w14:textId="3E8D61EE" w:rsidR="00271ED3" w:rsidRDefault="00825A48" w:rsidP="00271ED3">
      <w:pPr>
        <w:pStyle w:val="List"/>
      </w:pPr>
      <w:r>
        <w:t>(c</w:t>
      </w:r>
      <w:r w:rsidR="00271ED3" w:rsidRPr="00927386">
        <w:t>)</w:t>
      </w:r>
      <w:r w:rsidR="00271ED3" w:rsidRPr="00927386">
        <w:tab/>
        <w:t xml:space="preserve">Its Customers dropped to a gaining </w:t>
      </w:r>
      <w:r w:rsidR="004A501E">
        <w:t>Competitive Retailer (</w:t>
      </w:r>
      <w:r w:rsidR="00271ED3" w:rsidRPr="00927386">
        <w:t>CR</w:t>
      </w:r>
      <w:r w:rsidR="004A501E">
        <w:t>)</w:t>
      </w:r>
      <w:r w:rsidR="00271ED3" w:rsidRPr="00927386">
        <w:t xml:space="preserve"> pursuant to Section 15.1.3.</w:t>
      </w:r>
    </w:p>
    <w:p w14:paraId="114D8F20" w14:textId="4CBF31D5" w:rsidR="006B2E4D" w:rsidRDefault="006B2E4D" w:rsidP="006B2E4D">
      <w:pPr>
        <w:pStyle w:val="H3"/>
        <w:rPr>
          <w:b w:val="0"/>
          <w:i w:val="0"/>
        </w:rPr>
      </w:pPr>
      <w:bookmarkStart w:id="27" w:name="_Toc148960811"/>
      <w:bookmarkStart w:id="28" w:name="_Hlk90904101"/>
      <w:r w:rsidRPr="00CB652F">
        <w:lastRenderedPageBreak/>
        <w:t>16.1.2</w:t>
      </w:r>
      <w:r w:rsidR="00963894" w:rsidRPr="00963894">
        <w:tab/>
      </w:r>
      <w:r w:rsidRPr="00CB652F">
        <w:t>Principal of a Market Participant</w:t>
      </w:r>
      <w:bookmarkEnd w:id="27"/>
      <w:r w:rsidRPr="009F2339">
        <w:t xml:space="preserve"> </w:t>
      </w:r>
    </w:p>
    <w:p w14:paraId="1339BB8F" w14:textId="77777777" w:rsidR="006B2E4D" w:rsidRDefault="006B2E4D" w:rsidP="006B2E4D">
      <w:pPr>
        <w:spacing w:after="240"/>
        <w:ind w:left="720" w:hanging="720"/>
      </w:pPr>
      <w:r>
        <w:t>(1)</w:t>
      </w:r>
      <w:r>
        <w:tab/>
        <w:t>For purposes of Section 16, Registration and Qualification of Market Participants, a Principal is any of the following, as related to a registered Market Participant or Market Participant applicant:</w:t>
      </w:r>
    </w:p>
    <w:p w14:paraId="28DD1E97" w14:textId="77777777" w:rsidR="006B2E4D" w:rsidRDefault="006B2E4D" w:rsidP="006B2E4D">
      <w:pPr>
        <w:spacing w:after="240"/>
        <w:ind w:left="720"/>
      </w:pPr>
      <w:r>
        <w:t>(a)</w:t>
      </w:r>
      <w:r>
        <w:tab/>
        <w:t>A sole proprietor of a sole proprietorship;</w:t>
      </w:r>
    </w:p>
    <w:p w14:paraId="45EB3ED4" w14:textId="77777777" w:rsidR="006B2E4D" w:rsidRDefault="006B2E4D" w:rsidP="006B2E4D">
      <w:pPr>
        <w:spacing w:after="240"/>
        <w:ind w:left="1440" w:hanging="720"/>
      </w:pPr>
      <w:r>
        <w:t>(b)</w:t>
      </w:r>
      <w:r>
        <w:tab/>
        <w:t>A general partner of a general partnership;</w:t>
      </w:r>
    </w:p>
    <w:p w14:paraId="6CD618CA" w14:textId="77777777" w:rsidR="006B2E4D" w:rsidRDefault="006B2E4D" w:rsidP="006B2E4D">
      <w:pPr>
        <w:spacing w:after="240"/>
        <w:ind w:left="1440" w:hanging="720"/>
      </w:pPr>
      <w:r>
        <w:t>(c)</w:t>
      </w:r>
      <w:r>
        <w:tab/>
        <w:t>An executive of a company (e.g., president, chief executive officer, chief operating officer, chief financial officer, general counsel, or equivalent position);</w:t>
      </w:r>
    </w:p>
    <w:p w14:paraId="6C81EC0D" w14:textId="77777777" w:rsidR="006B2E4D" w:rsidRDefault="006B2E4D" w:rsidP="006B2E4D">
      <w:pPr>
        <w:spacing w:after="240"/>
        <w:ind w:left="1440" w:hanging="720"/>
      </w:pPr>
      <w:r>
        <w:t>(d)</w:t>
      </w:r>
      <w:r>
        <w:tab/>
        <w:t>A manager, managing member, or a member vested with the management authority of a limited liability company or limited liability partnership;</w:t>
      </w:r>
    </w:p>
    <w:p w14:paraId="4F499380" w14:textId="77777777" w:rsidR="006B2E4D" w:rsidRDefault="006B2E4D" w:rsidP="006B2E4D">
      <w:pPr>
        <w:spacing w:after="240"/>
        <w:ind w:left="1440" w:hanging="720"/>
      </w:pPr>
      <w:r>
        <w:t>(e)</w:t>
      </w:r>
      <w:r>
        <w:tab/>
        <w:t xml:space="preserve">A </w:t>
      </w:r>
      <w:r w:rsidRPr="007172CC">
        <w:t xml:space="preserve">shareholder </w:t>
      </w:r>
      <w:r>
        <w:t>with</w:t>
      </w:r>
      <w:r w:rsidRPr="007172CC">
        <w:t xml:space="preserve"> more than 10% equity </w:t>
      </w:r>
      <w:r>
        <w:t>of the Entity; or</w:t>
      </w:r>
    </w:p>
    <w:p w14:paraId="50F2B90F" w14:textId="54AC7B2D" w:rsidR="006B2E4D" w:rsidRDefault="006B2E4D" w:rsidP="006B2E4D">
      <w:pPr>
        <w:pStyle w:val="List"/>
      </w:pPr>
      <w:r>
        <w:t>(f)</w:t>
      </w:r>
      <w:r>
        <w:tab/>
        <w:t>A</w:t>
      </w:r>
      <w:r>
        <w:rPr>
          <w:lang w:eastAsia="x-none"/>
        </w:rPr>
        <w:t xml:space="preserve"> </w:t>
      </w:r>
      <w:r>
        <w:rPr>
          <w:lang w:val="x-none" w:eastAsia="x-none"/>
        </w:rPr>
        <w:t xml:space="preserve">person </w:t>
      </w:r>
      <w:r>
        <w:rPr>
          <w:lang w:eastAsia="x-none"/>
        </w:rPr>
        <w:t xml:space="preserve">that has authority to </w:t>
      </w:r>
      <w:r>
        <w:rPr>
          <w:lang w:val="x-none" w:eastAsia="x-none"/>
        </w:rPr>
        <w:t xml:space="preserve">make decisions </w:t>
      </w:r>
      <w:r>
        <w:rPr>
          <w:lang w:eastAsia="x-none"/>
        </w:rPr>
        <w:t>under these Protocols on</w:t>
      </w:r>
      <w:r>
        <w:rPr>
          <w:lang w:val="x-none" w:eastAsia="x-none"/>
        </w:rPr>
        <w:t xml:space="preserve"> </w:t>
      </w:r>
      <w:r>
        <w:rPr>
          <w:lang w:eastAsia="x-none"/>
        </w:rPr>
        <w:t xml:space="preserve">behalf of the registered Market Participant or applicant, and is not otherwise controlled by any of the other Principal types listed above, </w:t>
      </w:r>
      <w:r w:rsidRPr="000D340C">
        <w:rPr>
          <w:lang w:eastAsia="x-none"/>
        </w:rPr>
        <w:t>or as otherwise identified by ERCOT</w:t>
      </w:r>
      <w:r>
        <w:rPr>
          <w:lang w:eastAsia="x-none"/>
        </w:rPr>
        <w:t>.</w:t>
      </w:r>
    </w:p>
    <w:p w14:paraId="3DCF89BB" w14:textId="77777777" w:rsidR="00B22CBC" w:rsidRPr="003A2715" w:rsidRDefault="00B22CBC" w:rsidP="00B22CBC">
      <w:pPr>
        <w:pStyle w:val="H3"/>
      </w:pPr>
      <w:bookmarkStart w:id="29" w:name="_Toc148960812"/>
      <w:bookmarkStart w:id="30" w:name="_Toc390438912"/>
      <w:bookmarkStart w:id="31" w:name="_Toc405897609"/>
      <w:bookmarkStart w:id="32" w:name="_Toc415055713"/>
      <w:bookmarkStart w:id="33" w:name="_Toc415055839"/>
      <w:bookmarkStart w:id="34" w:name="_Toc415055938"/>
      <w:bookmarkStart w:id="35" w:name="_Toc415056039"/>
      <w:bookmarkEnd w:id="28"/>
      <w:r w:rsidRPr="003A2715">
        <w:t>16.1.3</w:t>
      </w:r>
      <w:r w:rsidRPr="003A2715">
        <w:tab/>
        <w:t>Market Participant Citizenship, Ownership, or Headquarters</w:t>
      </w:r>
      <w:bookmarkEnd w:id="29"/>
    </w:p>
    <w:p w14:paraId="5DE3AFC9" w14:textId="77777777" w:rsidR="00B22CBC" w:rsidRDefault="00B22CBC" w:rsidP="00B22CBC">
      <w:pPr>
        <w:spacing w:after="240"/>
        <w:ind w:left="720" w:hanging="720"/>
      </w:pPr>
      <w:r w:rsidRPr="00AF1FB5">
        <w:t>(1)</w:t>
      </w:r>
      <w:r>
        <w:tab/>
      </w:r>
      <w:r w:rsidRPr="00AF1FB5">
        <w:t xml:space="preserve">An Entity is not eligible to register </w:t>
      </w:r>
      <w:r>
        <w:t xml:space="preserve">or maintain its registration </w:t>
      </w:r>
      <w:r w:rsidRPr="00AF1FB5">
        <w:t>with ERCOT as a Market Participant if the Entity</w:t>
      </w:r>
      <w:r>
        <w:t>:</w:t>
      </w:r>
    </w:p>
    <w:p w14:paraId="02DB9E98" w14:textId="4010DCCA" w:rsidR="00B22CBC" w:rsidRDefault="00B22CBC" w:rsidP="00B22CBC">
      <w:pPr>
        <w:spacing w:after="240"/>
        <w:ind w:left="1440" w:hanging="720"/>
      </w:pPr>
      <w:r>
        <w:t>(a)</w:t>
      </w:r>
      <w:r>
        <w:tab/>
        <w:t xml:space="preserve">Is a person who is a citizen of </w:t>
      </w:r>
      <w:r w:rsidR="00461B44" w:rsidRPr="00AC0350">
        <w:t>a Lone Star Infrastructure Protection Act (LSIPA) Designated Country</w:t>
      </w:r>
      <w:r>
        <w:t>; or</w:t>
      </w:r>
      <w:r w:rsidRPr="00F43105">
        <w:t xml:space="preserve">   </w:t>
      </w:r>
    </w:p>
    <w:p w14:paraId="3E5FE843" w14:textId="41F2DE9C" w:rsidR="00B22CBC" w:rsidRDefault="00B22CBC" w:rsidP="00B22CBC">
      <w:pPr>
        <w:spacing w:after="240"/>
        <w:ind w:left="1440" w:hanging="720"/>
      </w:pPr>
      <w:r>
        <w:t>(b)</w:t>
      </w:r>
      <w:r>
        <w:tab/>
        <w:t xml:space="preserve">Is an </w:t>
      </w:r>
      <w:r w:rsidR="00461B44" w:rsidRPr="00AC0350">
        <w:t>LSIPA Designated Company</w:t>
      </w:r>
      <w:r w:rsidRPr="00AF1FB5">
        <w:t xml:space="preserve">.  </w:t>
      </w:r>
    </w:p>
    <w:p w14:paraId="005E3148" w14:textId="1D52E349" w:rsidR="00B22CBC" w:rsidRDefault="00B22CBC" w:rsidP="00B22CBC">
      <w:pPr>
        <w:spacing w:after="240"/>
        <w:ind w:left="720" w:hanging="720"/>
      </w:pPr>
      <w:r w:rsidRPr="00441345">
        <w:t>(2)</w:t>
      </w:r>
      <w:r w:rsidRPr="00441345">
        <w:tab/>
        <w:t xml:space="preserve">If an Entity meets any of the above listed criteria solely due to the citizenship, ownership or headquarters of a wholly owned subsidiary, majority-owned subsidiary, or </w:t>
      </w:r>
      <w:r>
        <w:t>A</w:t>
      </w:r>
      <w:r w:rsidRPr="00441345">
        <w:t xml:space="preserve">ffiliate, the Entity </w:t>
      </w:r>
      <w:r w:rsidR="00461B44">
        <w:t>will</w:t>
      </w:r>
      <w:r w:rsidRPr="00441345">
        <w:t xml:space="preserve"> be eligible to register as a Market Participant</w:t>
      </w:r>
      <w:r w:rsidR="00461B44" w:rsidRPr="00AC0350">
        <w:t>, subject to paragraph (5) below,</w:t>
      </w:r>
      <w:r w:rsidRPr="00441345">
        <w:t xml:space="preserve"> if it certifies that the subsidiary or </w:t>
      </w:r>
      <w:r>
        <w:t>A</w:t>
      </w:r>
      <w:r w:rsidRPr="00441345">
        <w:t xml:space="preserve">ffiliate at issue will not have direct or remote access to or control of ERCOT’s Wide Area Network (WAN), Market Information System (MIS), or any data from such ERCOT systems. </w:t>
      </w:r>
    </w:p>
    <w:p w14:paraId="38954098" w14:textId="6C92FB6F" w:rsidR="00B22CBC" w:rsidRDefault="00B22CBC" w:rsidP="00B22CBC">
      <w:pPr>
        <w:spacing w:after="240"/>
        <w:ind w:left="720" w:hanging="720"/>
      </w:pPr>
      <w:r>
        <w:t>(3)</w:t>
      </w:r>
      <w:r>
        <w:tab/>
      </w:r>
      <w:r w:rsidRPr="00AF1FB5">
        <w:t>Any Entity that seeks to register as a Market Participant shall submit an attestation</w:t>
      </w:r>
      <w:r>
        <w:t xml:space="preserve"> as reflected in</w:t>
      </w:r>
      <w:r w:rsidRPr="00AF1FB5">
        <w:t xml:space="preserve"> Section 23, Form Q, </w:t>
      </w:r>
      <w:bookmarkStart w:id="36" w:name="_Hlk113545603"/>
      <w:r w:rsidRPr="00FA221F">
        <w:t xml:space="preserve">Attestation Regarding </w:t>
      </w:r>
      <w:r>
        <w:t>Market Participant Citizenship, Ownership, or Headquarters</w:t>
      </w:r>
      <w:bookmarkEnd w:id="36"/>
      <w:r w:rsidRPr="00AF1FB5">
        <w:t xml:space="preserve">, </w:t>
      </w:r>
      <w:r>
        <w:t>certifying</w:t>
      </w:r>
      <w:r w:rsidRPr="00AF1FB5">
        <w:t xml:space="preserve"> that the Entity </w:t>
      </w:r>
      <w:r>
        <w:t>complies with</w:t>
      </w:r>
      <w:r w:rsidRPr="00AF1FB5">
        <w:t xml:space="preserve"> the </w:t>
      </w:r>
      <w:r>
        <w:t xml:space="preserve">above </w:t>
      </w:r>
      <w:r w:rsidRPr="00AF1FB5">
        <w:t>criteria</w:t>
      </w:r>
      <w:r w:rsidR="00461B44" w:rsidRPr="00AC0350">
        <w:t>, to the best of the Entity’s knowledge and belief following reasonable diligence</w:t>
      </w:r>
      <w:r>
        <w:t>.</w:t>
      </w:r>
    </w:p>
    <w:p w14:paraId="50DBCBDB" w14:textId="14839746" w:rsidR="00B22CBC" w:rsidRDefault="00B22CBC" w:rsidP="00B22CBC">
      <w:pPr>
        <w:spacing w:after="240"/>
        <w:ind w:left="720" w:hanging="720"/>
        <w:rPr>
          <w:iCs/>
        </w:rPr>
      </w:pPr>
      <w:r>
        <w:t>(4)</w:t>
      </w:r>
      <w:r>
        <w:tab/>
      </w:r>
      <w:r>
        <w:rPr>
          <w:iCs/>
        </w:rPr>
        <w:t xml:space="preserve">If there are changes </w:t>
      </w:r>
      <w:r w:rsidRPr="001C6A63">
        <w:rPr>
          <w:iCs/>
        </w:rPr>
        <w:t>t</w:t>
      </w:r>
      <w:r>
        <w:rPr>
          <w:iCs/>
        </w:rPr>
        <w:t>o a</w:t>
      </w:r>
      <w:r w:rsidRPr="001C6A63">
        <w:rPr>
          <w:iCs/>
        </w:rPr>
        <w:t xml:space="preserve"> </w:t>
      </w:r>
      <w:r>
        <w:rPr>
          <w:iCs/>
        </w:rPr>
        <w:t xml:space="preserve">Market Participant’s citizenship, ownership, or headquarters such that the Market Participant </w:t>
      </w:r>
      <w:r w:rsidRPr="001C6A63">
        <w:rPr>
          <w:iCs/>
        </w:rPr>
        <w:t xml:space="preserve">meets any of the prohibited company </w:t>
      </w:r>
      <w:r>
        <w:rPr>
          <w:iCs/>
        </w:rPr>
        <w:t xml:space="preserve">citizenship, </w:t>
      </w:r>
      <w:r w:rsidRPr="001C6A63">
        <w:rPr>
          <w:iCs/>
        </w:rPr>
        <w:lastRenderedPageBreak/>
        <w:t xml:space="preserve">ownership (including </w:t>
      </w:r>
      <w:r>
        <w:rPr>
          <w:iCs/>
        </w:rPr>
        <w:t>A</w:t>
      </w:r>
      <w:r w:rsidRPr="001C6A63">
        <w:rPr>
          <w:iCs/>
        </w:rPr>
        <w:t xml:space="preserve">ffiliations) or headquarters criteria </w:t>
      </w:r>
      <w:r w:rsidR="00461B44" w:rsidRPr="00AC0350">
        <w:rPr>
          <w:iCs/>
        </w:rPr>
        <w:t>of an LSIPA Designated Company</w:t>
      </w:r>
      <w:r>
        <w:rPr>
          <w:iCs/>
        </w:rPr>
        <w:t xml:space="preserve">, </w:t>
      </w:r>
      <w:r w:rsidRPr="001C6A63">
        <w:rPr>
          <w:iCs/>
        </w:rPr>
        <w:t xml:space="preserve">then the </w:t>
      </w:r>
      <w:r>
        <w:rPr>
          <w:iCs/>
        </w:rPr>
        <w:t>Market Participant</w:t>
      </w:r>
      <w:r w:rsidRPr="001C6A63">
        <w:rPr>
          <w:iCs/>
        </w:rPr>
        <w:t xml:space="preserve"> shall execute and submit a new attestation </w:t>
      </w:r>
      <w:r>
        <w:rPr>
          <w:iCs/>
        </w:rPr>
        <w:t xml:space="preserve">to ERCOT </w:t>
      </w:r>
      <w:r w:rsidRPr="001C6A63">
        <w:rPr>
          <w:iCs/>
        </w:rPr>
        <w:t xml:space="preserve">within ten Business Days of the change </w:t>
      </w:r>
      <w:r>
        <w:rPr>
          <w:iCs/>
        </w:rPr>
        <w:t>becoming effective</w:t>
      </w:r>
      <w:r w:rsidRPr="001C6A63">
        <w:rPr>
          <w:iCs/>
        </w:rPr>
        <w:t>.</w:t>
      </w:r>
    </w:p>
    <w:p w14:paraId="00CDCE8D" w14:textId="77777777" w:rsidR="00461B44" w:rsidRPr="00AC0350" w:rsidRDefault="00461B44" w:rsidP="00461B44">
      <w:pPr>
        <w:spacing w:after="240"/>
        <w:ind w:left="720" w:hanging="720"/>
        <w:rPr>
          <w:iCs/>
        </w:rPr>
      </w:pPr>
      <w:r w:rsidRPr="00AC0350">
        <w:rPr>
          <w:iCs/>
        </w:rPr>
        <w:t>(5)</w:t>
      </w:r>
      <w:r w:rsidRPr="00AC0350">
        <w:rPr>
          <w:iCs/>
        </w:rPr>
        <w:tab/>
      </w:r>
      <w:bookmarkStart w:id="37" w:name="_Hlk141972803"/>
      <w:r w:rsidRPr="00AC0350">
        <w:rPr>
          <w:iCs/>
        </w:rPr>
        <w:t>ERCOT may immediately suspend or terminate a Market Participant’s registration or access to any of ERCOT’s systems if ERCOT has a reasonable suspicion that the Entity meets any of the criteria described by paragraph (1) above or that an Entity has provided access or control to a subsidiary or Affiliate as described by paragraph (2) above.</w:t>
      </w:r>
      <w:bookmarkEnd w:id="37"/>
    </w:p>
    <w:p w14:paraId="15D23589" w14:textId="77777777" w:rsidR="00461B44" w:rsidRPr="00461B44" w:rsidRDefault="00461B44" w:rsidP="00461B44">
      <w:pPr>
        <w:pStyle w:val="H3"/>
      </w:pPr>
      <w:bookmarkStart w:id="38" w:name="_Toc148960813"/>
      <w:r w:rsidRPr="00AC0350">
        <w:t>16.1.4</w:t>
      </w:r>
      <w:r w:rsidRPr="00461B44">
        <w:tab/>
      </w:r>
      <w:bookmarkStart w:id="39" w:name="_Hlk158744000"/>
      <w:r w:rsidRPr="00461B44">
        <w:t>Market Participant Reporting of Critical Electric Grid Equipment and Services-Related Purchases</w:t>
      </w:r>
      <w:bookmarkEnd w:id="39"/>
    </w:p>
    <w:p w14:paraId="3C5C8EAE" w14:textId="70DD9F09" w:rsidR="00461B44" w:rsidRPr="00AC0350" w:rsidRDefault="00461B44" w:rsidP="00461B44">
      <w:pPr>
        <w:spacing w:after="240"/>
        <w:ind w:left="720" w:hanging="720"/>
        <w:rPr>
          <w:iCs/>
        </w:rPr>
      </w:pPr>
      <w:r w:rsidRPr="00AC0350">
        <w:rPr>
          <w:iCs/>
        </w:rPr>
        <w:t>(1)</w:t>
      </w:r>
      <w:r w:rsidRPr="00AC0350">
        <w:rPr>
          <w:iCs/>
        </w:rPr>
        <w:tab/>
        <w:t>As a condition of registering and maintaining registration with ERCOT as a Market Participant, an Entity shall report to ERCOT the purchase, lease, or receipt (referred to in this Section as a “purchase”) of any Critical Electric Grid Equipment (CEGE) or Critical Electric Grid Services (CEGS) that the Entity knows to be from a</w:t>
      </w:r>
      <w:r w:rsidR="00363641">
        <w:rPr>
          <w:iCs/>
        </w:rPr>
        <w:t>n</w:t>
      </w:r>
      <w:r w:rsidRPr="00AC0350">
        <w:rPr>
          <w:iCs/>
        </w:rPr>
        <w:t xml:space="preserve"> LSIPA Designated Company or an LSIPA Designated Country.  This includes, but is not limited to, a purchase of CEGE or CEGS that were </w:t>
      </w:r>
      <w:bookmarkStart w:id="40" w:name="_Hlk154135678"/>
      <w:r w:rsidRPr="00AC0350">
        <w:rPr>
          <w:iCs/>
        </w:rPr>
        <w:t xml:space="preserve">manufactured, produced, created, or otherwise provided by a company known to the Entity to be an </w:t>
      </w:r>
      <w:bookmarkEnd w:id="40"/>
      <w:r w:rsidRPr="00AC0350">
        <w:rPr>
          <w:iCs/>
        </w:rPr>
        <w:t xml:space="preserve">LSIPA Designated Company and subsequently sold to the Entity by a non-LSIPA Designated Company.  </w:t>
      </w:r>
    </w:p>
    <w:p w14:paraId="45DA6EBF" w14:textId="02058C4C" w:rsidR="00461B44" w:rsidRPr="00AC0350" w:rsidRDefault="00461B44" w:rsidP="00461B44">
      <w:pPr>
        <w:spacing w:after="240"/>
        <w:ind w:left="1440" w:hanging="720"/>
        <w:rPr>
          <w:iCs/>
        </w:rPr>
      </w:pPr>
      <w:r w:rsidRPr="00AC0350">
        <w:rPr>
          <w:iCs/>
        </w:rPr>
        <w:t>(a)</w:t>
      </w:r>
      <w:r w:rsidRPr="00AC0350">
        <w:rPr>
          <w:iCs/>
        </w:rPr>
        <w:tab/>
        <w:t xml:space="preserve">As used in this Section 16.1.4 and Section 23, Form S, </w:t>
      </w:r>
      <w:r w:rsidR="00C934BD" w:rsidRPr="00C934BD">
        <w:rPr>
          <w:iCs/>
        </w:rPr>
        <w:t>Reporting and Attestation Regarding Purchase of Critical Electric Grid Equipment (CEGE) and Critical Electric Grid Services (CEGS) from a Lone Star Infrastructure Protection Act (LSIPA) Designated Company or LSIPA Designated Country</w:t>
      </w:r>
      <w:r w:rsidR="00C934BD">
        <w:rPr>
          <w:iCs/>
        </w:rPr>
        <w:t xml:space="preserve">, </w:t>
      </w:r>
      <w:r w:rsidRPr="00AC0350">
        <w:rPr>
          <w:iCs/>
        </w:rPr>
        <w:t xml:space="preserve">the terms “knows,” “known,” and “knowledge” refer to the Entity’s actual knowledge or knowledge that the Entity could have obtained through reasonable inquiry with respect to any clearly evident, non-obscure information indicating that the equipment or service was manufactured, produced, created, or otherwise provided by an LSIPA Designated Company.   </w:t>
      </w:r>
    </w:p>
    <w:p w14:paraId="67D75E71" w14:textId="77777777" w:rsidR="00461B44" w:rsidRPr="00AC0350" w:rsidRDefault="00461B44" w:rsidP="00461B44">
      <w:pPr>
        <w:spacing w:after="240"/>
        <w:ind w:left="1440" w:hanging="720"/>
        <w:rPr>
          <w:iCs/>
        </w:rPr>
      </w:pPr>
      <w:r w:rsidRPr="00AC0350">
        <w:rPr>
          <w:iCs/>
        </w:rPr>
        <w:t>(b)</w:t>
      </w:r>
      <w:r w:rsidRPr="00AC0350">
        <w:rPr>
          <w:iCs/>
        </w:rPr>
        <w:tab/>
        <w:t>If the Entity obtains a contractual representation (or either a letter of attestation or a contractual representation if the purchase was made before June 8, 2023) from the seller of CEGE or CEGS that the equipment or services were not manufactured, produced, created, or otherwise provided by an LSIPA Designated Company, then absent some clearly evident, non-obscure information raising such suspicion, this Section 16.1.4 does not require the Entity to conduct diligence or otherwise inquire as to the identity or location of the manufacturer, producer, or creator of the CEGE or CEGS that the Entity purchases or any component parts thereof.  For the avoidance of doubt, this subsection does not create or suggest a requirement not otherwise imposed by this Section 16.1.4.</w:t>
      </w:r>
    </w:p>
    <w:p w14:paraId="4C4EF2B6" w14:textId="3EF7CEF6" w:rsidR="00461B44" w:rsidRPr="00AC0350" w:rsidRDefault="00461B44" w:rsidP="00461B44">
      <w:pPr>
        <w:spacing w:after="240"/>
        <w:ind w:left="1440" w:hanging="720"/>
        <w:rPr>
          <w:iCs/>
        </w:rPr>
      </w:pPr>
      <w:r w:rsidRPr="00AC0350">
        <w:rPr>
          <w:iCs/>
        </w:rPr>
        <w:t>(c)</w:t>
      </w:r>
      <w:r w:rsidRPr="00AC0350">
        <w:rPr>
          <w:iCs/>
        </w:rPr>
        <w:tab/>
        <w:t xml:space="preserve">If a Market Participant or an Entity applying for registration purchases CEGE from a non-LSIPA Designated Company and clearly evident, non-obscure information indicates that such equipment has a part or component (which itself has routable connectivity) that originated from an LSIPA Designated Company or </w:t>
      </w:r>
      <w:r w:rsidRPr="00AC0350">
        <w:rPr>
          <w:iCs/>
        </w:rPr>
        <w:lastRenderedPageBreak/>
        <w:t xml:space="preserve">LSIPA Designated Country, then such part or component shall be reported using Section 23, Form S, but in Subsections 2(a)-(b) of </w:t>
      </w:r>
      <w:r w:rsidR="00851767">
        <w:rPr>
          <w:iCs/>
        </w:rPr>
        <w:t xml:space="preserve">Section 23, </w:t>
      </w:r>
      <w:r w:rsidRPr="00AC0350">
        <w:rPr>
          <w:iCs/>
        </w:rPr>
        <w:t xml:space="preserve">Form S, the Entity or Market Participant is only required to provide the following information for the part or component: </w:t>
      </w:r>
    </w:p>
    <w:p w14:paraId="0BC20BE8" w14:textId="77777777" w:rsidR="00461B44" w:rsidRPr="00AC0350" w:rsidRDefault="00461B44" w:rsidP="00461B44">
      <w:pPr>
        <w:spacing w:after="240"/>
        <w:ind w:left="2160" w:hanging="720"/>
        <w:rPr>
          <w:iCs/>
        </w:rPr>
      </w:pPr>
      <w:r w:rsidRPr="00AC0350">
        <w:rPr>
          <w:iCs/>
        </w:rPr>
        <w:t>(i)</w:t>
      </w:r>
      <w:r w:rsidRPr="00AC0350">
        <w:rPr>
          <w:iCs/>
        </w:rPr>
        <w:tab/>
        <w:t xml:space="preserve">A general description of the part or component; </w:t>
      </w:r>
    </w:p>
    <w:p w14:paraId="2E4F8A51" w14:textId="77777777" w:rsidR="00461B44" w:rsidRPr="00AC0350" w:rsidRDefault="00461B44" w:rsidP="00461B44">
      <w:pPr>
        <w:spacing w:after="240"/>
        <w:ind w:left="2160" w:hanging="720"/>
        <w:rPr>
          <w:iCs/>
        </w:rPr>
      </w:pPr>
      <w:r w:rsidRPr="00AC0350">
        <w:rPr>
          <w:iCs/>
        </w:rPr>
        <w:t>(ii)</w:t>
      </w:r>
      <w:r w:rsidRPr="00AC0350">
        <w:rPr>
          <w:iCs/>
        </w:rPr>
        <w:tab/>
        <w:t xml:space="preserve">The name of the LSIPA Designated Country from which the part or component originated; and </w:t>
      </w:r>
    </w:p>
    <w:p w14:paraId="3C7A0065" w14:textId="77777777" w:rsidR="00461B44" w:rsidRPr="00AC0350" w:rsidRDefault="00461B44" w:rsidP="00461B44">
      <w:pPr>
        <w:spacing w:after="240"/>
        <w:ind w:left="2160" w:hanging="720"/>
        <w:rPr>
          <w:iCs/>
        </w:rPr>
      </w:pPr>
      <w:r w:rsidRPr="00AC0350">
        <w:rPr>
          <w:iCs/>
        </w:rPr>
        <w:t>(iii)</w:t>
      </w:r>
      <w:r w:rsidRPr="00AC0350">
        <w:rPr>
          <w:iCs/>
        </w:rPr>
        <w:tab/>
        <w:t xml:space="preserve">The name of the LSIPA Designated Company from which the part or component originated, unless the Market Participant or Entity applying for registration does not actually know the name of the LSIPA Designated Company.  </w:t>
      </w:r>
    </w:p>
    <w:p w14:paraId="2F6DFAA9" w14:textId="77777777" w:rsidR="00461B44" w:rsidRPr="00AC0350" w:rsidRDefault="00461B44" w:rsidP="00461B44">
      <w:pPr>
        <w:spacing w:after="240"/>
        <w:ind w:left="1440" w:hanging="720"/>
        <w:rPr>
          <w:iCs/>
        </w:rPr>
      </w:pPr>
      <w:r w:rsidRPr="00AC0350">
        <w:rPr>
          <w:iCs/>
        </w:rPr>
        <w:t>(d)</w:t>
      </w:r>
      <w:r w:rsidRPr="00AC0350">
        <w:rPr>
          <w:iCs/>
        </w:rPr>
        <w:tab/>
        <w:t xml:space="preserve">For each reported purchase made after June 8, 2023, the Market Participant or Entity applying for registration shall attest that the purchase will not result in access to or control of CEGE by an LSIPA Designated Company or an LSIPA Designated Country, excluding access specifically allowed by the Market Participant or Entity applying for registration for product warranty and support purposes. </w:t>
      </w:r>
    </w:p>
    <w:p w14:paraId="2935E250" w14:textId="77777777" w:rsidR="00461B44" w:rsidRPr="00AC0350" w:rsidRDefault="00461B44" w:rsidP="00461B44">
      <w:pPr>
        <w:spacing w:after="240"/>
        <w:ind w:left="1440" w:hanging="720"/>
        <w:rPr>
          <w:iCs/>
        </w:rPr>
      </w:pPr>
      <w:r w:rsidRPr="00AC0350">
        <w:rPr>
          <w:iCs/>
        </w:rPr>
        <w:t>(e)</w:t>
      </w:r>
      <w:r w:rsidRPr="00AC0350">
        <w:rPr>
          <w:iCs/>
        </w:rPr>
        <w:tab/>
        <w:t xml:space="preserve">For any purchases made before June 8, 2023, the Market Participant or Entity applying for registration shall take reasonable and necessary actions to mitigate access to or control of its CEGE by a company known to the Entity to be an LSIPA Designated Company or an LSIPA Designated Country, excluding access specifically allowed by the Market Participant or Entity applying for registration for product warranty and support purposes, and shall report those actions to ERCOT on the form reflected in Section 23, Form S. </w:t>
      </w:r>
    </w:p>
    <w:p w14:paraId="1337E464" w14:textId="579BBDD6" w:rsidR="00461B44" w:rsidRPr="00AC0350" w:rsidRDefault="00461B44" w:rsidP="00461B44">
      <w:pPr>
        <w:spacing w:after="240"/>
        <w:ind w:left="720" w:hanging="720"/>
        <w:rPr>
          <w:iCs/>
        </w:rPr>
      </w:pPr>
      <w:r w:rsidRPr="00AC0350">
        <w:rPr>
          <w:iCs/>
        </w:rPr>
        <w:t>(2)</w:t>
      </w:r>
      <w:r w:rsidRPr="00AC0350">
        <w:rPr>
          <w:iCs/>
        </w:rPr>
        <w:tab/>
        <w:t>Market Participants and Entities applying for registration with ERCOT shall submit an initial report and attestation, on the form reflected in Section 23, Form S</w:t>
      </w:r>
      <w:r w:rsidRPr="007710BA">
        <w:rPr>
          <w:iCs/>
        </w:rPr>
        <w:t xml:space="preserve"> </w:t>
      </w:r>
      <w:r w:rsidRPr="00AC0350">
        <w:rPr>
          <w:iCs/>
        </w:rPr>
        <w:t>identifying any purchase described in paragraph (1) above that occurred during the following time periods:</w:t>
      </w:r>
    </w:p>
    <w:p w14:paraId="6241952F" w14:textId="77777777" w:rsidR="00461B44" w:rsidRPr="00AC0350" w:rsidRDefault="00461B44" w:rsidP="00461B44">
      <w:pPr>
        <w:spacing w:after="240"/>
        <w:ind w:left="1440" w:hanging="720"/>
        <w:rPr>
          <w:iCs/>
        </w:rPr>
      </w:pPr>
      <w:r w:rsidRPr="00AC0350">
        <w:rPr>
          <w:iCs/>
        </w:rPr>
        <w:t>(a)</w:t>
      </w:r>
      <w:r w:rsidRPr="00AC0350">
        <w:rPr>
          <w:iCs/>
        </w:rPr>
        <w:tab/>
        <w:t xml:space="preserve">For a Market Participant, purchase(s) that were made after June 18, 2021.  This initial report and attestation shall be submitted by October 28, 2024; </w:t>
      </w:r>
    </w:p>
    <w:p w14:paraId="09052982" w14:textId="77777777" w:rsidR="00461B44" w:rsidRPr="00AC0350" w:rsidRDefault="00461B44" w:rsidP="00461B44">
      <w:pPr>
        <w:spacing w:after="240"/>
        <w:ind w:left="1440" w:hanging="720"/>
        <w:rPr>
          <w:iCs/>
        </w:rPr>
      </w:pPr>
      <w:r w:rsidRPr="00AC0350">
        <w:rPr>
          <w:iCs/>
        </w:rPr>
        <w:t>(b)</w:t>
      </w:r>
      <w:r w:rsidRPr="00AC0350">
        <w:rPr>
          <w:iCs/>
        </w:rPr>
        <w:tab/>
        <w:t xml:space="preserve">For a Market Participant, purchase(s) that were made between June 8, </w:t>
      </w:r>
      <w:proofErr w:type="gramStart"/>
      <w:r w:rsidRPr="00AC0350">
        <w:rPr>
          <w:iCs/>
        </w:rPr>
        <w:t>2018</w:t>
      </w:r>
      <w:proofErr w:type="gramEnd"/>
      <w:r w:rsidRPr="00AC0350">
        <w:rPr>
          <w:iCs/>
        </w:rPr>
        <w:t xml:space="preserve"> through June 18, 2021.  This initial report and attestation shall be submitted by December 15, 2024; and</w:t>
      </w:r>
    </w:p>
    <w:p w14:paraId="26161640" w14:textId="77777777" w:rsidR="00461B44" w:rsidRPr="00AC0350" w:rsidRDefault="00461B44" w:rsidP="00461B44">
      <w:pPr>
        <w:spacing w:after="240"/>
        <w:ind w:left="1440" w:hanging="720"/>
        <w:rPr>
          <w:iCs/>
        </w:rPr>
      </w:pPr>
      <w:r w:rsidRPr="00AC0350">
        <w:rPr>
          <w:iCs/>
        </w:rPr>
        <w:t>(c)</w:t>
      </w:r>
      <w:r w:rsidRPr="00AC0350">
        <w:rPr>
          <w:iCs/>
        </w:rPr>
        <w:tab/>
        <w:t>For an Entity applying for registration with ERCOT, purchase(s) that were made within the five years preceding the date on which the Entity signed the Standard Form Agreement.  This initial report and attestation must be submitted before ERCOT may approve registration.</w:t>
      </w:r>
    </w:p>
    <w:p w14:paraId="38606DAB" w14:textId="77777777" w:rsidR="00461B44" w:rsidRPr="00AC0350" w:rsidRDefault="00461B44" w:rsidP="00461B44">
      <w:pPr>
        <w:spacing w:after="240"/>
        <w:ind w:left="720" w:hanging="720"/>
        <w:rPr>
          <w:iCs/>
        </w:rPr>
      </w:pPr>
      <w:r w:rsidRPr="00AC0350">
        <w:rPr>
          <w:iCs/>
        </w:rPr>
        <w:lastRenderedPageBreak/>
        <w:t>(3)</w:t>
      </w:r>
      <w:r w:rsidRPr="00AC0350">
        <w:rPr>
          <w:iCs/>
        </w:rPr>
        <w:tab/>
        <w:t xml:space="preserve">A Market Participant shall submit a report and attestation, on the form reflected in Section 23, Form S, identifying any purchase(s) described in paragraph (1) above that occur after the date(s) of the purchases reported pursuant to paragraph (2) above and that have not already been reported pursuant to this Section. </w:t>
      </w:r>
    </w:p>
    <w:p w14:paraId="665BF97C" w14:textId="77777777" w:rsidR="00461B44" w:rsidRPr="00AC0350" w:rsidRDefault="00461B44" w:rsidP="00461B44">
      <w:pPr>
        <w:spacing w:after="240"/>
        <w:ind w:left="720" w:hanging="720"/>
        <w:rPr>
          <w:iCs/>
        </w:rPr>
      </w:pPr>
      <w:bookmarkStart w:id="41" w:name="_Hlk155261380"/>
      <w:r w:rsidRPr="00AC0350">
        <w:rPr>
          <w:iCs/>
        </w:rPr>
        <w:t>(4)</w:t>
      </w:r>
      <w:r w:rsidRPr="00AC0350">
        <w:rPr>
          <w:iCs/>
        </w:rPr>
        <w:tab/>
        <w:t xml:space="preserve">Reports and attestations submitted pursuant to paragraph (3) above shall be submitted within 180 days of the date of the  purchase. </w:t>
      </w:r>
    </w:p>
    <w:bookmarkEnd w:id="41"/>
    <w:p w14:paraId="0ED3520E" w14:textId="77777777" w:rsidR="00FC1C5F" w:rsidRDefault="00727E32" w:rsidP="00FE610C">
      <w:pPr>
        <w:pStyle w:val="H2"/>
      </w:pPr>
      <w:r>
        <w:t>16.2</w:t>
      </w:r>
      <w:r>
        <w:tab/>
        <w:t>Registration and Qualification of Qualified Scheduling Entities</w:t>
      </w:r>
      <w:bookmarkEnd w:id="25"/>
      <w:bookmarkEnd w:id="26"/>
      <w:bookmarkEnd w:id="30"/>
      <w:bookmarkEnd w:id="31"/>
      <w:bookmarkEnd w:id="32"/>
      <w:bookmarkEnd w:id="33"/>
      <w:bookmarkEnd w:id="34"/>
      <w:bookmarkEnd w:id="35"/>
      <w:bookmarkEnd w:id="38"/>
    </w:p>
    <w:p w14:paraId="5BFF98A9" w14:textId="77777777" w:rsidR="00FC1C5F" w:rsidRDefault="00727E32">
      <w:pPr>
        <w:pStyle w:val="H3"/>
      </w:pPr>
      <w:bookmarkStart w:id="42" w:name="_Toc71369172"/>
      <w:bookmarkStart w:id="43" w:name="_Toc71539388"/>
      <w:bookmarkStart w:id="44" w:name="_Toc390438913"/>
      <w:bookmarkStart w:id="45" w:name="_Toc405897610"/>
      <w:bookmarkStart w:id="46" w:name="_Toc415055714"/>
      <w:bookmarkStart w:id="47" w:name="_Toc415055840"/>
      <w:bookmarkStart w:id="48" w:name="_Toc415055939"/>
      <w:bookmarkStart w:id="49" w:name="_Toc415056040"/>
      <w:bookmarkStart w:id="50" w:name="_Toc148960814"/>
      <w:r>
        <w:t>16.2.1</w:t>
      </w:r>
      <w:r>
        <w:tab/>
        <w:t>Criteria for Qualification as a Qualified Scheduling Entity</w:t>
      </w:r>
      <w:bookmarkEnd w:id="42"/>
      <w:bookmarkEnd w:id="43"/>
      <w:bookmarkEnd w:id="44"/>
      <w:bookmarkEnd w:id="45"/>
      <w:bookmarkEnd w:id="46"/>
      <w:bookmarkEnd w:id="47"/>
      <w:bookmarkEnd w:id="48"/>
      <w:bookmarkEnd w:id="49"/>
      <w:bookmarkEnd w:id="50"/>
      <w:r>
        <w:t xml:space="preserve"> </w:t>
      </w:r>
    </w:p>
    <w:p w14:paraId="7790605C" w14:textId="77777777" w:rsidR="00FC1C5F" w:rsidRDefault="00727E32">
      <w:pPr>
        <w:pStyle w:val="BodyText"/>
        <w:ind w:left="720" w:hanging="720"/>
      </w:pPr>
      <w:r>
        <w:t>(1)</w:t>
      </w:r>
      <w:r>
        <w:tab/>
        <w:t xml:space="preserve">To become and remain a </w:t>
      </w:r>
      <w:r w:rsidR="00BD6527">
        <w:t>Qualified Scheduling Entity (</w:t>
      </w:r>
      <w:r>
        <w:t>QSE</w:t>
      </w:r>
      <w:r w:rsidR="00BD6527">
        <w:t>)</w:t>
      </w:r>
      <w:r>
        <w:t>, an Entity must meet the following requirements:</w:t>
      </w:r>
    </w:p>
    <w:p w14:paraId="78CDA8DF" w14:textId="0FDD2B89" w:rsidR="00FC1C5F" w:rsidRDefault="00727E32">
      <w:pPr>
        <w:pStyle w:val="List"/>
      </w:pPr>
      <w:bookmarkStart w:id="51" w:name="_Hlk90904109"/>
      <w:r>
        <w:t>(a)</w:t>
      </w:r>
      <w:r>
        <w:tab/>
      </w:r>
      <w:r w:rsidR="00BB1306">
        <w:t>Submit a properly completed QSE application for qualification, including any applicable fee, necessary disclosures, and designation of Authorized Representatives, each of whom is responsible for administrative communications with the QSE and each of whom has enough authority to commit and bind the QSE and the Entities it represents;</w:t>
      </w:r>
      <w:bookmarkEnd w:id="51"/>
    </w:p>
    <w:p w14:paraId="035B326B" w14:textId="77777777" w:rsidR="0028005C" w:rsidRPr="00636B19" w:rsidRDefault="0028005C" w:rsidP="00373358">
      <w:pPr>
        <w:pStyle w:val="List"/>
      </w:pPr>
      <w:r>
        <w:t>(b)</w:t>
      </w:r>
      <w:r>
        <w:tab/>
      </w:r>
      <w:r w:rsidRPr="00636B19">
        <w:t>Comply with ERCOT’s background check process, as described in Section 16.2.1.1, QSE Background Check Process;</w:t>
      </w:r>
    </w:p>
    <w:p w14:paraId="5CA9EE83" w14:textId="075F89E0" w:rsidR="0028005C" w:rsidRDefault="0028005C" w:rsidP="00373358">
      <w:pPr>
        <w:pStyle w:val="List"/>
      </w:pPr>
      <w:r w:rsidRPr="003A5651">
        <w:t>(c)</w:t>
      </w:r>
      <w:r w:rsidRPr="003A5651">
        <w:tab/>
        <w:t xml:space="preserve">Demonstrate to ERCOT’s reasonable satisfaction that the Entity does not pose an </w:t>
      </w:r>
      <w:r w:rsidR="000475FE">
        <w:t>“</w:t>
      </w:r>
      <w:r w:rsidRPr="00804822">
        <w:t>Unreasonable Financial Risk</w:t>
      </w:r>
      <w:r w:rsidR="000475FE">
        <w:t>”</w:t>
      </w:r>
      <w:r w:rsidRPr="003A5651">
        <w:t>, as defined in this Section;</w:t>
      </w:r>
    </w:p>
    <w:p w14:paraId="04D4722B" w14:textId="1EB89368" w:rsidR="00FC1C5F" w:rsidRDefault="00727E32" w:rsidP="00FE610C">
      <w:pPr>
        <w:pStyle w:val="List"/>
      </w:pPr>
      <w:r>
        <w:t>(</w:t>
      </w:r>
      <w:r w:rsidR="0028005C">
        <w:t>d</w:t>
      </w:r>
      <w:r>
        <w:t>)</w:t>
      </w:r>
      <w:r>
        <w:tab/>
        <w:t xml:space="preserve">Sign a Standard Form Market Participant Agreement; </w:t>
      </w:r>
    </w:p>
    <w:p w14:paraId="652C9889" w14:textId="48B0AAB6" w:rsidR="00FC1C5F" w:rsidRDefault="00727E32">
      <w:pPr>
        <w:pStyle w:val="List"/>
      </w:pPr>
      <w:r>
        <w:t>(</w:t>
      </w:r>
      <w:r w:rsidR="0028005C">
        <w:t>e</w:t>
      </w:r>
      <w:r>
        <w:t>)</w:t>
      </w:r>
      <w:r>
        <w:tab/>
        <w:t xml:space="preserve">Sign any required Agreements relating to use of the ERCOT </w:t>
      </w:r>
      <w:r w:rsidR="00F52CAC">
        <w:t>Wide Area N</w:t>
      </w:r>
      <w:r>
        <w:t>etwork</w:t>
      </w:r>
      <w:r w:rsidR="00F52CAC">
        <w:t xml:space="preserve"> (WAN)</w:t>
      </w:r>
      <w:r>
        <w:t>, software, and systems;</w:t>
      </w:r>
    </w:p>
    <w:p w14:paraId="7AE4B375" w14:textId="55747E6E" w:rsidR="00FC1C5F" w:rsidRDefault="00727E32">
      <w:pPr>
        <w:pStyle w:val="List"/>
      </w:pPr>
      <w:r>
        <w:t>(</w:t>
      </w:r>
      <w:r w:rsidR="0028005C">
        <w:t>f</w:t>
      </w:r>
      <w:r>
        <w:t>)</w:t>
      </w:r>
      <w:r>
        <w:tab/>
        <w:t xml:space="preserve">Demonstrate to ERCOT’s reasonable satisfaction that the Entity </w:t>
      </w:r>
      <w:proofErr w:type="gramStart"/>
      <w:r>
        <w:t>is capable of performing</w:t>
      </w:r>
      <w:proofErr w:type="gramEnd"/>
      <w:r>
        <w:t xml:space="preserve"> the functions of a QSE; </w:t>
      </w:r>
    </w:p>
    <w:p w14:paraId="32C57ABA" w14:textId="45543E55" w:rsidR="00FC1C5F" w:rsidRDefault="00727E32">
      <w:pPr>
        <w:pStyle w:val="List"/>
      </w:pPr>
      <w:r>
        <w:t>(</w:t>
      </w:r>
      <w:r w:rsidR="0028005C">
        <w:t>g</w:t>
      </w:r>
      <w:r>
        <w:t>)</w:t>
      </w:r>
      <w:r>
        <w:tab/>
        <w:t xml:space="preserve">Demonstrate to ERCOT’s reasonable satisfaction that the Entity </w:t>
      </w:r>
      <w:proofErr w:type="gramStart"/>
      <w:r>
        <w:t>is capable of complying</w:t>
      </w:r>
      <w:proofErr w:type="gramEnd"/>
      <w:r>
        <w:t xml:space="preserve"> with the requirements of all ERCOT Protocols and Operating Guides; </w:t>
      </w:r>
    </w:p>
    <w:p w14:paraId="5D0208B6" w14:textId="19E00FC8" w:rsidR="00FC1C5F" w:rsidRDefault="00727E32">
      <w:pPr>
        <w:pStyle w:val="List"/>
      </w:pPr>
      <w:r>
        <w:t>(</w:t>
      </w:r>
      <w:r w:rsidR="0028005C">
        <w:t>h</w:t>
      </w:r>
      <w:r>
        <w:t>)</w:t>
      </w:r>
      <w:r>
        <w:tab/>
      </w:r>
      <w:r w:rsidR="00B55C27" w:rsidRPr="00F52CAC">
        <w:t>Satisfy ERCOT’s creditworthiness requirements as set forth in this Section, unless exempted from these requirements by Section 16.17, Exemption for Qualified Scheduling Entities Participating Only in Emergency Response Service;</w:t>
      </w:r>
    </w:p>
    <w:p w14:paraId="32151179" w14:textId="1A9E7DC0" w:rsidR="00FC1C5F" w:rsidRDefault="00727E32" w:rsidP="00D9080F">
      <w:pPr>
        <w:pStyle w:val="List"/>
      </w:pPr>
      <w:r>
        <w:t>(</w:t>
      </w:r>
      <w:r w:rsidR="0028005C">
        <w:t>i</w:t>
      </w:r>
      <w:r>
        <w:t>)</w:t>
      </w:r>
      <w:r>
        <w:tab/>
        <w:t>Be generally able to pay its debts as they come due</w:t>
      </w:r>
      <w:r w:rsidR="008458E2">
        <w:t>.</w:t>
      </w:r>
      <w:r>
        <w:t xml:space="preserve"> </w:t>
      </w:r>
      <w:r w:rsidR="008458E2">
        <w:t xml:space="preserve"> </w:t>
      </w:r>
      <w:r>
        <w:t>ERCOT may request evidence of compliance with this qualification only if ERCOT reasonably believes that a QSE is failing to comply with it;</w:t>
      </w:r>
    </w:p>
    <w:p w14:paraId="6D4C2340" w14:textId="0BAFBB19" w:rsidR="00FC1C5F" w:rsidRDefault="00727E32">
      <w:pPr>
        <w:pStyle w:val="List"/>
      </w:pPr>
      <w:r>
        <w:lastRenderedPageBreak/>
        <w:t>(</w:t>
      </w:r>
      <w:r w:rsidR="0028005C">
        <w:t>j</w:t>
      </w:r>
      <w:r>
        <w:t>)</w:t>
      </w:r>
      <w:r>
        <w:tab/>
        <w:t xml:space="preserve">Provide all necessary bank account information and arrange for Fedwire system transfers for two-way confirmation; </w:t>
      </w:r>
    </w:p>
    <w:p w14:paraId="1CF1355B" w14:textId="2D13915E" w:rsidR="00FC1C5F" w:rsidRDefault="00727E32">
      <w:pPr>
        <w:pStyle w:val="List"/>
      </w:pPr>
      <w:r>
        <w:t>(</w:t>
      </w:r>
      <w:r w:rsidR="0028005C">
        <w:t>k</w:t>
      </w:r>
      <w:r>
        <w:t>)</w:t>
      </w:r>
      <w:r>
        <w:tab/>
        <w:t xml:space="preserve">Be financially responsible for payment of </w:t>
      </w:r>
      <w:r w:rsidR="007349BB">
        <w:t>S</w:t>
      </w:r>
      <w:r>
        <w:t>ettlement charges for those Entities it represents under these Protocols;</w:t>
      </w:r>
    </w:p>
    <w:p w14:paraId="1AC60F76" w14:textId="77777777" w:rsidR="007642E6" w:rsidRDefault="007642E6" w:rsidP="007642E6">
      <w:pPr>
        <w:pStyle w:val="List"/>
      </w:pPr>
      <w:r>
        <w:t>(l)</w:t>
      </w:r>
      <w:r>
        <w:tab/>
        <w:t xml:space="preserve">Submit an executed ERCOT Private Wide Area Network (WAN) Agreement under Section 23, Form K, Wide Area Network (WAN) Agreement, for WAN Participants; </w:t>
      </w:r>
    </w:p>
    <w:p w14:paraId="6C989522" w14:textId="535F7A23" w:rsidR="00FC1C5F" w:rsidRDefault="00727E32">
      <w:pPr>
        <w:pStyle w:val="List"/>
      </w:pPr>
      <w:r>
        <w:t>(</w:t>
      </w:r>
      <w:r w:rsidR="007642E6">
        <w:t>m</w:t>
      </w:r>
      <w:r>
        <w:t>)</w:t>
      </w:r>
      <w:r>
        <w:tab/>
        <w:t>Comply with the backup plan requirements</w:t>
      </w:r>
      <w:r w:rsidR="007642E6" w:rsidRPr="007642E6">
        <w:t xml:space="preserve"> </w:t>
      </w:r>
      <w:r w:rsidR="007642E6" w:rsidRPr="0007138D">
        <w:t>for WAN Participants, if applicable,</w:t>
      </w:r>
      <w:r>
        <w:t xml:space="preserve"> in </w:t>
      </w:r>
      <w:r w:rsidR="007642E6">
        <w:t xml:space="preserve">accordance with </w:t>
      </w:r>
      <w:r>
        <w:t xml:space="preserve">the Operating Guides; </w:t>
      </w:r>
    </w:p>
    <w:p w14:paraId="349E3895" w14:textId="14971680" w:rsidR="00FC1C5F" w:rsidRDefault="00727E32">
      <w:pPr>
        <w:pStyle w:val="List"/>
        <w:rPr>
          <w:b/>
        </w:rPr>
      </w:pPr>
      <w:r>
        <w:t>(</w:t>
      </w:r>
      <w:r w:rsidR="007642E6">
        <w:t>n</w:t>
      </w:r>
      <w:r>
        <w:t>)</w:t>
      </w:r>
      <w:r>
        <w:tab/>
      </w:r>
      <w:bookmarkStart w:id="52" w:name="_Hlk147130589"/>
      <w:r w:rsidR="007642E6">
        <w:rPr>
          <w:szCs w:val="24"/>
        </w:rPr>
        <w:t>D</w:t>
      </w:r>
      <w:r w:rsidR="007642E6">
        <w:t xml:space="preserve">emonstrate to ERCOT’s reasonable satisfaction that the Entity can </w:t>
      </w:r>
      <w:bookmarkEnd w:id="52"/>
      <w:r w:rsidR="007642E6">
        <w:t>m</w:t>
      </w:r>
      <w:r w:rsidR="00EE1CAB" w:rsidRPr="000021D0">
        <w:t xml:space="preserve">aintain a 24-hour, seven-day-per-week </w:t>
      </w:r>
      <w:r w:rsidR="007642E6">
        <w:t>control or operations</w:t>
      </w:r>
      <w:r w:rsidR="00EE1CAB" w:rsidRPr="000021D0">
        <w:t xml:space="preserve"> center with qualified personnel for the purposes of communicating with ERCOT </w:t>
      </w:r>
      <w:r w:rsidR="00EE1CAB">
        <w:t>relating to</w:t>
      </w:r>
      <w:r w:rsidR="00EE1CAB" w:rsidRPr="000021D0">
        <w:t xml:space="preserve"> Day-Ahead and Operating Day exchange of market and operational obligations.  </w:t>
      </w:r>
      <w:r w:rsidR="007642E6">
        <w:t>This requirement applies to QSEs that are WAN Participants.</w:t>
      </w:r>
      <w:r w:rsidR="007642E6" w:rsidRPr="00F90BA1">
        <w:rPr>
          <w:szCs w:val="24"/>
        </w:rPr>
        <w:t xml:space="preserve"> </w:t>
      </w:r>
      <w:r w:rsidR="007642E6">
        <w:rPr>
          <w:szCs w:val="24"/>
        </w:rPr>
        <w:t xml:space="preserve"> C</w:t>
      </w:r>
      <w:r w:rsidR="007642E6">
        <w:t>ontrol or operations</w:t>
      </w:r>
      <w:r w:rsidR="007642E6" w:rsidRPr="000021D0">
        <w:t xml:space="preserve"> center</w:t>
      </w:r>
      <w:r w:rsidR="00EE1CAB" w:rsidRPr="000021D0">
        <w:t xml:space="preserve"> personnel must be responsible for operational communications and must have sufficient authority to commit and bind the QSE and the Entities that it represents;</w:t>
      </w:r>
    </w:p>
    <w:p w14:paraId="34ED7017" w14:textId="7BAAB496" w:rsidR="00FC1C5F" w:rsidRDefault="00727E32" w:rsidP="00350FB0">
      <w:pPr>
        <w:pStyle w:val="List"/>
      </w:pPr>
      <w:r>
        <w:t>(</w:t>
      </w:r>
      <w:r w:rsidR="0028005C">
        <w:t>o</w:t>
      </w:r>
      <w:r>
        <w:t>)</w:t>
      </w:r>
      <w:r>
        <w:tab/>
        <w:t>Demonstrate and maintain a working functional interface with all required ERCOT computer systems;</w:t>
      </w:r>
    </w:p>
    <w:p w14:paraId="13F1F288" w14:textId="476FD3B8" w:rsidR="00FC1C5F" w:rsidRDefault="00727E32">
      <w:pPr>
        <w:pStyle w:val="List"/>
      </w:pPr>
      <w:r>
        <w:t>(</w:t>
      </w:r>
      <w:r w:rsidR="0028005C">
        <w:t>p</w:t>
      </w:r>
      <w:r>
        <w:t>)</w:t>
      </w:r>
      <w:r>
        <w:tab/>
        <w:t>Allow ERCOT, upon reasonable notice, to conduct a site visit to verify information provided by the QSE</w:t>
      </w:r>
      <w:r w:rsidR="00F52CAC">
        <w:t>; and</w:t>
      </w:r>
    </w:p>
    <w:p w14:paraId="35D83FAD" w14:textId="45946DCE" w:rsidR="00F52CAC" w:rsidRDefault="00F52CAC">
      <w:pPr>
        <w:pStyle w:val="List"/>
      </w:pPr>
      <w:r>
        <w:t>(</w:t>
      </w:r>
      <w:r w:rsidR="0028005C">
        <w:t>q</w:t>
      </w:r>
      <w:r>
        <w:t>)</w:t>
      </w:r>
      <w:r>
        <w:tab/>
      </w:r>
      <w:r w:rsidRPr="000C7BD5">
        <w:t xml:space="preserve">If a QSE represents a Resource Entity, Emergency Response Service (ERS) Resource, or another QSE and receives or transmits WAN Data, it must maintain connection to a Secure Private Network (SPN) </w:t>
      </w:r>
      <w:r>
        <w:t xml:space="preserve">or equivalent network </w:t>
      </w:r>
      <w:r w:rsidRPr="000C7BD5">
        <w:t>as described in Nodal Operating Guide Section 7</w:t>
      </w:r>
      <w:r>
        <w:t>.1.2</w:t>
      </w:r>
      <w:r w:rsidRPr="000C7BD5">
        <w:t xml:space="preserve">, </w:t>
      </w:r>
      <w:r>
        <w:t>WAN Participant Responsibilities</w:t>
      </w:r>
      <w:r w:rsidRPr="000C7BD5">
        <w:t xml:space="preserve">.  </w:t>
      </w:r>
    </w:p>
    <w:p w14:paraId="43F20C85" w14:textId="78F9B1B0" w:rsidR="00FC1C5F" w:rsidRDefault="00727E32">
      <w:pPr>
        <w:pStyle w:val="BodyTextNumbered"/>
      </w:pPr>
      <w:r>
        <w:t>(2)</w:t>
      </w:r>
      <w:r>
        <w:tab/>
        <w:t xml:space="preserve">If a QSE chooses to use </w:t>
      </w:r>
      <w:r w:rsidR="007349BB">
        <w:t>E</w:t>
      </w:r>
      <w:r>
        <w:t xml:space="preserve">lectronic </w:t>
      </w:r>
      <w:r w:rsidR="007349BB">
        <w:t>D</w:t>
      </w:r>
      <w:r>
        <w:t xml:space="preserve">ata </w:t>
      </w:r>
      <w:r w:rsidR="007349BB">
        <w:t>I</w:t>
      </w:r>
      <w:r>
        <w:t xml:space="preserve">nterchange (EDI) transactions to receive Settlement Statements and Invoices, it must participate in and successfully complete testing as described in Section </w:t>
      </w:r>
      <w:r w:rsidR="007349BB">
        <w:t>19.8</w:t>
      </w:r>
      <w:r>
        <w:t>, Retail Market Testing, before starting operations with ERCOT as a QSE.</w:t>
      </w:r>
    </w:p>
    <w:p w14:paraId="504A4C00" w14:textId="13436EA2" w:rsidR="0028005C" w:rsidRPr="000046B5" w:rsidRDefault="0028005C" w:rsidP="0028005C">
      <w:pPr>
        <w:pStyle w:val="BodyTextNumbered"/>
      </w:pPr>
      <w:bookmarkStart w:id="53" w:name="_Hlk90904129"/>
      <w:r>
        <w:t>(3)</w:t>
      </w:r>
      <w:r>
        <w:tab/>
      </w:r>
      <w:bookmarkStart w:id="54" w:name="_Hlk130290091"/>
      <w:r w:rsidRPr="00440DBF">
        <w:rPr>
          <w:rFonts w:eastAsiaTheme="minorHAnsi"/>
          <w:szCs w:val="24"/>
        </w:rPr>
        <w:t xml:space="preserve">A QSE must be able to demonstrate to ERCOT’s reasonable satisfaction that it does not pose an </w:t>
      </w:r>
      <w:r>
        <w:rPr>
          <w:rFonts w:eastAsiaTheme="minorHAnsi"/>
          <w:szCs w:val="24"/>
        </w:rPr>
        <w:t>U</w:t>
      </w:r>
      <w:r w:rsidRPr="00440DBF">
        <w:rPr>
          <w:rFonts w:eastAsiaTheme="minorHAnsi"/>
          <w:szCs w:val="24"/>
        </w:rPr>
        <w:t xml:space="preserve">nreasonable </w:t>
      </w:r>
      <w:r>
        <w:rPr>
          <w:rFonts w:eastAsiaTheme="minorHAnsi"/>
          <w:szCs w:val="24"/>
        </w:rPr>
        <w:t>Financial</w:t>
      </w:r>
      <w:r w:rsidRPr="00440DBF">
        <w:rPr>
          <w:rFonts w:eastAsiaTheme="minorHAnsi"/>
          <w:szCs w:val="24"/>
        </w:rPr>
        <w:t xml:space="preserve"> </w:t>
      </w:r>
      <w:r>
        <w:rPr>
          <w:rFonts w:eastAsiaTheme="minorHAnsi"/>
          <w:szCs w:val="24"/>
        </w:rPr>
        <w:t>R</w:t>
      </w:r>
      <w:r w:rsidRPr="00440DBF">
        <w:rPr>
          <w:rFonts w:eastAsiaTheme="minorHAnsi"/>
          <w:szCs w:val="24"/>
        </w:rPr>
        <w:t>isk</w:t>
      </w:r>
      <w:r>
        <w:rPr>
          <w:rFonts w:eastAsiaTheme="minorHAnsi"/>
          <w:szCs w:val="24"/>
        </w:rPr>
        <w:t>.</w:t>
      </w:r>
      <w:r>
        <w:t xml:space="preserve"> </w:t>
      </w:r>
      <w:r w:rsidRPr="00440DBF">
        <w:rPr>
          <w:rFonts w:eastAsiaTheme="minorHAnsi"/>
          <w:szCs w:val="24"/>
        </w:rPr>
        <w:t xml:space="preserve"> </w:t>
      </w:r>
      <w:r w:rsidRPr="002C6C1A">
        <w:rPr>
          <w:rFonts w:eastAsiaTheme="minorHAnsi"/>
          <w:szCs w:val="24"/>
        </w:rPr>
        <w:t xml:space="preserve">Unreasonable </w:t>
      </w:r>
      <w:r>
        <w:rPr>
          <w:rFonts w:eastAsiaTheme="minorHAnsi"/>
          <w:szCs w:val="24"/>
        </w:rPr>
        <w:t>Financial</w:t>
      </w:r>
      <w:r w:rsidRPr="002C6C1A">
        <w:rPr>
          <w:rFonts w:eastAsiaTheme="minorHAnsi"/>
          <w:szCs w:val="24"/>
        </w:rPr>
        <w:t xml:space="preserve"> Risk</w:t>
      </w:r>
      <w:r>
        <w:rPr>
          <w:rFonts w:eastAsiaTheme="minorHAnsi"/>
          <w:szCs w:val="24"/>
        </w:rPr>
        <w:t xml:space="preserve"> </w:t>
      </w:r>
      <w:r w:rsidRPr="002C6C1A">
        <w:rPr>
          <w:rFonts w:eastAsiaTheme="minorHAnsi"/>
          <w:szCs w:val="24"/>
        </w:rPr>
        <w:t>as used in Section</w:t>
      </w:r>
      <w:r>
        <w:rPr>
          <w:rFonts w:eastAsiaTheme="minorHAnsi"/>
          <w:szCs w:val="24"/>
        </w:rPr>
        <w:t xml:space="preserve"> 16, Registration and Qualification of Market </w:t>
      </w:r>
      <w:r w:rsidRPr="00154BB0">
        <w:rPr>
          <w:rFonts w:eastAsiaTheme="minorHAnsi"/>
          <w:szCs w:val="24"/>
        </w:rPr>
        <w:t>Participants, is a risk of financial default posed</w:t>
      </w:r>
      <w:r w:rsidRPr="00154BB0">
        <w:t xml:space="preserve"> </w:t>
      </w:r>
      <w:r w:rsidRPr="00154BB0">
        <w:rPr>
          <w:rFonts w:eastAsiaTheme="minorHAnsi"/>
          <w:szCs w:val="24"/>
        </w:rPr>
        <w:t>to ERCOT or its Market Participants by participation of an Entity or its Principals in the ERCOT market.  Indicators of Unreasonable Financial Risk may include, but are not limited to: past market manipulation, trading violations, or other finance-related violations based upon a final adjudication in state or federal regulatory or legal proceedings; financial defaults in ERCOT or other energy markets resulting in lo</w:t>
      </w:r>
      <w:r>
        <w:rPr>
          <w:rFonts w:eastAsiaTheme="minorHAnsi"/>
          <w:szCs w:val="24"/>
        </w:rPr>
        <w:t>s</w:t>
      </w:r>
      <w:r w:rsidRPr="00154BB0">
        <w:rPr>
          <w:rFonts w:eastAsiaTheme="minorHAnsi"/>
          <w:szCs w:val="24"/>
        </w:rPr>
        <w:t>ses or uplifts; indications of imminent bankruptcy or insolvency</w:t>
      </w:r>
      <w:r>
        <w:rPr>
          <w:rFonts w:eastAsiaTheme="minorHAnsi"/>
          <w:szCs w:val="24"/>
        </w:rPr>
        <w:t xml:space="preserve">, or other past civil judgement </w:t>
      </w:r>
      <w:r>
        <w:rPr>
          <w:rFonts w:eastAsiaTheme="minorHAnsi"/>
          <w:szCs w:val="24"/>
        </w:rPr>
        <w:lastRenderedPageBreak/>
        <w:t>or criminal conviction that reflects problematic behavior on the part of the Entity or its Principals</w:t>
      </w:r>
      <w:r w:rsidRPr="00154BB0">
        <w:rPr>
          <w:rFonts w:eastAsiaTheme="minorHAnsi"/>
          <w:szCs w:val="24"/>
        </w:rPr>
        <w:t>.</w:t>
      </w:r>
      <w:bookmarkEnd w:id="54"/>
    </w:p>
    <w:p w14:paraId="32423C72" w14:textId="20D32823" w:rsidR="00BB1306" w:rsidRDefault="00BB1306" w:rsidP="00BB1306">
      <w:pPr>
        <w:pStyle w:val="BodyTextNumbered"/>
      </w:pPr>
      <w:r>
        <w:t>(</w:t>
      </w:r>
      <w:r w:rsidR="0028005C">
        <w:t>4</w:t>
      </w:r>
      <w:r>
        <w:t>)</w:t>
      </w:r>
      <w:r>
        <w:tab/>
        <w:t>A QSE or QSE applicant must be able to demonstrate to ERCOT’s reasonable satisfaction that none of its Principals were or are Principals of any Entity with an outstanding payment obligation that remains owing to ERCOT under any Agreement or these Protocols.  For purposes of this Section, ERCOT will only consider disqualifying those Principals of the QSE or QSE applicant who were Principals of the other Entity at a time during which the unpaid financial obligation remained owing to ERCOT or during the 120-day period prior to the date on which the unpaid financial obligation first became due and owing to ERCOT.</w:t>
      </w:r>
    </w:p>
    <w:p w14:paraId="1E22A5E0" w14:textId="36D016F2" w:rsidR="00BB1306" w:rsidRDefault="00BB1306" w:rsidP="00BB1306">
      <w:pPr>
        <w:pStyle w:val="BodyTextNumbered"/>
      </w:pPr>
      <w:r>
        <w:t>(</w:t>
      </w:r>
      <w:r w:rsidR="0028005C">
        <w:t>5</w:t>
      </w:r>
      <w:r>
        <w:t>)</w:t>
      </w:r>
      <w:r>
        <w:tab/>
        <w:t xml:space="preserve">If any of a QSE’s or QSE applicant’s Principals were or are Principals of a terminated Market Participant with an obligation for Default Uplift Ratio Share allocated under Section 9.19.1, Default Uplift Invoices, the terminated Market Participant must be current on all payment obligations for Default Uplift Invoices </w:t>
      </w:r>
      <w:proofErr w:type="gramStart"/>
      <w:r>
        <w:t>in order for</w:t>
      </w:r>
      <w:proofErr w:type="gramEnd"/>
      <w:r>
        <w:t xml:space="preserve"> the </w:t>
      </w:r>
      <w:r w:rsidRPr="00530DEE">
        <w:t xml:space="preserve">QSE </w:t>
      </w:r>
      <w:r>
        <w:t>to remain, or QSE applicant to become, a registered QSE.  For purposes of this Section, ERCOT will only consider as disqualifying those Principals of the QSE or QSE applicant who were Principals of the other Entity at a time during which the other Entity was not current on its payment obligation for Default Uplift Invoices or 120 days prior to the date the other Entity first failed to pay a Default Uplift Invoice.</w:t>
      </w:r>
    </w:p>
    <w:p w14:paraId="37D71E3D" w14:textId="3A17641D" w:rsidR="00FC1C5F" w:rsidRDefault="00727E32" w:rsidP="00FE610C">
      <w:pPr>
        <w:pStyle w:val="BodyTextNumbered"/>
      </w:pPr>
      <w:bookmarkStart w:id="55" w:name="_Hlk90904142"/>
      <w:bookmarkEnd w:id="53"/>
      <w:r>
        <w:t>(</w:t>
      </w:r>
      <w:r w:rsidR="0028005C">
        <w:t>6</w:t>
      </w:r>
      <w:r>
        <w:t>)</w:t>
      </w:r>
      <w:r>
        <w:tab/>
      </w:r>
      <w:r w:rsidR="00BB1306">
        <w:t xml:space="preserve">A QSE shall promptly notify ERCOT of any change that a reasonable examiner may deem material to the QSE’s ability to continue to meet the requirements set forth in this Section, and any material change in the information provided by the QSE to ERCOT that may adversely affect the reliability or safety of the ERCOT System or the financial security of ERCOT.  </w:t>
      </w:r>
      <w:r w:rsidR="00BB1306" w:rsidRPr="00EC565B">
        <w:t>This includes any changes in the Principals of the QSE.</w:t>
      </w:r>
      <w:r w:rsidR="00BB1306">
        <w:t xml:space="preserve">  If the QSE fails to so notify ERCOT of such change </w:t>
      </w:r>
      <w:r w:rsidR="00BB1306" w:rsidRPr="00E231EE">
        <w:t xml:space="preserve">within </w:t>
      </w:r>
      <w:r w:rsidR="00BB1306" w:rsidRPr="000D340C">
        <w:t xml:space="preserve">two Business </w:t>
      </w:r>
      <w:r w:rsidR="00BB1306" w:rsidRPr="00CF54FA">
        <w:t>D</w:t>
      </w:r>
      <w:r w:rsidR="00BB1306" w:rsidRPr="00DF09AE">
        <w:t>ays</w:t>
      </w:r>
      <w:r w:rsidR="00BB1306">
        <w:t xml:space="preserve"> after becoming aware of the change, then ERCOT may, after providing notice to each Entity represented by the QSE, refuse to allow the QSE to perform as a QSE and take any other action ERCOT deems appropriate, in its sole discretion, to prevent ERCOT or Market Participants from bearing potential or actual risks, financial or otherwise, arising from those changes, and in accordance with these Protocols.</w:t>
      </w:r>
      <w:r w:rsidR="00BB1306" w:rsidDel="00BB1306">
        <w:t xml:space="preserve"> </w:t>
      </w:r>
      <w:bookmarkEnd w:id="55"/>
      <w:r>
        <w:t xml:space="preserve"> </w:t>
      </w:r>
    </w:p>
    <w:p w14:paraId="52AFCE6B" w14:textId="5F3F13FE" w:rsidR="00FC1C5F" w:rsidRDefault="00727E32" w:rsidP="00FE610C">
      <w:pPr>
        <w:pStyle w:val="List"/>
        <w:ind w:left="720"/>
      </w:pPr>
      <w:r>
        <w:t>(</w:t>
      </w:r>
      <w:r w:rsidR="0028005C">
        <w:t>7</w:t>
      </w:r>
      <w:r>
        <w:t>)</w:t>
      </w:r>
      <w:r>
        <w:tab/>
        <w:t xml:space="preserve">Subject to the following provisions of this </w:t>
      </w:r>
      <w:r w:rsidR="004E101F">
        <w:t>paragraph</w:t>
      </w:r>
      <w:r>
        <w:t xml:space="preserve">, a QSE may partition itself into any number of subordinate QSEs (“Subordinate QSEs”).  </w:t>
      </w:r>
      <w:r>
        <w:rPr>
          <w:color w:val="000000"/>
        </w:rPr>
        <w:t xml:space="preserve">If a single Entity requests to partition itself into more than four Subordinate QSEs, ERCOT may implement the request subject to ERCOT’s reasonable determination that the additional requested Subordinate QSEs will not be likely to overburden ERCOT’s staffing or systems.  ERCOT shall adopt an implementation plan allowing phased-in registration for these additional Subordinate QSEs </w:t>
      </w:r>
      <w:proofErr w:type="gramStart"/>
      <w:r>
        <w:rPr>
          <w:color w:val="000000"/>
        </w:rPr>
        <w:t>in order to</w:t>
      </w:r>
      <w:proofErr w:type="gramEnd"/>
      <w:r>
        <w:rPr>
          <w:color w:val="000000"/>
        </w:rPr>
        <w:t xml:space="preserve"> mitigate system or staffing impacts.  However, ERCOT may not unreasonably delay that registration.</w:t>
      </w:r>
      <w:r>
        <w:t xml:space="preserve"> </w:t>
      </w:r>
    </w:p>
    <w:p w14:paraId="3D8ECAEB" w14:textId="3F860E7C" w:rsidR="00FC1C5F" w:rsidRDefault="00727E32">
      <w:pPr>
        <w:pStyle w:val="BodyTextNumbered"/>
      </w:pPr>
      <w:r>
        <w:t>(</w:t>
      </w:r>
      <w:r w:rsidR="0028005C">
        <w:t>8</w:t>
      </w:r>
      <w:r>
        <w:t>)</w:t>
      </w:r>
      <w:r>
        <w:tab/>
        <w:t xml:space="preserve">Each Subordinate QSE must be treated as an individual QSE for all purposes including communications and control functions except for liability, financial security, and financial liability requirements under this Section.  That liability, financial security, and </w:t>
      </w:r>
      <w:r>
        <w:lastRenderedPageBreak/>
        <w:t xml:space="preserve">financial liability is cumulative for all Subordinate QSEs for the single Entity signing the QSE Agreement.    </w:t>
      </w:r>
    </w:p>
    <w:p w14:paraId="700AF157" w14:textId="3E23BCF7" w:rsidR="00747E08" w:rsidRDefault="00727E32">
      <w:pPr>
        <w:pStyle w:val="BodyTextNumbered"/>
      </w:pPr>
      <w:r>
        <w:t>(</w:t>
      </w:r>
      <w:r w:rsidR="0028005C">
        <w:t>9</w:t>
      </w:r>
      <w:r>
        <w:t>)</w:t>
      </w:r>
      <w:r>
        <w:tab/>
        <w:t>Continued qualification as a QSE is contingent upon compliance with all applicable requirements in these Protocols.  ERCOT may suspend a QSE’s rights as a Market Participant when ERCOT reasonably determines that it is an appropriate remedy for the Entity’s failure to satisfy any applicable requirement.</w:t>
      </w:r>
    </w:p>
    <w:p w14:paraId="2A0B705D" w14:textId="5E522232" w:rsidR="00FC1C5F" w:rsidRDefault="00747E08">
      <w:pPr>
        <w:pStyle w:val="BodyTextNumbered"/>
      </w:pPr>
      <w:r w:rsidRPr="00747E08">
        <w:t>(</w:t>
      </w:r>
      <w:r w:rsidR="0028005C">
        <w:t>10</w:t>
      </w:r>
      <w:r w:rsidRPr="00747E08">
        <w:t>)</w:t>
      </w:r>
      <w:r w:rsidRPr="00747E08">
        <w:tab/>
        <w:t>Each QSE</w:t>
      </w:r>
      <w:r w:rsidR="007642E6" w:rsidRPr="007642E6">
        <w:t xml:space="preserve"> </w:t>
      </w:r>
      <w:r w:rsidR="007642E6">
        <w:t>that is a WAN Participant</w:t>
      </w:r>
      <w:r w:rsidRPr="00747E08">
        <w:t>, or its designated QSE agent, shall maintain 24-hour, seven-day-per-week operations and Hotline communications with ERCOT</w:t>
      </w:r>
      <w:r w:rsidR="007642E6">
        <w:t xml:space="preserve"> and</w:t>
      </w:r>
      <w:r w:rsidRPr="00747E08">
        <w:t xml:space="preserve"> answer each QSE Hotline call.</w:t>
      </w:r>
    </w:p>
    <w:p w14:paraId="6C6B9206" w14:textId="77777777" w:rsidR="0028005C" w:rsidRPr="0028005C" w:rsidRDefault="0028005C" w:rsidP="0028005C">
      <w:pPr>
        <w:pStyle w:val="H4"/>
        <w:rPr>
          <w:b/>
        </w:rPr>
      </w:pPr>
      <w:bookmarkStart w:id="56" w:name="_Toc148960815"/>
      <w:r w:rsidRPr="0028005C">
        <w:rPr>
          <w:b/>
        </w:rPr>
        <w:t>16.2.1.1</w:t>
      </w:r>
      <w:r w:rsidRPr="0028005C">
        <w:rPr>
          <w:b/>
        </w:rPr>
        <w:tab/>
        <w:t>QSE Background Check Process</w:t>
      </w:r>
      <w:bookmarkEnd w:id="56"/>
    </w:p>
    <w:p w14:paraId="75CDE909" w14:textId="77777777" w:rsidR="0028005C" w:rsidRPr="00636B19" w:rsidRDefault="0028005C" w:rsidP="0028005C">
      <w:pPr>
        <w:spacing w:after="240"/>
        <w:ind w:left="720" w:hanging="720"/>
      </w:pPr>
      <w:r w:rsidRPr="00636B19">
        <w:t>(1)</w:t>
      </w:r>
      <w:r w:rsidRPr="00636B19">
        <w:tab/>
        <w:t xml:space="preserve">A QSE applicant must satisfy a background check as a part of the ERCOT registration process.  </w:t>
      </w:r>
      <w:r>
        <w:t xml:space="preserve">All background checks will be performed by a third-party acting on ERCOT’s behalf.  </w:t>
      </w:r>
      <w:r w:rsidRPr="00636B19">
        <w:t xml:space="preserve">Upon ERCOT’s request, a registered QSE may be required to satisfy a background check as a condition of maintaining its ERCOT registration.  </w:t>
      </w:r>
    </w:p>
    <w:p w14:paraId="7771FE05" w14:textId="77777777" w:rsidR="0028005C" w:rsidRPr="00636B19" w:rsidRDefault="0028005C" w:rsidP="0028005C">
      <w:pPr>
        <w:spacing w:after="240"/>
        <w:ind w:left="720" w:hanging="720"/>
      </w:pPr>
      <w:r w:rsidRPr="00636B19">
        <w:t>(2)</w:t>
      </w:r>
      <w:r w:rsidRPr="00636B19">
        <w:tab/>
        <w:t>A QSE</w:t>
      </w:r>
      <w:r>
        <w:t>, QSE applicants, and their Principals,</w:t>
      </w:r>
      <w:r w:rsidRPr="00636B19">
        <w:t xml:space="preserve"> will provide the following disclosures to complete a QSE background check:</w:t>
      </w:r>
    </w:p>
    <w:p w14:paraId="6B2AFA7A" w14:textId="77777777" w:rsidR="0028005C" w:rsidRPr="00636B19" w:rsidRDefault="0028005C" w:rsidP="0028005C">
      <w:pPr>
        <w:spacing w:after="240"/>
        <w:ind w:left="1440" w:hanging="720"/>
      </w:pPr>
      <w:r w:rsidRPr="00636B19">
        <w:t>(a)</w:t>
      </w:r>
      <w:r w:rsidRPr="00636B19">
        <w:tab/>
        <w:t xml:space="preserve">Any </w:t>
      </w:r>
      <w:r w:rsidRPr="00154BB0">
        <w:t>civil or criminal matters involving the applicant, its predecessors, Affiliates, or Principals within the last ten years that resulted in a conviction or finding of fraud, theft, larceny, deceit, deceptive trade practices, or a violation of securities or customer protection laws;</w:t>
      </w:r>
    </w:p>
    <w:p w14:paraId="6AD8137A" w14:textId="41C7BC31" w:rsidR="0028005C" w:rsidRPr="00636B19" w:rsidRDefault="0028005C" w:rsidP="0028005C">
      <w:pPr>
        <w:spacing w:after="240"/>
        <w:ind w:left="1440" w:hanging="720"/>
      </w:pPr>
      <w:r w:rsidRPr="00636B19">
        <w:t>(b)</w:t>
      </w:r>
      <w:r w:rsidRPr="00636B19">
        <w:tab/>
        <w:t xml:space="preserve">Any </w:t>
      </w:r>
      <w:r w:rsidRPr="00154BB0">
        <w:t xml:space="preserve">complaint, </w:t>
      </w:r>
      <w:r>
        <w:t xml:space="preserve">formal </w:t>
      </w:r>
      <w:r w:rsidRPr="00154BB0">
        <w:t xml:space="preserve">investigation, or disciplinary action concerning </w:t>
      </w:r>
      <w:r w:rsidRPr="00154BB0">
        <w:rPr>
          <w:rFonts w:eastAsiaTheme="minorHAnsi"/>
        </w:rPr>
        <w:t xml:space="preserve">financial matters </w:t>
      </w:r>
      <w:r w:rsidRPr="00154BB0">
        <w:t xml:space="preserve">initiated by </w:t>
      </w:r>
      <w:r w:rsidRPr="00904FED">
        <w:t>or with</w:t>
      </w:r>
      <w:r>
        <w:t xml:space="preserve"> </w:t>
      </w:r>
      <w:r w:rsidRPr="00154BB0">
        <w:t>the Securities and Exchange Commission (SEC), Commodit</w:t>
      </w:r>
      <w:r w:rsidR="006F1A53">
        <w:t>y</w:t>
      </w:r>
      <w:r w:rsidRPr="00154BB0">
        <w:t xml:space="preserve"> Futures Trading Commission (CFTC), Federal Energy Regulatory Commission (FERC), a self-regulatory organization, Independent System Operator or Regional Transmission Organization, or a state public utility commission or securities board </w:t>
      </w:r>
      <w:r>
        <w:t xml:space="preserve">directly </w:t>
      </w:r>
      <w:r w:rsidRPr="00154BB0">
        <w:t xml:space="preserve">involving the </w:t>
      </w:r>
      <w:r>
        <w:t xml:space="preserve">actions of the </w:t>
      </w:r>
      <w:r w:rsidRPr="00154BB0">
        <w:t>applicant, its predecessors, Affiliates, or Principals within the last ten years;</w:t>
      </w:r>
    </w:p>
    <w:p w14:paraId="7E702494" w14:textId="461EC2B1" w:rsidR="0028005C" w:rsidRPr="00636B19" w:rsidRDefault="0028005C" w:rsidP="0028005C">
      <w:pPr>
        <w:spacing w:after="240"/>
        <w:ind w:left="1440" w:hanging="720"/>
      </w:pPr>
      <w:r w:rsidRPr="00636B19">
        <w:t>(c)</w:t>
      </w:r>
      <w:r w:rsidRPr="00636B19">
        <w:tab/>
        <w:t xml:space="preserve">Any </w:t>
      </w:r>
      <w:r w:rsidRPr="00154BB0">
        <w:t xml:space="preserve">default involving the applicant, its predecessors, Affiliates, or Principals, </w:t>
      </w:r>
      <w:r w:rsidRPr="00E76955">
        <w:t xml:space="preserve">that impacted or revoked the </w:t>
      </w:r>
      <w:r w:rsidRPr="00154BB0">
        <w:t>right</w:t>
      </w:r>
      <w:r w:rsidRPr="00636B19">
        <w:t xml:space="preserve"> to operate in any other energy market within the last ten years;</w:t>
      </w:r>
    </w:p>
    <w:p w14:paraId="2F384C4F" w14:textId="23044E78" w:rsidR="0028005C" w:rsidRPr="00636B19" w:rsidRDefault="0028005C" w:rsidP="0028005C">
      <w:pPr>
        <w:spacing w:after="240"/>
        <w:ind w:left="1440" w:hanging="720"/>
      </w:pPr>
      <w:r w:rsidRPr="00636B19">
        <w:t>(d)</w:t>
      </w:r>
      <w:r w:rsidRPr="00636B19">
        <w:tab/>
        <w:t xml:space="preserve">Any bankruptcy by </w:t>
      </w:r>
      <w:r w:rsidRPr="00154BB0">
        <w:t>the applicant, its predecessors, Affiliates, or Principals</w:t>
      </w:r>
      <w:r w:rsidRPr="00636B19">
        <w:t xml:space="preserve"> within the last ten years; and</w:t>
      </w:r>
    </w:p>
    <w:p w14:paraId="1DD446FF" w14:textId="77777777" w:rsidR="0028005C" w:rsidRPr="00636B19" w:rsidRDefault="0028005C" w:rsidP="0028005C">
      <w:pPr>
        <w:spacing w:after="240"/>
        <w:ind w:left="1440" w:hanging="720"/>
      </w:pPr>
      <w:r w:rsidRPr="00636B19">
        <w:t>(e)</w:t>
      </w:r>
      <w:r w:rsidRPr="00636B19">
        <w:tab/>
        <w:t xml:space="preserve">Any other information ERCOT deems reasonably necessary to complete a background check (e.g., </w:t>
      </w:r>
      <w:r w:rsidRPr="00636B19" w:rsidDel="0094125D">
        <w:t>Social Security Number</w:t>
      </w:r>
      <w:r w:rsidRPr="00636B19">
        <w:t xml:space="preserve">(s), birth dates, </w:t>
      </w:r>
      <w:r w:rsidRPr="00636B19" w:rsidDel="0094125D">
        <w:t>home address</w:t>
      </w:r>
      <w:r w:rsidRPr="00636B19">
        <w:t>es)</w:t>
      </w:r>
      <w:r w:rsidRPr="00636B19" w:rsidDel="0094125D">
        <w:t xml:space="preserve">.  </w:t>
      </w:r>
    </w:p>
    <w:p w14:paraId="1BA0F5E7" w14:textId="77777777" w:rsidR="0028005C" w:rsidRDefault="0028005C" w:rsidP="0028005C">
      <w:pPr>
        <w:spacing w:after="240"/>
        <w:ind w:left="720" w:hanging="720"/>
      </w:pPr>
      <w:r w:rsidRPr="00636B19">
        <w:t>(3)</w:t>
      </w:r>
      <w:r w:rsidRPr="00636B19">
        <w:tab/>
        <w:t>As required by paragraph (6) of Section 16.2.1, Criteria for Qualification as a Qualified Scheduling Entity, a QSE</w:t>
      </w:r>
      <w:r>
        <w:t>, QSE applicants, and their Principals,</w:t>
      </w:r>
      <w:r w:rsidRPr="00636B19">
        <w:t xml:space="preserve"> must </w:t>
      </w:r>
      <w:r w:rsidRPr="00C445D9">
        <w:t>promptly</w:t>
      </w:r>
      <w:r>
        <w:t xml:space="preserve"> </w:t>
      </w:r>
      <w:r w:rsidRPr="00636B19">
        <w:t xml:space="preserve">provide </w:t>
      </w:r>
      <w:r w:rsidRPr="00636B19">
        <w:lastRenderedPageBreak/>
        <w:t>ERCOT notice of any change that a reasonable examiner could deem material to the QSE’s ability to continue to satisfy the background check requirement, including any change to information that must be disclosed under this Section.</w:t>
      </w:r>
    </w:p>
    <w:p w14:paraId="13E27535" w14:textId="007E6602" w:rsidR="00EE1CAB" w:rsidRPr="00EE1CAB" w:rsidRDefault="00EE1CAB" w:rsidP="0028005C">
      <w:pPr>
        <w:pStyle w:val="H4"/>
        <w:rPr>
          <w:b/>
        </w:rPr>
      </w:pPr>
      <w:bookmarkStart w:id="57" w:name="_Toc148960816"/>
      <w:r w:rsidRPr="00EE1CAB">
        <w:rPr>
          <w:b/>
        </w:rPr>
        <w:t>16.2.1.</w:t>
      </w:r>
      <w:r w:rsidR="0028005C">
        <w:rPr>
          <w:b/>
        </w:rPr>
        <w:t>2</w:t>
      </w:r>
      <w:r w:rsidRPr="00EE1CAB">
        <w:rPr>
          <w:b/>
        </w:rPr>
        <w:tab/>
        <w:t xml:space="preserve">Data </w:t>
      </w:r>
      <w:r w:rsidRPr="00443D81">
        <w:rPr>
          <w:b/>
        </w:rPr>
        <w:t>Agent</w:t>
      </w:r>
      <w:r w:rsidRPr="00EE1CAB">
        <w:rPr>
          <w:b/>
        </w:rPr>
        <w:t>-Only Qualified Scheduling Entities</w:t>
      </w:r>
      <w:bookmarkEnd w:id="57"/>
    </w:p>
    <w:p w14:paraId="71B7286D" w14:textId="77777777" w:rsidR="00EE1CAB" w:rsidRPr="00443D81" w:rsidRDefault="00EE1CAB" w:rsidP="00EE1CAB">
      <w:pPr>
        <w:spacing w:after="240"/>
        <w:ind w:left="720" w:hanging="720"/>
        <w:rPr>
          <w:iCs/>
        </w:rPr>
      </w:pPr>
      <w:r w:rsidRPr="00443D81">
        <w:rPr>
          <w:iCs/>
        </w:rPr>
        <w:t>(1)</w:t>
      </w:r>
      <w:r w:rsidRPr="00443D81">
        <w:rPr>
          <w:iCs/>
        </w:rPr>
        <w:tab/>
        <w:t>An Entity may request registration as a Data Agent-Only QSE by submitting a completed Data Agent-Only QSE application.  ERCOT will consider the application and register the Entity as a Data Agent-Only QSE in accordance with the same processes in Section 16.2</w:t>
      </w:r>
      <w:r>
        <w:rPr>
          <w:iCs/>
        </w:rPr>
        <w:t>, Registration and Qualification of Qualified Scheduling Entities,</w:t>
      </w:r>
      <w:r w:rsidRPr="00443D81">
        <w:rPr>
          <w:iCs/>
        </w:rPr>
        <w:t xml:space="preserve"> generally applicable to the QSE application process.  </w:t>
      </w:r>
    </w:p>
    <w:p w14:paraId="1A96C3F4" w14:textId="77777777" w:rsidR="00EE1CAB" w:rsidRPr="00443D81" w:rsidRDefault="00EE1CAB" w:rsidP="00EE1CAB">
      <w:pPr>
        <w:spacing w:after="240"/>
        <w:ind w:left="720" w:hanging="720"/>
        <w:rPr>
          <w:iCs/>
        </w:rPr>
      </w:pPr>
      <w:r w:rsidRPr="00443D81">
        <w:rPr>
          <w:iCs/>
        </w:rPr>
        <w:t>(2)</w:t>
      </w:r>
      <w:r w:rsidRPr="00443D81">
        <w:rPr>
          <w:iCs/>
        </w:rPr>
        <w:tab/>
        <w:t>An Entity is eligible to register as a Data Agent-Only QSE and maintain that registration if it:</w:t>
      </w:r>
    </w:p>
    <w:p w14:paraId="24E81FEA" w14:textId="65041852" w:rsidR="00EE1CAB" w:rsidRPr="00443D81" w:rsidRDefault="00EE1CAB" w:rsidP="00EE1CAB">
      <w:pPr>
        <w:spacing w:after="240"/>
        <w:ind w:left="1440" w:hanging="720"/>
        <w:rPr>
          <w:iCs/>
        </w:rPr>
      </w:pPr>
      <w:r w:rsidRPr="00443D81">
        <w:rPr>
          <w:iCs/>
        </w:rPr>
        <w:t>(a)</w:t>
      </w:r>
      <w:r w:rsidRPr="00443D81">
        <w:rPr>
          <w:iCs/>
        </w:rPr>
        <w:tab/>
        <w:t xml:space="preserve">Meets all the eligibility criteria to qualify as a QSE under paragraph (1) of Section 16.2.1, Criteria for Qualification as a Qualified Scheduling Entity, except for items </w:t>
      </w:r>
      <w:r w:rsidR="0028005C" w:rsidRPr="00636B19">
        <w:rPr>
          <w:iCs/>
        </w:rPr>
        <w:t xml:space="preserve">(b), (c), </w:t>
      </w:r>
      <w:r w:rsidRPr="00443D81">
        <w:rPr>
          <w:iCs/>
        </w:rPr>
        <w:t>(</w:t>
      </w:r>
      <w:r w:rsidR="0028005C">
        <w:rPr>
          <w:iCs/>
        </w:rPr>
        <w:t>h</w:t>
      </w:r>
      <w:r w:rsidRPr="00443D81">
        <w:rPr>
          <w:iCs/>
        </w:rPr>
        <w:t>), (</w:t>
      </w:r>
      <w:r w:rsidR="0028005C">
        <w:rPr>
          <w:iCs/>
        </w:rPr>
        <w:t>j</w:t>
      </w:r>
      <w:r w:rsidRPr="00443D81">
        <w:rPr>
          <w:iCs/>
        </w:rPr>
        <w:t>), (</w:t>
      </w:r>
      <w:r w:rsidR="004E5204">
        <w:rPr>
          <w:iCs/>
        </w:rPr>
        <w:t>m</w:t>
      </w:r>
      <w:r w:rsidRPr="00443D81">
        <w:rPr>
          <w:iCs/>
        </w:rPr>
        <w:t>), and (</w:t>
      </w:r>
      <w:r w:rsidR="004E5204">
        <w:rPr>
          <w:iCs/>
        </w:rPr>
        <w:t>n</w:t>
      </w:r>
      <w:r w:rsidRPr="00443D81">
        <w:rPr>
          <w:iCs/>
        </w:rPr>
        <w:t>);</w:t>
      </w:r>
    </w:p>
    <w:p w14:paraId="781D174A" w14:textId="77777777" w:rsidR="00EE1CAB" w:rsidRPr="00443D81" w:rsidRDefault="00EE1CAB" w:rsidP="00EE1CAB">
      <w:pPr>
        <w:spacing w:after="240"/>
        <w:ind w:left="1440" w:hanging="720"/>
        <w:rPr>
          <w:iCs/>
        </w:rPr>
      </w:pPr>
      <w:r w:rsidRPr="00443D81">
        <w:rPr>
          <w:iCs/>
        </w:rPr>
        <w:t>(b)</w:t>
      </w:r>
      <w:r w:rsidRPr="00443D81">
        <w:rPr>
          <w:iCs/>
        </w:rPr>
        <w:tab/>
        <w:t>Is not also registered as a Congestion Revenue Right (CRR) Account Holder;</w:t>
      </w:r>
    </w:p>
    <w:p w14:paraId="0F13766F" w14:textId="77777777" w:rsidR="00EE1CAB" w:rsidRPr="00443D81" w:rsidRDefault="00EE1CAB" w:rsidP="00EE1CAB">
      <w:pPr>
        <w:spacing w:after="240"/>
        <w:ind w:left="1440" w:hanging="720"/>
        <w:rPr>
          <w:iCs/>
        </w:rPr>
      </w:pPr>
      <w:r w:rsidRPr="00443D81">
        <w:rPr>
          <w:iCs/>
        </w:rPr>
        <w:t>(c)</w:t>
      </w:r>
      <w:r w:rsidRPr="00443D81">
        <w:rPr>
          <w:iCs/>
        </w:rPr>
        <w:tab/>
        <w:t>Does not participate in the Day-Ahead Market (DAM) or Real-Time Market (RTM);</w:t>
      </w:r>
    </w:p>
    <w:p w14:paraId="78B3403C" w14:textId="1D245CC8" w:rsidR="00EE1CAB" w:rsidRPr="00443D81" w:rsidRDefault="00EE1CAB" w:rsidP="00EE1CAB">
      <w:pPr>
        <w:spacing w:after="240"/>
        <w:ind w:left="1440" w:hanging="720"/>
        <w:rPr>
          <w:iCs/>
        </w:rPr>
      </w:pPr>
      <w:r w:rsidRPr="00443D81">
        <w:rPr>
          <w:iCs/>
        </w:rPr>
        <w:t>(d)</w:t>
      </w:r>
      <w:r w:rsidRPr="00443D81">
        <w:rPr>
          <w:iCs/>
        </w:rPr>
        <w:tab/>
        <w:t>Does not participate in the ERS market;</w:t>
      </w:r>
    </w:p>
    <w:p w14:paraId="0FB43BAE" w14:textId="4842585C" w:rsidR="00EE1CAB" w:rsidRPr="00443D81" w:rsidRDefault="00EE1CAB" w:rsidP="00EE1CAB">
      <w:pPr>
        <w:spacing w:after="240"/>
        <w:ind w:left="1440" w:hanging="720"/>
      </w:pPr>
      <w:r w:rsidRPr="00443D81">
        <w:rPr>
          <w:iCs/>
        </w:rPr>
        <w:t>(e)</w:t>
      </w:r>
      <w:r w:rsidRPr="00443D81">
        <w:rPr>
          <w:iCs/>
        </w:rPr>
        <w:tab/>
        <w:t>Does not have</w:t>
      </w:r>
      <w:r w:rsidRPr="00443D81">
        <w:t xml:space="preserve"> decision making authority over the Resources for which the Entity provides agency services;</w:t>
      </w:r>
      <w:r w:rsidR="004E5204">
        <w:t xml:space="preserve"> and</w:t>
      </w:r>
    </w:p>
    <w:p w14:paraId="4D59E45F" w14:textId="03F04CC6" w:rsidR="00747E08" w:rsidRPr="00443D81" w:rsidRDefault="00EE1CAB" w:rsidP="004E5204">
      <w:pPr>
        <w:spacing w:after="240"/>
        <w:ind w:left="1440" w:hanging="720"/>
      </w:pPr>
      <w:r w:rsidRPr="00443D81">
        <w:rPr>
          <w:iCs/>
        </w:rPr>
        <w:t>(f)</w:t>
      </w:r>
      <w:r w:rsidRPr="00443D81">
        <w:rPr>
          <w:iCs/>
        </w:rPr>
        <w:tab/>
        <w:t xml:space="preserve">Maintains </w:t>
      </w:r>
      <w:r w:rsidR="00FF324B">
        <w:rPr>
          <w:iCs/>
        </w:rPr>
        <w:t xml:space="preserve">a </w:t>
      </w:r>
      <w:r w:rsidRPr="00443D81">
        <w:rPr>
          <w:iCs/>
        </w:rPr>
        <w:t>24</w:t>
      </w:r>
      <w:r w:rsidRPr="00443D81">
        <w:t>-hour, seven-day-per-week support contact with qualified personnel to support and resolve any data or communication issues with ERCOT</w:t>
      </w:r>
      <w:r w:rsidR="00747E08">
        <w:t xml:space="preserve">.  </w:t>
      </w:r>
    </w:p>
    <w:p w14:paraId="23986844" w14:textId="34BE01DA" w:rsidR="00EE1CAB" w:rsidRPr="00443D81" w:rsidRDefault="00EE1CAB" w:rsidP="00EE1CAB">
      <w:pPr>
        <w:spacing w:after="240"/>
        <w:ind w:left="720" w:hanging="720"/>
      </w:pPr>
      <w:r w:rsidRPr="00443D81">
        <w:rPr>
          <w:iCs/>
        </w:rPr>
        <w:t>(3)</w:t>
      </w:r>
      <w:r w:rsidRPr="00443D81">
        <w:rPr>
          <w:iCs/>
        </w:rPr>
        <w:tab/>
        <w:t>A registered Data Agent-Only QSE may only be appointed to act as the authorized agent of a QSE that meets all requirements of Section 16.2.1 for the limited purpose of exchanging or communicating certain types of data with ERCOT</w:t>
      </w:r>
      <w:r w:rsidRPr="00443D81">
        <w:t xml:space="preserve"> provided that a QSE Agency Agreement making such appointment has been properly executed by the parties and accepted by ERCOT.  If a </w:t>
      </w:r>
      <w:r w:rsidRPr="00443D81">
        <w:rPr>
          <w:iCs/>
        </w:rPr>
        <w:t xml:space="preserve">Data </w:t>
      </w:r>
      <w:r w:rsidRPr="00443D81">
        <w:t>Agent-Only QSE is appointed as such an agent, it shall perform its agency services in accordance with the terms of the QSE Agency Agreement and the requirements for WAN Participants under the Nodal Operating Guide Section 7, Telemetry and Communication.</w:t>
      </w:r>
    </w:p>
    <w:p w14:paraId="28E4BB51" w14:textId="77777777" w:rsidR="00EE1CAB" w:rsidRPr="00443D81" w:rsidRDefault="00EE1CAB" w:rsidP="00EE1CAB">
      <w:pPr>
        <w:spacing w:after="240"/>
        <w:ind w:left="720" w:hanging="720"/>
        <w:rPr>
          <w:iCs/>
        </w:rPr>
      </w:pPr>
      <w:r w:rsidRPr="00443D81">
        <w:rPr>
          <w:iCs/>
        </w:rPr>
        <w:t>(4)</w:t>
      </w:r>
      <w:r w:rsidRPr="00443D81">
        <w:rPr>
          <w:iCs/>
        </w:rPr>
        <w:tab/>
        <w:t xml:space="preserve">A Data Agent-Only QSE shall comply with the obligations applicable to QSEs under this Section 16, </w:t>
      </w:r>
      <w:r>
        <w:rPr>
          <w:iCs/>
        </w:rPr>
        <w:t xml:space="preserve">Registration and Qualification of Market Participants, </w:t>
      </w:r>
      <w:r w:rsidRPr="00443D81">
        <w:rPr>
          <w:iCs/>
        </w:rPr>
        <w:t>but is exempt from the following requirements:</w:t>
      </w:r>
    </w:p>
    <w:p w14:paraId="35AB181E" w14:textId="22E8A65B" w:rsidR="0028005C" w:rsidRDefault="00EE1CAB" w:rsidP="0028005C">
      <w:pPr>
        <w:spacing w:after="240"/>
        <w:ind w:left="1440" w:hanging="720"/>
        <w:rPr>
          <w:iCs/>
        </w:rPr>
      </w:pPr>
      <w:r w:rsidRPr="00443D81">
        <w:rPr>
          <w:iCs/>
        </w:rPr>
        <w:t>(a)</w:t>
      </w:r>
      <w:r w:rsidRPr="00443D81">
        <w:rPr>
          <w:iCs/>
        </w:rPr>
        <w:tab/>
      </w:r>
      <w:r w:rsidR="0028005C" w:rsidRPr="00443D81">
        <w:rPr>
          <w:iCs/>
        </w:rPr>
        <w:t>Paragraph (1)(</w:t>
      </w:r>
      <w:r w:rsidR="0028005C">
        <w:rPr>
          <w:iCs/>
        </w:rPr>
        <w:t>b</w:t>
      </w:r>
      <w:r w:rsidR="0028005C" w:rsidRPr="00443D81">
        <w:rPr>
          <w:iCs/>
        </w:rPr>
        <w:t>) of Section 16.2.1</w:t>
      </w:r>
      <w:r w:rsidR="0028005C">
        <w:rPr>
          <w:iCs/>
        </w:rPr>
        <w:t>;</w:t>
      </w:r>
    </w:p>
    <w:p w14:paraId="7FC8F59C" w14:textId="46FDA423" w:rsidR="0028005C" w:rsidRDefault="0028005C" w:rsidP="0028005C">
      <w:pPr>
        <w:spacing w:after="240"/>
        <w:ind w:left="1440" w:hanging="720"/>
        <w:rPr>
          <w:iCs/>
        </w:rPr>
      </w:pPr>
      <w:r>
        <w:rPr>
          <w:iCs/>
        </w:rPr>
        <w:lastRenderedPageBreak/>
        <w:t>(b)</w:t>
      </w:r>
      <w:r>
        <w:rPr>
          <w:iCs/>
        </w:rPr>
        <w:tab/>
      </w:r>
      <w:r w:rsidRPr="00443D81">
        <w:rPr>
          <w:iCs/>
        </w:rPr>
        <w:t>Paragraph (1)(</w:t>
      </w:r>
      <w:r>
        <w:rPr>
          <w:iCs/>
        </w:rPr>
        <w:t>c</w:t>
      </w:r>
      <w:r w:rsidRPr="00443D81">
        <w:rPr>
          <w:iCs/>
        </w:rPr>
        <w:t>) of Section 16.2.1</w:t>
      </w:r>
      <w:r>
        <w:rPr>
          <w:iCs/>
        </w:rPr>
        <w:t>;</w:t>
      </w:r>
    </w:p>
    <w:p w14:paraId="69F2D842" w14:textId="202F436B" w:rsidR="00EE1CAB" w:rsidRPr="00443D81" w:rsidRDefault="0028005C" w:rsidP="00EE1CAB">
      <w:pPr>
        <w:spacing w:after="240"/>
        <w:ind w:left="1440" w:hanging="720"/>
        <w:rPr>
          <w:iCs/>
        </w:rPr>
      </w:pPr>
      <w:r>
        <w:rPr>
          <w:iCs/>
        </w:rPr>
        <w:t>(c)</w:t>
      </w:r>
      <w:r>
        <w:rPr>
          <w:iCs/>
        </w:rPr>
        <w:tab/>
      </w:r>
      <w:r w:rsidR="00EE1CAB" w:rsidRPr="00443D81">
        <w:rPr>
          <w:iCs/>
        </w:rPr>
        <w:t>Paragraph (1)(</w:t>
      </w:r>
      <w:r>
        <w:rPr>
          <w:iCs/>
        </w:rPr>
        <w:t>h</w:t>
      </w:r>
      <w:r w:rsidR="00EE1CAB" w:rsidRPr="00443D81">
        <w:rPr>
          <w:iCs/>
        </w:rPr>
        <w:t>) of Section 16.2.1;</w:t>
      </w:r>
    </w:p>
    <w:p w14:paraId="245F40E8" w14:textId="0C77CBEB" w:rsidR="00EE1CAB" w:rsidRPr="00443D81" w:rsidRDefault="00EE1CAB" w:rsidP="00EE1CAB">
      <w:pPr>
        <w:spacing w:after="240"/>
        <w:ind w:left="1440" w:hanging="720"/>
        <w:rPr>
          <w:iCs/>
        </w:rPr>
      </w:pPr>
      <w:r w:rsidRPr="00443D81">
        <w:rPr>
          <w:iCs/>
        </w:rPr>
        <w:t>(</w:t>
      </w:r>
      <w:r w:rsidR="0028005C">
        <w:rPr>
          <w:iCs/>
        </w:rPr>
        <w:t>d</w:t>
      </w:r>
      <w:r w:rsidRPr="00443D81">
        <w:rPr>
          <w:iCs/>
        </w:rPr>
        <w:t>)</w:t>
      </w:r>
      <w:r w:rsidRPr="00443D81">
        <w:rPr>
          <w:iCs/>
        </w:rPr>
        <w:tab/>
        <w:t>Paragraph (1)(</w:t>
      </w:r>
      <w:r w:rsidR="0028005C">
        <w:rPr>
          <w:iCs/>
        </w:rPr>
        <w:t>j</w:t>
      </w:r>
      <w:r w:rsidRPr="00443D81">
        <w:rPr>
          <w:iCs/>
        </w:rPr>
        <w:t>) of Section 16.2.1;</w:t>
      </w:r>
    </w:p>
    <w:p w14:paraId="7549D174" w14:textId="448CA779" w:rsidR="00EE1CAB" w:rsidRPr="00443D81" w:rsidRDefault="00EE1CAB" w:rsidP="00EE1CAB">
      <w:pPr>
        <w:spacing w:after="240"/>
        <w:ind w:left="1440" w:hanging="720"/>
        <w:rPr>
          <w:iCs/>
        </w:rPr>
      </w:pPr>
      <w:r w:rsidRPr="00443D81">
        <w:rPr>
          <w:iCs/>
        </w:rPr>
        <w:t>(</w:t>
      </w:r>
      <w:r w:rsidR="0028005C">
        <w:rPr>
          <w:iCs/>
        </w:rPr>
        <w:t>e</w:t>
      </w:r>
      <w:r w:rsidRPr="00443D81">
        <w:rPr>
          <w:iCs/>
        </w:rPr>
        <w:t>)</w:t>
      </w:r>
      <w:r w:rsidRPr="00443D81">
        <w:rPr>
          <w:iCs/>
        </w:rPr>
        <w:tab/>
        <w:t>Paragraph (1)(</w:t>
      </w:r>
      <w:r w:rsidR="004E5204">
        <w:rPr>
          <w:iCs/>
        </w:rPr>
        <w:t>m</w:t>
      </w:r>
      <w:r w:rsidRPr="00443D81">
        <w:rPr>
          <w:iCs/>
        </w:rPr>
        <w:t>) of Section 16.2.1;</w:t>
      </w:r>
    </w:p>
    <w:p w14:paraId="2BF552CB" w14:textId="3D085CF6" w:rsidR="00EE1CAB" w:rsidRPr="00443D81" w:rsidRDefault="00EE1CAB" w:rsidP="00EE1CAB">
      <w:pPr>
        <w:spacing w:after="240"/>
        <w:ind w:left="1440" w:hanging="720"/>
        <w:rPr>
          <w:iCs/>
        </w:rPr>
      </w:pPr>
      <w:r w:rsidRPr="00443D81">
        <w:rPr>
          <w:iCs/>
        </w:rPr>
        <w:t>(</w:t>
      </w:r>
      <w:r w:rsidR="0028005C">
        <w:rPr>
          <w:iCs/>
        </w:rPr>
        <w:t>f</w:t>
      </w:r>
      <w:r w:rsidRPr="00443D81">
        <w:rPr>
          <w:iCs/>
        </w:rPr>
        <w:t>)</w:t>
      </w:r>
      <w:r w:rsidRPr="00443D81">
        <w:rPr>
          <w:iCs/>
        </w:rPr>
        <w:tab/>
        <w:t>Paragraph (1)(</w:t>
      </w:r>
      <w:r w:rsidR="004E5204">
        <w:rPr>
          <w:iCs/>
        </w:rPr>
        <w:t>n</w:t>
      </w:r>
      <w:r w:rsidRPr="00443D81">
        <w:rPr>
          <w:iCs/>
        </w:rPr>
        <w:t>) of Section 16.2.1;</w:t>
      </w:r>
    </w:p>
    <w:p w14:paraId="7D75EEC3" w14:textId="69F3F15F" w:rsidR="00EE1CAB" w:rsidRPr="00443D81" w:rsidRDefault="00EE1CAB" w:rsidP="00EE1CAB">
      <w:pPr>
        <w:spacing w:after="240"/>
        <w:ind w:left="1440" w:hanging="720"/>
        <w:rPr>
          <w:iCs/>
        </w:rPr>
      </w:pPr>
      <w:r w:rsidRPr="00443D81">
        <w:rPr>
          <w:iCs/>
        </w:rPr>
        <w:t>(</w:t>
      </w:r>
      <w:r w:rsidR="0028005C">
        <w:rPr>
          <w:iCs/>
        </w:rPr>
        <w:t>g</w:t>
      </w:r>
      <w:r w:rsidRPr="00443D81">
        <w:rPr>
          <w:iCs/>
        </w:rPr>
        <w:t>)</w:t>
      </w:r>
      <w:r w:rsidRPr="00443D81">
        <w:rPr>
          <w:iCs/>
        </w:rPr>
        <w:tab/>
        <w:t xml:space="preserve">Section 16.11, Financial Security for </w:t>
      </w:r>
      <w:proofErr w:type="gramStart"/>
      <w:r w:rsidRPr="00443D81">
        <w:rPr>
          <w:iCs/>
        </w:rPr>
        <w:t>Counter-Parties</w:t>
      </w:r>
      <w:proofErr w:type="gramEnd"/>
      <w:r w:rsidRPr="00443D81">
        <w:rPr>
          <w:iCs/>
        </w:rPr>
        <w:t>; and</w:t>
      </w:r>
    </w:p>
    <w:p w14:paraId="3055B7CF" w14:textId="7B5B1E4F" w:rsidR="00EE1CAB" w:rsidRPr="00443D81" w:rsidRDefault="00EE1CAB" w:rsidP="00EE1CAB">
      <w:pPr>
        <w:spacing w:after="240"/>
        <w:ind w:left="1440" w:hanging="720"/>
        <w:rPr>
          <w:iCs/>
        </w:rPr>
      </w:pPr>
      <w:r w:rsidRPr="00443D81">
        <w:rPr>
          <w:iCs/>
        </w:rPr>
        <w:t>(</w:t>
      </w:r>
      <w:r w:rsidR="0028005C">
        <w:rPr>
          <w:iCs/>
        </w:rPr>
        <w:t>h</w:t>
      </w:r>
      <w:r w:rsidRPr="00443D81">
        <w:rPr>
          <w:iCs/>
        </w:rPr>
        <w:t>)</w:t>
      </w:r>
      <w:r w:rsidRPr="00443D81">
        <w:rPr>
          <w:iCs/>
        </w:rPr>
        <w:tab/>
        <w:t>Section 16.16, Additional Counter-Party Qualification Requirements.</w:t>
      </w:r>
    </w:p>
    <w:p w14:paraId="63795B89" w14:textId="77777777" w:rsidR="00EE1CAB" w:rsidRPr="00443D81" w:rsidRDefault="00EE1CAB" w:rsidP="00EE1CAB">
      <w:pPr>
        <w:spacing w:after="240"/>
        <w:ind w:left="720" w:hanging="720"/>
        <w:rPr>
          <w:iCs/>
        </w:rPr>
      </w:pPr>
      <w:r w:rsidRPr="00443D81">
        <w:rPr>
          <w:iCs/>
        </w:rPr>
        <w:t>(5)</w:t>
      </w:r>
      <w:r w:rsidRPr="00443D81">
        <w:rPr>
          <w:iCs/>
        </w:rPr>
        <w:tab/>
        <w:t>ERCOT will ensure that its systems prevent participation by a Data Agent-Only QSE in the DAM and RTM.</w:t>
      </w:r>
    </w:p>
    <w:p w14:paraId="41B980B8" w14:textId="77777777" w:rsidR="00EE1CAB" w:rsidRPr="00443D81" w:rsidRDefault="00EE1CAB" w:rsidP="00EE1CAB">
      <w:pPr>
        <w:spacing w:after="240"/>
        <w:ind w:left="720" w:hanging="720"/>
        <w:rPr>
          <w:iCs/>
        </w:rPr>
      </w:pPr>
      <w:r w:rsidRPr="00443D81">
        <w:rPr>
          <w:iCs/>
        </w:rPr>
        <w:t>(6)</w:t>
      </w:r>
      <w:r w:rsidRPr="00443D81">
        <w:rPr>
          <w:iCs/>
        </w:rPr>
        <w:tab/>
        <w:t>A Data Agent-Only QSE may request to change its registration to a QSE that meets all the requirements of Section 16.2.1 and is registered with ERCOT as such by submitting a written request to ERCOT.  ERCOT will change the Data Agent-Only QSE’s registration upon satisfaction of all requirements in Section 16.2.1.</w:t>
      </w:r>
    </w:p>
    <w:p w14:paraId="00A2A986" w14:textId="52BD3BF2" w:rsidR="00747E08" w:rsidRDefault="00EE1CAB" w:rsidP="00EE1CAB">
      <w:pPr>
        <w:pStyle w:val="BodyTextNumbered"/>
      </w:pPr>
      <w:r w:rsidRPr="00443D81">
        <w:rPr>
          <w:iCs w:val="0"/>
        </w:rPr>
        <w:t>(7)</w:t>
      </w:r>
      <w:r w:rsidRPr="00443D81">
        <w:rPr>
          <w:iCs w:val="0"/>
        </w:rPr>
        <w:tab/>
        <w:t xml:space="preserve">Nothing in this </w:t>
      </w:r>
      <w:r w:rsidR="00A01AC4">
        <w:rPr>
          <w:iCs w:val="0"/>
        </w:rPr>
        <w:t>S</w:t>
      </w:r>
      <w:r w:rsidRPr="00443D81">
        <w:rPr>
          <w:iCs w:val="0"/>
        </w:rPr>
        <w:t>ection affects a Data Agent-Only QSE’s obligation under paragraph (</w:t>
      </w:r>
      <w:r w:rsidR="000475FE">
        <w:rPr>
          <w:iCs w:val="0"/>
        </w:rPr>
        <w:t>6</w:t>
      </w:r>
      <w:r w:rsidRPr="00443D81">
        <w:rPr>
          <w:iCs w:val="0"/>
        </w:rPr>
        <w:t>) of Section 16.2.1 to provide ERCOT notice of any material change that could adversely affect the reliability or safety of the ERCOT System.</w:t>
      </w:r>
    </w:p>
    <w:p w14:paraId="048BE68B" w14:textId="7AAF1DED" w:rsidR="00EE1CAB" w:rsidRDefault="00747E08" w:rsidP="00EE1CAB">
      <w:pPr>
        <w:pStyle w:val="BodyTextNumbered"/>
      </w:pPr>
      <w:r w:rsidRPr="00747E08">
        <w:rPr>
          <w:iCs w:val="0"/>
        </w:rPr>
        <w:t>(8)</w:t>
      </w:r>
      <w:r w:rsidRPr="00747E08">
        <w:rPr>
          <w:iCs w:val="0"/>
        </w:rPr>
        <w:tab/>
        <w:t xml:space="preserve">Each Data Agent-Only QSE </w:t>
      </w:r>
      <w:r w:rsidR="004E5204">
        <w:rPr>
          <w:iCs w:val="0"/>
        </w:rPr>
        <w:t>shall</w:t>
      </w:r>
      <w:r w:rsidRPr="00747E08">
        <w:rPr>
          <w:iCs w:val="0"/>
        </w:rPr>
        <w:t xml:space="preserve"> maintain 24-hour, seven-day-per-week operations and Hotline communications with ERCOT</w:t>
      </w:r>
      <w:r w:rsidR="004E5204">
        <w:rPr>
          <w:iCs w:val="0"/>
        </w:rPr>
        <w:t xml:space="preserve"> and</w:t>
      </w:r>
      <w:r w:rsidRPr="00747E08">
        <w:rPr>
          <w:iCs w:val="0"/>
        </w:rPr>
        <w:t xml:space="preserve"> answer each QSE Hotline call.</w:t>
      </w:r>
    </w:p>
    <w:p w14:paraId="061811DB" w14:textId="77777777" w:rsidR="00FC1C5F" w:rsidRDefault="00727E32" w:rsidP="00350FB0">
      <w:pPr>
        <w:pStyle w:val="H3"/>
      </w:pPr>
      <w:bookmarkStart w:id="58" w:name="_Toc390438914"/>
      <w:bookmarkStart w:id="59" w:name="_Toc405897611"/>
      <w:bookmarkStart w:id="60" w:name="_Toc415055715"/>
      <w:bookmarkStart w:id="61" w:name="_Toc415055841"/>
      <w:bookmarkStart w:id="62" w:name="_Toc415055940"/>
      <w:bookmarkStart w:id="63" w:name="_Toc415056041"/>
      <w:bookmarkStart w:id="64" w:name="_Toc148960817"/>
      <w:bookmarkStart w:id="65" w:name="_Toc71369174"/>
      <w:bookmarkStart w:id="66" w:name="_Toc71539390"/>
      <w:r>
        <w:t>16.2.2</w:t>
      </w:r>
      <w:r>
        <w:tab/>
        <w:t>QSE Application Process</w:t>
      </w:r>
      <w:bookmarkEnd w:id="58"/>
      <w:bookmarkEnd w:id="59"/>
      <w:bookmarkEnd w:id="60"/>
      <w:bookmarkEnd w:id="61"/>
      <w:bookmarkEnd w:id="62"/>
      <w:bookmarkEnd w:id="63"/>
      <w:bookmarkEnd w:id="64"/>
      <w:r>
        <w:t xml:space="preserve">  </w:t>
      </w:r>
      <w:bookmarkEnd w:id="65"/>
      <w:bookmarkEnd w:id="66"/>
    </w:p>
    <w:p w14:paraId="6471AA3D" w14:textId="49A9E130" w:rsidR="00FC1C5F" w:rsidRDefault="00853D39" w:rsidP="009F10FE">
      <w:pPr>
        <w:pStyle w:val="BodyText"/>
        <w:ind w:left="720" w:hanging="720"/>
      </w:pPr>
      <w:bookmarkStart w:id="67" w:name="_Hlk90904166"/>
      <w:r>
        <w:t>(1)</w:t>
      </w:r>
      <w:r>
        <w:tab/>
      </w:r>
      <w:r w:rsidR="00BB1306">
        <w:t>To register as a QSE, an applicant must submit to ERCOT a completed Section 23, Form G, QSE Application and Service Filing for Registration Form, and any applicable fee.  ERCOT shall post on the ERCOT website the form in which QSE applications must be submitted, all materials that must be provided with the QSE application and the fee schedule, if any, applicable to QSE applications.  The QSE application shall be attested to by a duly authorized officer or agent of the applicant.  The QSE applicant shall promptly notify ERCOT of any material changes affecting a pending application using the appropriate form posted on the ERCOT website.  The application must be submitted at least 60 days before the proposed date of commencement of service.</w:t>
      </w:r>
      <w:bookmarkEnd w:id="67"/>
    </w:p>
    <w:p w14:paraId="779CE263" w14:textId="77777777" w:rsidR="00FC1C5F" w:rsidRPr="00D63F95" w:rsidRDefault="00727E32" w:rsidP="00FE610C">
      <w:pPr>
        <w:pStyle w:val="H4"/>
        <w:ind w:left="1267" w:hanging="1267"/>
        <w:rPr>
          <w:b/>
        </w:rPr>
      </w:pPr>
      <w:bookmarkStart w:id="68" w:name="_Toc390438915"/>
      <w:bookmarkStart w:id="69" w:name="_Toc405897612"/>
      <w:bookmarkStart w:id="70" w:name="_Toc415055716"/>
      <w:bookmarkStart w:id="71" w:name="_Toc415055842"/>
      <w:bookmarkStart w:id="72" w:name="_Toc415055941"/>
      <w:bookmarkStart w:id="73" w:name="_Toc415056042"/>
      <w:bookmarkStart w:id="74" w:name="_Toc148960818"/>
      <w:r w:rsidRPr="00D63F95">
        <w:rPr>
          <w:b/>
        </w:rPr>
        <w:t>16.2.2.1</w:t>
      </w:r>
      <w:r w:rsidRPr="00D63F95">
        <w:rPr>
          <w:b/>
        </w:rPr>
        <w:tab/>
        <w:t>Notice of Receipt of Qualified Scheduling Entity Application</w:t>
      </w:r>
      <w:bookmarkEnd w:id="68"/>
      <w:bookmarkEnd w:id="69"/>
      <w:bookmarkEnd w:id="70"/>
      <w:bookmarkEnd w:id="71"/>
      <w:bookmarkEnd w:id="72"/>
      <w:bookmarkEnd w:id="73"/>
      <w:bookmarkEnd w:id="74"/>
    </w:p>
    <w:p w14:paraId="58A5F64F" w14:textId="77777777" w:rsidR="00FC1C5F" w:rsidRDefault="00853D39" w:rsidP="009F10FE">
      <w:pPr>
        <w:pStyle w:val="BodyText"/>
        <w:ind w:left="720" w:hanging="720"/>
      </w:pPr>
      <w:r>
        <w:t>(1)</w:t>
      </w:r>
      <w:r>
        <w:tab/>
      </w:r>
      <w:r w:rsidR="00727E32">
        <w:t xml:space="preserve">Within three Business Days after receiving a QSE application, ERCOT shall issue to the applicant a written confirmation that ERCOT has received the QSE application.  ERCOT shall return without review any QSE application that does not include the proper </w:t>
      </w:r>
      <w:r w:rsidR="00727E32">
        <w:lastRenderedPageBreak/>
        <w:t>application fee.  The remainder of this Section does not apply to any QSE application returned for failure to include the proper application fee.</w:t>
      </w:r>
    </w:p>
    <w:p w14:paraId="71E728C3" w14:textId="65BDE809" w:rsidR="00FC1C5F" w:rsidRPr="00D63F95" w:rsidRDefault="00727E32">
      <w:pPr>
        <w:pStyle w:val="H4"/>
        <w:rPr>
          <w:b/>
        </w:rPr>
      </w:pPr>
      <w:bookmarkStart w:id="75" w:name="_Toc390438916"/>
      <w:bookmarkStart w:id="76" w:name="_Toc405897613"/>
      <w:bookmarkStart w:id="77" w:name="_Toc415055717"/>
      <w:bookmarkStart w:id="78" w:name="_Toc415055843"/>
      <w:bookmarkStart w:id="79" w:name="_Toc415055942"/>
      <w:bookmarkStart w:id="80" w:name="_Toc415056043"/>
      <w:bookmarkStart w:id="81" w:name="_Toc148960819"/>
      <w:bookmarkStart w:id="82" w:name="_Hlk90904178"/>
      <w:r w:rsidRPr="00D63F95">
        <w:rPr>
          <w:b/>
        </w:rPr>
        <w:t>16.2.2.2</w:t>
      </w:r>
      <w:r w:rsidRPr="00D63F95">
        <w:rPr>
          <w:b/>
        </w:rPr>
        <w:tab/>
        <w:t xml:space="preserve">Incomplete </w:t>
      </w:r>
      <w:r w:rsidR="00BB1306">
        <w:rPr>
          <w:b/>
        </w:rPr>
        <w:t xml:space="preserve">QSE </w:t>
      </w:r>
      <w:r w:rsidRPr="00D63F95">
        <w:rPr>
          <w:b/>
        </w:rPr>
        <w:t>Applications</w:t>
      </w:r>
      <w:bookmarkEnd w:id="75"/>
      <w:bookmarkEnd w:id="76"/>
      <w:bookmarkEnd w:id="77"/>
      <w:bookmarkEnd w:id="78"/>
      <w:bookmarkEnd w:id="79"/>
      <w:bookmarkEnd w:id="80"/>
      <w:bookmarkEnd w:id="81"/>
      <w:r w:rsidRPr="00D63F95">
        <w:rPr>
          <w:b/>
        </w:rPr>
        <w:t xml:space="preserve">  </w:t>
      </w:r>
    </w:p>
    <w:p w14:paraId="432029E7" w14:textId="552F0E87" w:rsidR="00400902" w:rsidRDefault="00400902" w:rsidP="00400902">
      <w:pPr>
        <w:pStyle w:val="BodyTextNumbered"/>
      </w:pPr>
      <w:r>
        <w:t>(1)</w:t>
      </w:r>
      <w:r>
        <w:tab/>
        <w:t>Within ten Business Days after receiving a QSE application, ERCOT shall notify the applicant in writing if the application is incomplete.  An application will not be deemed complete until ERCOT has received all information necessary to conduct an evaluation of whether the applicant satisfies the requirements to be registered as a QSE</w:t>
      </w:r>
      <w:r w:rsidR="0028005C" w:rsidRPr="00636B19">
        <w:t>, including information necessary to complete any background checks</w:t>
      </w:r>
      <w:r>
        <w:t xml:space="preserve">. </w:t>
      </w:r>
    </w:p>
    <w:p w14:paraId="43F46B98" w14:textId="77777777" w:rsidR="00400902" w:rsidRDefault="00400902" w:rsidP="00400902">
      <w:pPr>
        <w:pStyle w:val="BodyTextNumbered"/>
      </w:pPr>
      <w:r>
        <w:t>(2)</w:t>
      </w:r>
      <w:r>
        <w:tab/>
        <w:t xml:space="preserve">If a QSE application is incomplete, ERCOT’s notice of incompletion to the applicant must explain the deficiencies and describe the additional information necessary to make the QSE application complete.  The QSE applicant has five Business Days after it receives the notice, or a longer period if ERCOT allows, to provide the additional required information. </w:t>
      </w:r>
    </w:p>
    <w:p w14:paraId="12D0768C" w14:textId="77777777" w:rsidR="00400902" w:rsidRDefault="00400902" w:rsidP="00400902">
      <w:pPr>
        <w:pStyle w:val="BodyTextNumbered"/>
      </w:pPr>
      <w:r>
        <w:t>(3)</w:t>
      </w:r>
      <w:r>
        <w:tab/>
        <w:t xml:space="preserve">If the applicant does not respond to the incompletion notice within the time allotted, ERCOT shall reject the application and shall notify the applicant using the procedures below. </w:t>
      </w:r>
    </w:p>
    <w:p w14:paraId="091FFB44" w14:textId="00AB1E29" w:rsidR="00FC1C5F" w:rsidRDefault="00400902">
      <w:pPr>
        <w:pStyle w:val="BodyTextNumbered"/>
      </w:pPr>
      <w:r>
        <w:t>(4)</w:t>
      </w:r>
      <w:r>
        <w:tab/>
        <w:t>ERCOT will notify the applicant of the date on which the application is deemed complete.</w:t>
      </w:r>
    </w:p>
    <w:p w14:paraId="2AF72683" w14:textId="77777777" w:rsidR="00FC1C5F" w:rsidRPr="00D63F95" w:rsidRDefault="00727E32" w:rsidP="00FE610C">
      <w:pPr>
        <w:pStyle w:val="H4"/>
        <w:rPr>
          <w:b/>
        </w:rPr>
      </w:pPr>
      <w:bookmarkStart w:id="83" w:name="_Toc390438917"/>
      <w:bookmarkStart w:id="84" w:name="_Toc405897614"/>
      <w:bookmarkStart w:id="85" w:name="_Toc415055718"/>
      <w:bookmarkStart w:id="86" w:name="_Toc415055844"/>
      <w:bookmarkStart w:id="87" w:name="_Toc415055943"/>
      <w:bookmarkStart w:id="88" w:name="_Toc415056044"/>
      <w:bookmarkStart w:id="89" w:name="_Toc148960820"/>
      <w:bookmarkEnd w:id="82"/>
      <w:r w:rsidRPr="00D63F95">
        <w:rPr>
          <w:b/>
        </w:rPr>
        <w:t>16.2.2.3</w:t>
      </w:r>
      <w:r w:rsidRPr="00D63F95">
        <w:rPr>
          <w:b/>
        </w:rPr>
        <w:tab/>
        <w:t>ERCOT Approval or Rejection of Qualified Scheduling Entity Application</w:t>
      </w:r>
      <w:bookmarkEnd w:id="83"/>
      <w:bookmarkEnd w:id="84"/>
      <w:bookmarkEnd w:id="85"/>
      <w:bookmarkEnd w:id="86"/>
      <w:bookmarkEnd w:id="87"/>
      <w:bookmarkEnd w:id="88"/>
      <w:bookmarkEnd w:id="89"/>
    </w:p>
    <w:p w14:paraId="668D3C04" w14:textId="375DC34F" w:rsidR="00FC1C5F" w:rsidRDefault="00727E32">
      <w:pPr>
        <w:pStyle w:val="BodyTextNumbered"/>
      </w:pPr>
      <w:bookmarkStart w:id="90" w:name="_Hlk90904186"/>
      <w:r>
        <w:t>(1)</w:t>
      </w:r>
      <w:r>
        <w:tab/>
      </w:r>
      <w:r w:rsidR="00400902" w:rsidRPr="008552F8">
        <w:t xml:space="preserve">ERCOT will approve or reject a QSE application within 60 days after the application has been deemed complete as provided for in Section 16.2.2.2, Incomplete QSE Applications, unless ERCOT determines that additional time is needed to complete its review of the application. </w:t>
      </w:r>
      <w:r w:rsidR="00400902">
        <w:t xml:space="preserve"> </w:t>
      </w:r>
      <w:r w:rsidR="00400902" w:rsidRPr="008552F8">
        <w:t xml:space="preserve">ERCOT will notify the applicant when additional time is needed to complete its review and will provide a date by which ERCOT expects to complete its review. </w:t>
      </w:r>
      <w:r w:rsidR="00400902">
        <w:t xml:space="preserve"> </w:t>
      </w:r>
      <w:r w:rsidR="00400902" w:rsidRPr="008552F8">
        <w:t>If ERCOT’s initial evaluation indicates that there may be a basis to reject the application, ERCOT may contact the applicant prior to rendering a final decision on the application to determine if further information can be provided by the applicant to resolve the identified concern.</w:t>
      </w:r>
      <w:bookmarkEnd w:id="90"/>
    </w:p>
    <w:p w14:paraId="534449C8" w14:textId="0FE224EF" w:rsidR="00FC1C5F" w:rsidRDefault="00727E32" w:rsidP="00FE610C">
      <w:pPr>
        <w:pStyle w:val="BodyTextNumbered"/>
      </w:pPr>
      <w:r>
        <w:t>(2)</w:t>
      </w:r>
      <w:r>
        <w:tab/>
        <w:t>If ERCOT rejects a QSE application, ERCOT shall send the applicant a rejection letter explaining the grounds upon which ERCOT rejected the QSE application.  Appropriate grounds for rejecting a QSE application include the following:</w:t>
      </w:r>
    </w:p>
    <w:p w14:paraId="7DCF5FCF" w14:textId="77777777" w:rsidR="00FC1C5F" w:rsidRDefault="00727E32">
      <w:pPr>
        <w:pStyle w:val="List"/>
        <w:ind w:left="1260" w:hanging="540"/>
      </w:pPr>
      <w:r>
        <w:t>(a)</w:t>
      </w:r>
      <w:r>
        <w:tab/>
        <w:t>Required information is not provided to ERCOT in the allotted time;</w:t>
      </w:r>
    </w:p>
    <w:p w14:paraId="179B8675" w14:textId="77777777" w:rsidR="00FC1C5F" w:rsidRDefault="00727E32">
      <w:pPr>
        <w:pStyle w:val="List"/>
        <w:ind w:left="1260" w:hanging="540"/>
      </w:pPr>
      <w:r>
        <w:t>(b)</w:t>
      </w:r>
      <w:r>
        <w:tab/>
        <w:t>Noncompliance with technical requirements; and</w:t>
      </w:r>
    </w:p>
    <w:p w14:paraId="4481EC87" w14:textId="77777777" w:rsidR="00FC1C5F" w:rsidRDefault="00727E32">
      <w:pPr>
        <w:pStyle w:val="List"/>
        <w:ind w:left="1260" w:hanging="540"/>
      </w:pPr>
      <w:r>
        <w:t>(c)</w:t>
      </w:r>
      <w:r>
        <w:tab/>
        <w:t>Noncompliance with other specific eligibility requirements in this Section or in any other Protocols.</w:t>
      </w:r>
    </w:p>
    <w:p w14:paraId="475BCF75" w14:textId="77777777" w:rsidR="00FC1C5F" w:rsidRDefault="00727E32">
      <w:pPr>
        <w:pStyle w:val="BodyText"/>
        <w:ind w:left="720" w:hanging="720"/>
      </w:pPr>
      <w:r>
        <w:lastRenderedPageBreak/>
        <w:t>(3)</w:t>
      </w:r>
      <w:r>
        <w:tab/>
        <w:t>Not later than ten Business Days after receiving a rejection letter, the QSE applicant may challenge the rejection of its QSE application using the dispute resolution procedures set forth in Section 20, Alternative Dispute Resolution Procedure.</w:t>
      </w:r>
      <w:r>
        <w:rPr>
          <w:b/>
        </w:rPr>
        <w:t xml:space="preserve">  </w:t>
      </w:r>
      <w:r>
        <w:t>The applicant may submit a new QSE application and fee at any time, and ERCOT shall process the new QSE application under this Section.</w:t>
      </w:r>
    </w:p>
    <w:p w14:paraId="2832A23B" w14:textId="7C44FFDB" w:rsidR="00FC1C5F" w:rsidRDefault="00727E32">
      <w:pPr>
        <w:pStyle w:val="BodyText"/>
        <w:ind w:left="720" w:hanging="720"/>
      </w:pPr>
      <w:bookmarkStart w:id="91" w:name="_Hlk90904196"/>
      <w:r>
        <w:t>(4)</w:t>
      </w:r>
      <w:r>
        <w:tab/>
      </w:r>
      <w:r w:rsidR="00400902">
        <w:t>If ERCOT approves the QSE application, ERCOT shall send the applicant a Standard Form Market Participant Agreement and any other required Agreements relating to use of the ERCOT network, software, and systems for the applicant’s signature.</w:t>
      </w:r>
    </w:p>
    <w:p w14:paraId="425E209F" w14:textId="30165DF0" w:rsidR="00400902" w:rsidRDefault="00400902">
      <w:pPr>
        <w:pStyle w:val="BodyText"/>
        <w:ind w:left="720" w:hanging="720"/>
      </w:pPr>
      <w:r>
        <w:t>(5)</w:t>
      </w:r>
      <w:r>
        <w:tab/>
        <w:t xml:space="preserve">If ERCOT fails to approve or deny the QSE application within 60 days after the application is deemed complete, </w:t>
      </w:r>
      <w:proofErr w:type="gramStart"/>
      <w:r>
        <w:t>and also</w:t>
      </w:r>
      <w:proofErr w:type="gramEnd"/>
      <w:r>
        <w:t xml:space="preserve"> fails to notify the applicant that additional time is needed to complete its review, the QSE applicant may seek relief using the dispute resolution procedures set forth in Section 20.</w:t>
      </w:r>
    </w:p>
    <w:p w14:paraId="39868C66" w14:textId="77777777" w:rsidR="00FC1C5F" w:rsidRDefault="00727E32" w:rsidP="00FE610C">
      <w:pPr>
        <w:pStyle w:val="H3"/>
      </w:pPr>
      <w:bookmarkStart w:id="92" w:name="_Toc71369175"/>
      <w:bookmarkStart w:id="93" w:name="_Toc71539391"/>
      <w:bookmarkStart w:id="94" w:name="_Toc390438918"/>
      <w:bookmarkStart w:id="95" w:name="_Toc405897615"/>
      <w:bookmarkStart w:id="96" w:name="_Toc415055719"/>
      <w:bookmarkStart w:id="97" w:name="_Toc415055845"/>
      <w:bookmarkStart w:id="98" w:name="_Toc415055944"/>
      <w:bookmarkStart w:id="99" w:name="_Toc415056045"/>
      <w:bookmarkStart w:id="100" w:name="_Toc148960821"/>
      <w:bookmarkEnd w:id="91"/>
      <w:r>
        <w:t>16.2.3</w:t>
      </w:r>
      <w:r>
        <w:tab/>
        <w:t xml:space="preserve">Remaining Steps for Qualified Scheduling Entity </w:t>
      </w:r>
      <w:bookmarkEnd w:id="92"/>
      <w:bookmarkEnd w:id="93"/>
      <w:r>
        <w:t>Registration</w:t>
      </w:r>
      <w:bookmarkEnd w:id="94"/>
      <w:bookmarkEnd w:id="95"/>
      <w:bookmarkEnd w:id="96"/>
      <w:bookmarkEnd w:id="97"/>
      <w:bookmarkEnd w:id="98"/>
      <w:bookmarkEnd w:id="99"/>
      <w:bookmarkEnd w:id="100"/>
    </w:p>
    <w:p w14:paraId="79C4EC29" w14:textId="77777777" w:rsidR="00FC1C5F" w:rsidRDefault="00853D39" w:rsidP="009F10FE">
      <w:pPr>
        <w:pStyle w:val="ListIntroduction"/>
        <w:ind w:left="720" w:hanging="720"/>
      </w:pPr>
      <w:r>
        <w:rPr>
          <w:lang w:val="en-US"/>
        </w:rPr>
        <w:t>(1)</w:t>
      </w:r>
      <w:r>
        <w:rPr>
          <w:lang w:val="en-US"/>
        </w:rPr>
        <w:tab/>
      </w:r>
      <w:r w:rsidR="00727E32">
        <w:t>After a QSE application is deemed approved under Section 16.2.2.3, ERCOT Approval or Rejection of Qualified Scheduling Entity Application, the applicant shall coordinate or perform the following:</w:t>
      </w:r>
    </w:p>
    <w:p w14:paraId="12A4C933" w14:textId="77777777" w:rsidR="00FC1C5F" w:rsidRDefault="00727E32" w:rsidP="00A643DE">
      <w:pPr>
        <w:pStyle w:val="List"/>
      </w:pPr>
      <w:r>
        <w:t>(a)</w:t>
      </w:r>
      <w:r>
        <w:tab/>
        <w:t>Return the signed Standard Form Market Participant Agreement and other related agreements to ERCOT;</w:t>
      </w:r>
    </w:p>
    <w:p w14:paraId="56C75702" w14:textId="77777777" w:rsidR="00FC1C5F" w:rsidRDefault="00727E32" w:rsidP="00A643DE">
      <w:pPr>
        <w:pStyle w:val="List"/>
      </w:pPr>
      <w:r>
        <w:t>(b)</w:t>
      </w:r>
      <w:r>
        <w:tab/>
        <w:t>Coordinate with ERCOT and other Entities, as necessary, to test all communications necessary to participate in the market in the ERCOT Region;</w:t>
      </w:r>
    </w:p>
    <w:p w14:paraId="3861CB62" w14:textId="77777777" w:rsidR="004E6267" w:rsidRDefault="004E6267" w:rsidP="00A643DE">
      <w:pPr>
        <w:pStyle w:val="List"/>
      </w:pPr>
      <w:r>
        <w:t>(c)</w:t>
      </w:r>
      <w:r>
        <w:tab/>
      </w:r>
      <w:r w:rsidRPr="00B64491">
        <w:t>If applicable, a</w:t>
      </w:r>
      <w:r>
        <w:t xml:space="preserve"> QSE offering services in a </w:t>
      </w:r>
      <w:r w:rsidR="00022A2E">
        <w:t>Non-Opt-In Entity (</w:t>
      </w:r>
      <w:r>
        <w:t>NOIE</w:t>
      </w:r>
      <w:r w:rsidR="00022A2E">
        <w:t>)</w:t>
      </w:r>
      <w:r>
        <w:t xml:space="preserve"> service territory must obtain written authorization from the NOIE, and submit such authorization to ERCOT;</w:t>
      </w:r>
      <w:r w:rsidR="00D56D45">
        <w:t xml:space="preserve"> 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44" w:type="dxa"/>
          <w:left w:w="115" w:type="dxa"/>
          <w:right w:w="115" w:type="dxa"/>
        </w:tblCellMar>
        <w:tblLook w:val="01E0" w:firstRow="1" w:lastRow="1" w:firstColumn="1" w:lastColumn="1" w:noHBand="0" w:noVBand="0"/>
      </w:tblPr>
      <w:tblGrid>
        <w:gridCol w:w="9350"/>
      </w:tblGrid>
      <w:tr w:rsidR="001C6988" w14:paraId="3896DBE4" w14:textId="77777777" w:rsidTr="003532D1">
        <w:tc>
          <w:tcPr>
            <w:tcW w:w="9350" w:type="dxa"/>
            <w:shd w:val="clear" w:color="auto" w:fill="FFFFFF"/>
          </w:tcPr>
          <w:p w14:paraId="2F4F72CA" w14:textId="527D8CD1" w:rsidR="001C6988" w:rsidRPr="00307CAD" w:rsidRDefault="001C6988" w:rsidP="001C6988">
            <w:pPr>
              <w:pStyle w:val="Instructions"/>
            </w:pPr>
            <w:r w:rsidRPr="00307CAD">
              <w:t>[P</w:t>
            </w:r>
            <w:r>
              <w:t>IR005</w:t>
            </w:r>
            <w:r w:rsidRPr="00307CAD">
              <w:t xml:space="preserve">:  ERCOT </w:t>
            </w:r>
            <w:r>
              <w:t xml:space="preserve">Protocol </w:t>
            </w:r>
            <w:r w:rsidRPr="00307CAD">
              <w:t xml:space="preserve">Interpretation of </w:t>
            </w:r>
            <w:r>
              <w:t>paragraph (1)(c) of Section 16.2.3 above</w:t>
            </w:r>
            <w:r w:rsidRPr="00307CAD">
              <w:t>:]</w:t>
            </w:r>
          </w:p>
          <w:p w14:paraId="15F379DD" w14:textId="1EB042EE" w:rsidR="001C6988" w:rsidRPr="00307CAD" w:rsidRDefault="001C6988" w:rsidP="0050013B">
            <w:pPr>
              <w:spacing w:after="240"/>
              <w:jc w:val="both"/>
              <w:rPr>
                <w:szCs w:val="24"/>
              </w:rPr>
            </w:pPr>
            <w:r>
              <w:t xml:space="preserve">On June 29, 2021, ERCOT issued a Protocol Interpretation regarding the applicability of </w:t>
            </w:r>
            <w:r w:rsidR="0050013B">
              <w:t xml:space="preserve">paragraph </w:t>
            </w:r>
            <w:r>
              <w:t>(1)(c)</w:t>
            </w:r>
            <w:r w:rsidR="0050013B">
              <w:t xml:space="preserve"> of Section 16.2.3</w:t>
            </w:r>
            <w:r>
              <w:t xml:space="preserve"> to QSEs representing Energy Storage Resources. See Market Notice</w:t>
            </w:r>
            <w:r w:rsidR="00B93E20">
              <w:t xml:space="preserve"> </w:t>
            </w:r>
            <w:r w:rsidR="00B93E20" w:rsidRPr="00B93E20">
              <w:t>M-A062921-01</w:t>
            </w:r>
            <w:r>
              <w:t xml:space="preserve">, Protocol Interpretation Regarding Necessity of Non-Opt-In Entity Consent to Qualified Scheduling Entity Representation of Energy Storage Resource in Non-Opt-In Entity Service Territory, at </w:t>
            </w:r>
            <w:hyperlink r:id="rId16" w:history="1">
              <w:r>
                <w:rPr>
                  <w:rStyle w:val="Hyperlink"/>
                </w:rPr>
                <w:t>http://www.ercot.com/mktrules/nprotocols/pir_process.html</w:t>
              </w:r>
            </w:hyperlink>
            <w:r>
              <w:t xml:space="preserve"> for full details of this Protocol Interpretation.</w:t>
            </w:r>
          </w:p>
        </w:tc>
      </w:tr>
    </w:tbl>
    <w:p w14:paraId="1AC43869" w14:textId="77777777" w:rsidR="00FC1C5F" w:rsidRDefault="00727E32" w:rsidP="003532D1">
      <w:pPr>
        <w:pStyle w:val="List"/>
        <w:spacing w:before="240"/>
        <w:ind w:left="720" w:firstLine="0"/>
      </w:pPr>
      <w:r>
        <w:t>(</w:t>
      </w:r>
      <w:r w:rsidR="00D56D45">
        <w:t>d</w:t>
      </w:r>
      <w:r>
        <w:t>)</w:t>
      </w:r>
      <w:r>
        <w:tab/>
        <w:t>Demonstrate compliance with security and financial requirements.</w:t>
      </w:r>
    </w:p>
    <w:p w14:paraId="74B4C465" w14:textId="77777777" w:rsidR="00FC1C5F" w:rsidRPr="00D63F95" w:rsidRDefault="00727E32">
      <w:pPr>
        <w:pStyle w:val="H4"/>
        <w:rPr>
          <w:b/>
        </w:rPr>
      </w:pPr>
      <w:bookmarkStart w:id="101" w:name="_Toc390438919"/>
      <w:bookmarkStart w:id="102" w:name="_Toc405897616"/>
      <w:bookmarkStart w:id="103" w:name="_Toc415055720"/>
      <w:bookmarkStart w:id="104" w:name="_Toc415055846"/>
      <w:bookmarkStart w:id="105" w:name="_Toc415055945"/>
      <w:bookmarkStart w:id="106" w:name="_Toc415056046"/>
      <w:bookmarkStart w:id="107" w:name="_Toc148960822"/>
      <w:r w:rsidRPr="00D63F95">
        <w:rPr>
          <w:b/>
        </w:rPr>
        <w:lastRenderedPageBreak/>
        <w:t>16.2.3.</w:t>
      </w:r>
      <w:r w:rsidR="00D56D45">
        <w:rPr>
          <w:b/>
        </w:rPr>
        <w:t>1</w:t>
      </w:r>
      <w:r w:rsidRPr="00D63F95">
        <w:rPr>
          <w:b/>
        </w:rPr>
        <w:tab/>
        <w:t>Process to Gain Approval to Follow DSR Load</w:t>
      </w:r>
      <w:bookmarkEnd w:id="101"/>
      <w:bookmarkEnd w:id="102"/>
      <w:bookmarkEnd w:id="103"/>
      <w:bookmarkEnd w:id="104"/>
      <w:bookmarkEnd w:id="105"/>
      <w:bookmarkEnd w:id="106"/>
      <w:bookmarkEnd w:id="107"/>
    </w:p>
    <w:p w14:paraId="55DF55FE" w14:textId="77777777" w:rsidR="00FC1C5F" w:rsidRDefault="00727E32">
      <w:pPr>
        <w:pStyle w:val="BodyTextNumbered"/>
      </w:pPr>
      <w:r>
        <w:t>(1)</w:t>
      </w:r>
      <w:r>
        <w:tab/>
        <w:t xml:space="preserve">Each QSE wanting to use Resources to follow </w:t>
      </w:r>
      <w:r w:rsidR="00D56D45">
        <w:t>Dynamically Scheduled Resource (</w:t>
      </w:r>
      <w:r>
        <w:t>DSR</w:t>
      </w:r>
      <w:r w:rsidR="00D56D45">
        <w:t>)</w:t>
      </w:r>
      <w:r>
        <w:t xml:space="preserve"> Load shall submit a proposal to ERCOT for analysis of the feasibility and reliability of the telemetry required by the proposal.  ERCOT shall either approve or disapprove that proposal based on ERCOT’s ability to monitor the DSR Load behavior.</w:t>
      </w:r>
    </w:p>
    <w:p w14:paraId="73F2E27D" w14:textId="77777777" w:rsidR="00FC1C5F" w:rsidRDefault="00727E32">
      <w:pPr>
        <w:pStyle w:val="BodyTextNumbered"/>
      </w:pPr>
      <w:r>
        <w:t>(2)</w:t>
      </w:r>
      <w:r>
        <w:tab/>
        <w:t>Each DSR Load must be associated with a Load meter or group of Load meters.  This includes Load that is calculated by subtracting interchange telemetry from actual generation telemetry, appropriately adjusted for Transmission and Distribution Losses.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B70D89" w14:paraId="1FCF23C3" w14:textId="77777777" w:rsidTr="00CD51A8">
        <w:tc>
          <w:tcPr>
            <w:tcW w:w="9332" w:type="dxa"/>
            <w:shd w:val="pct12" w:color="auto" w:fill="auto"/>
          </w:tcPr>
          <w:p w14:paraId="3D206BAA" w14:textId="0FD932CA" w:rsidR="00B70D89" w:rsidRPr="00365293" w:rsidRDefault="00B70D89" w:rsidP="00B70D89">
            <w:pPr>
              <w:pStyle w:val="Instructions"/>
              <w:spacing w:before="120"/>
              <w:rPr>
                <w:iCs/>
              </w:rPr>
            </w:pPr>
            <w:bookmarkStart w:id="108" w:name="_Toc390438920"/>
            <w:bookmarkStart w:id="109" w:name="_Toc405897617"/>
            <w:bookmarkStart w:id="110" w:name="_Toc415055721"/>
            <w:bookmarkStart w:id="111" w:name="_Toc415055847"/>
            <w:bookmarkStart w:id="112" w:name="_Toc415055946"/>
            <w:bookmarkStart w:id="113" w:name="_Toc415056047"/>
            <w:r>
              <w:rPr>
                <w:iCs/>
              </w:rPr>
              <w:t>[NPRR1000</w:t>
            </w:r>
            <w:r w:rsidRPr="0002450E">
              <w:rPr>
                <w:iCs/>
              </w:rPr>
              <w:t xml:space="preserve">:  </w:t>
            </w:r>
            <w:r>
              <w:rPr>
                <w:iCs/>
              </w:rPr>
              <w:t>Delete Section 16.2.3.1 above upon system implementation and renumber accordingly</w:t>
            </w:r>
            <w:r w:rsidR="00EC4F5C">
              <w:rPr>
                <w:iCs/>
              </w:rPr>
              <w:t>.]</w:t>
            </w:r>
          </w:p>
        </w:tc>
      </w:tr>
    </w:tbl>
    <w:p w14:paraId="47E7C0DB" w14:textId="77777777" w:rsidR="00FC1C5F" w:rsidRDefault="00727E32" w:rsidP="00AA42E8">
      <w:pPr>
        <w:pStyle w:val="Heading4"/>
        <w:numPr>
          <w:ilvl w:val="0"/>
          <w:numId w:val="0"/>
        </w:numPr>
        <w:tabs>
          <w:tab w:val="left" w:pos="1620"/>
        </w:tabs>
        <w:spacing w:before="480"/>
      </w:pPr>
      <w:bookmarkStart w:id="114" w:name="_Toc148960823"/>
      <w:r>
        <w:t>16.2.3.</w:t>
      </w:r>
      <w:r w:rsidR="00D56D45">
        <w:t>2</w:t>
      </w:r>
      <w:r>
        <w:tab/>
        <w:t>Maintaining and Updating QSE Information</w:t>
      </w:r>
      <w:bookmarkEnd w:id="108"/>
      <w:bookmarkEnd w:id="109"/>
      <w:bookmarkEnd w:id="110"/>
      <w:bookmarkEnd w:id="111"/>
      <w:bookmarkEnd w:id="112"/>
      <w:bookmarkEnd w:id="113"/>
      <w:bookmarkEnd w:id="114"/>
      <w:r>
        <w:t xml:space="preserve"> </w:t>
      </w:r>
    </w:p>
    <w:p w14:paraId="20DE7DAF" w14:textId="77777777" w:rsidR="00FC1C5F" w:rsidRDefault="00853D39" w:rsidP="009F10FE">
      <w:pPr>
        <w:pStyle w:val="ListIntroduction"/>
        <w:ind w:left="720" w:hanging="720"/>
      </w:pPr>
      <w:r>
        <w:rPr>
          <w:lang w:val="en-US"/>
        </w:rPr>
        <w:t>(1)</w:t>
      </w:r>
      <w:r>
        <w:rPr>
          <w:lang w:val="en-US"/>
        </w:rPr>
        <w:tab/>
      </w:r>
      <w:r w:rsidR="00727E32">
        <w:t>Each QSE must timely update information the QSE provided to ERCOT in the application process, and a QSE must promptly respond to any reasonable request by ERCOT for updated information regarding the QSE or the information provided to ERCOT by the QSE, including:</w:t>
      </w:r>
    </w:p>
    <w:p w14:paraId="12885A2D" w14:textId="78D1A07C" w:rsidR="00FC1C5F" w:rsidRDefault="00727E32">
      <w:pPr>
        <w:pStyle w:val="List"/>
      </w:pPr>
      <w:r>
        <w:t>(a)</w:t>
      </w:r>
      <w:r>
        <w:tab/>
        <w:t>The QSE’s addresses;</w:t>
      </w:r>
    </w:p>
    <w:p w14:paraId="1D069A94" w14:textId="2164D80A" w:rsidR="00400902" w:rsidRDefault="00400902">
      <w:pPr>
        <w:pStyle w:val="List"/>
      </w:pPr>
      <w:bookmarkStart w:id="115" w:name="_Hlk90904203"/>
      <w:r>
        <w:t>(b)</w:t>
      </w:r>
      <w:r>
        <w:tab/>
        <w:t xml:space="preserve">A list of Principals, as defined in Section </w:t>
      </w:r>
      <w:r w:rsidRPr="00942972">
        <w:t>16.1.2</w:t>
      </w:r>
      <w:r>
        <w:t>,</w:t>
      </w:r>
      <w:r w:rsidRPr="00880886">
        <w:t xml:space="preserve"> Principal of a Market Participant</w:t>
      </w:r>
      <w:r>
        <w:t>;</w:t>
      </w:r>
    </w:p>
    <w:bookmarkEnd w:id="115"/>
    <w:p w14:paraId="13F81B49" w14:textId="1CE8A147" w:rsidR="00FC1C5F" w:rsidRDefault="00727E32" w:rsidP="00FE610C">
      <w:pPr>
        <w:pStyle w:val="List"/>
      </w:pPr>
      <w:r>
        <w:t>(</w:t>
      </w:r>
      <w:r w:rsidR="00400902">
        <w:t>c</w:t>
      </w:r>
      <w:r>
        <w:t>)</w:t>
      </w:r>
      <w:r>
        <w:tab/>
        <w:t>A list of Affiliates; and</w:t>
      </w:r>
    </w:p>
    <w:p w14:paraId="303B7612" w14:textId="6DC6F9B0" w:rsidR="00FC1C5F" w:rsidRDefault="00727E32">
      <w:pPr>
        <w:pStyle w:val="List"/>
      </w:pPr>
      <w:r>
        <w:t>(</w:t>
      </w:r>
      <w:r w:rsidR="00400902">
        <w:t>d</w:t>
      </w:r>
      <w:r>
        <w:t>)</w:t>
      </w:r>
      <w:r>
        <w:tab/>
        <w:t xml:space="preserve">Designation of the QSE’s officers, directors, Authorized Representatives, Credit Contacts, and User Security Administrator </w:t>
      </w:r>
      <w:r w:rsidR="002B565A">
        <w:t xml:space="preserve">(USA) </w:t>
      </w:r>
      <w:r>
        <w:t xml:space="preserve">(all per the QSE application) including the telephone and e-mail addresses for those persons. </w:t>
      </w:r>
    </w:p>
    <w:p w14:paraId="742D4D01" w14:textId="77777777" w:rsidR="00FC1C5F" w:rsidRPr="00D63F95" w:rsidRDefault="00727E32">
      <w:pPr>
        <w:pStyle w:val="H4"/>
        <w:rPr>
          <w:b/>
        </w:rPr>
      </w:pPr>
      <w:bookmarkStart w:id="116" w:name="_Toc390438921"/>
      <w:bookmarkStart w:id="117" w:name="_Toc405897618"/>
      <w:bookmarkStart w:id="118" w:name="_Toc415055722"/>
      <w:bookmarkStart w:id="119" w:name="_Toc415055848"/>
      <w:bookmarkStart w:id="120" w:name="_Toc415055947"/>
      <w:bookmarkStart w:id="121" w:name="_Toc415056048"/>
      <w:bookmarkStart w:id="122" w:name="_Toc148960824"/>
      <w:r w:rsidRPr="00D63F95">
        <w:rPr>
          <w:b/>
        </w:rPr>
        <w:t>16.2.3.</w:t>
      </w:r>
      <w:r w:rsidR="00D56D45">
        <w:rPr>
          <w:b/>
        </w:rPr>
        <w:t>3</w:t>
      </w:r>
      <w:r w:rsidRPr="00D63F95">
        <w:rPr>
          <w:b/>
        </w:rPr>
        <w:tab/>
        <w:t>Qualified Scheduling Entity Service Termination</w:t>
      </w:r>
      <w:bookmarkEnd w:id="116"/>
      <w:bookmarkEnd w:id="117"/>
      <w:bookmarkEnd w:id="118"/>
      <w:bookmarkEnd w:id="119"/>
      <w:bookmarkEnd w:id="120"/>
      <w:bookmarkEnd w:id="121"/>
      <w:bookmarkEnd w:id="122"/>
    </w:p>
    <w:p w14:paraId="08F00F9C" w14:textId="2B1F9BA7" w:rsidR="00FC1C5F" w:rsidRDefault="00727E32">
      <w:pPr>
        <w:pStyle w:val="BodyTextNumbered"/>
      </w:pPr>
      <w:r>
        <w:t>(1)</w:t>
      </w:r>
      <w:r>
        <w:tab/>
        <w:t xml:space="preserve">If a QSE intends to terminate representation of a Resource </w:t>
      </w:r>
      <w:r w:rsidR="004E5204" w:rsidRPr="007B773F">
        <w:t>Entity that owns or controls a Resource</w:t>
      </w:r>
      <w:r w:rsidR="004E5204">
        <w:t xml:space="preserve"> that is in the ERCOT Network Operations Model </w:t>
      </w:r>
      <w:r>
        <w:t xml:space="preserve">(other than a Resource </w:t>
      </w:r>
      <w:r w:rsidR="004E5204">
        <w:t xml:space="preserve">Entity </w:t>
      </w:r>
      <w:r>
        <w:t xml:space="preserve">serving as its own QSE, in which case this Section does not apply), the QSE shall provide, no less than </w:t>
      </w:r>
      <w:r w:rsidR="004E5204">
        <w:t>45</w:t>
      </w:r>
      <w:r>
        <w:t xml:space="preserve"> </w:t>
      </w:r>
      <w:r w:rsidR="004E5204">
        <w:t>d</w:t>
      </w:r>
      <w:r>
        <w:t>ays before the specified effective termination date (“Termination Date”), written notice to ERCOT and the Resource.</w:t>
      </w:r>
    </w:p>
    <w:p w14:paraId="7C77C001" w14:textId="77777777" w:rsidR="004E5204" w:rsidRDefault="004E5204" w:rsidP="004E5204">
      <w:pPr>
        <w:pStyle w:val="BodyTextNumbered"/>
      </w:pPr>
      <w:r w:rsidRPr="005357A3">
        <w:t>(</w:t>
      </w:r>
      <w:r>
        <w:t>2</w:t>
      </w:r>
      <w:r w:rsidRPr="005357A3">
        <w:t>)</w:t>
      </w:r>
      <w:r w:rsidRPr="005357A3">
        <w:tab/>
        <w:t>If a QSE intends to terminate representation of a Load Serving Entity (LSE)</w:t>
      </w:r>
      <w:r>
        <w:t xml:space="preserve"> or a Resource </w:t>
      </w:r>
      <w:r w:rsidRPr="007B773F">
        <w:t xml:space="preserve">Entity that </w:t>
      </w:r>
      <w:r>
        <w:t xml:space="preserve">does not </w:t>
      </w:r>
      <w:r w:rsidRPr="007B773F">
        <w:t>own or control a Resource</w:t>
      </w:r>
      <w:r>
        <w:t xml:space="preserve"> that is in the ERCOT Network Operations Model </w:t>
      </w:r>
      <w:r w:rsidRPr="005357A3">
        <w:t xml:space="preserve">(other than an LSE </w:t>
      </w:r>
      <w:r>
        <w:t xml:space="preserve">or Resource Entity </w:t>
      </w:r>
      <w:r w:rsidRPr="005357A3">
        <w:t>serving as its own QSE</w:t>
      </w:r>
      <w:r>
        <w:t>,</w:t>
      </w:r>
      <w:r w:rsidRPr="005357A3">
        <w:t xml:space="preserve"> in which case this Section does not apply)</w:t>
      </w:r>
      <w:r>
        <w:t xml:space="preserve">, </w:t>
      </w:r>
      <w:r w:rsidRPr="005357A3">
        <w:t xml:space="preserve">the QSE shall provide, no less than 12 Business </w:t>
      </w:r>
      <w:r w:rsidRPr="005357A3">
        <w:lastRenderedPageBreak/>
        <w:t xml:space="preserve">Days before the specified effective </w:t>
      </w:r>
      <w:r>
        <w:t>T</w:t>
      </w:r>
      <w:r w:rsidRPr="005357A3">
        <w:t xml:space="preserve">ermination </w:t>
      </w:r>
      <w:r>
        <w:t>D</w:t>
      </w:r>
      <w:r w:rsidRPr="005357A3">
        <w:t>ate, written notice to ERCOT and the LSE</w:t>
      </w:r>
      <w:r>
        <w:t xml:space="preserve"> or Resource Entity</w:t>
      </w:r>
      <w:r w:rsidRPr="005357A3">
        <w:t>.</w:t>
      </w:r>
    </w:p>
    <w:p w14:paraId="7C938B0A" w14:textId="15442B8E" w:rsidR="00FC1C5F" w:rsidRDefault="00727E32">
      <w:pPr>
        <w:pStyle w:val="BodyTextNumbered"/>
      </w:pPr>
      <w:r>
        <w:t>(</w:t>
      </w:r>
      <w:r w:rsidR="004E5204">
        <w:t>3</w:t>
      </w:r>
      <w:r>
        <w:t>)</w:t>
      </w:r>
      <w:r>
        <w:tab/>
        <w:t xml:space="preserve">Effective at 2400 on the Termination Date specified by the QSE, the QSE may no longer provide QSE services for or represent the terminated LSE or Resource.  The QSE is responsible for settlement obligations that the QSE has incurred on behalf of the terminated LSE or Resource before the termination. </w:t>
      </w:r>
      <w:r w:rsidR="001617F7">
        <w:t xml:space="preserve"> </w:t>
      </w:r>
      <w:r>
        <w:t xml:space="preserve">The QSE must participate in Real-Time Operations through the Termination Date and provide updates pursuant to these Protocols for the Operating Day which is the Termination Date.  Notwithstanding the foregoing, if, before the Termination Date, the LSE/Resource: </w:t>
      </w:r>
    </w:p>
    <w:p w14:paraId="434A07C0" w14:textId="77777777" w:rsidR="00FC1C5F" w:rsidRDefault="00727E32">
      <w:pPr>
        <w:pStyle w:val="List"/>
      </w:pPr>
      <w:r>
        <w:t>(a)</w:t>
      </w:r>
      <w:r>
        <w:tab/>
        <w:t xml:space="preserve">Affiliates itself with a new QSE, or </w:t>
      </w:r>
    </w:p>
    <w:p w14:paraId="0A183A2D" w14:textId="77777777" w:rsidR="00FC1C5F" w:rsidRDefault="00727E32">
      <w:pPr>
        <w:pStyle w:val="List"/>
      </w:pPr>
      <w:r>
        <w:t>(</w:t>
      </w:r>
      <w:r>
        <w:rPr>
          <w:iCs/>
        </w:rPr>
        <w:t>b</w:t>
      </w:r>
      <w:r>
        <w:t>)</w:t>
      </w:r>
      <w:r>
        <w:tab/>
        <w:t xml:space="preserve">Fulfills ERCOT’s creditworthiness requirements </w:t>
      </w:r>
      <w:proofErr w:type="gramStart"/>
      <w:r>
        <w:t>in order to</w:t>
      </w:r>
      <w:proofErr w:type="gramEnd"/>
      <w:r>
        <w:t xml:space="preserve"> become an Emergency QSE,</w:t>
      </w:r>
    </w:p>
    <w:p w14:paraId="5E7C99A0" w14:textId="77777777" w:rsidR="00FC1C5F" w:rsidRDefault="00727E32">
      <w:pPr>
        <w:pStyle w:val="BodyTextNumbered"/>
        <w:ind w:firstLine="0"/>
      </w:pPr>
      <w:r>
        <w:t>the QSE that provided notice of the intent to terminate representation of the LSE/ Resource will no longer be responsible for the terminated LSE/Resource upon the effective date of the new QSE’s representation of that LSE/Resource, or the LSE/Resource qualifying as an Emergency QSE.</w:t>
      </w:r>
    </w:p>
    <w:p w14:paraId="6D1E81B0" w14:textId="3FA9AC92" w:rsidR="00FC1C5F" w:rsidRDefault="00727E32">
      <w:pPr>
        <w:pStyle w:val="BodyTextNumbered"/>
      </w:pPr>
      <w:r>
        <w:t>(</w:t>
      </w:r>
      <w:r w:rsidR="004E5204">
        <w:t>4</w:t>
      </w:r>
      <w:r>
        <w:t>)</w:t>
      </w:r>
      <w:r>
        <w:tab/>
        <w:t>Within two Business Days of notice of a QSE’s intent to terminate representation of an LSE, ERCOT shall notify the LSE of the level of credit the LSE must provide, if it becomes an Emergency QSE, and the date by which it must post the required collateral.</w:t>
      </w:r>
    </w:p>
    <w:p w14:paraId="466232BA" w14:textId="77777777" w:rsidR="00FC1C5F" w:rsidRDefault="00727E32">
      <w:pPr>
        <w:pStyle w:val="H3"/>
      </w:pPr>
      <w:bookmarkStart w:id="123" w:name="_Toc71369182"/>
      <w:bookmarkStart w:id="124" w:name="_Toc71539398"/>
      <w:bookmarkStart w:id="125" w:name="_Toc390438922"/>
      <w:bookmarkStart w:id="126" w:name="_Toc405897619"/>
      <w:bookmarkStart w:id="127" w:name="_Toc415055723"/>
      <w:bookmarkStart w:id="128" w:name="_Toc415055849"/>
      <w:bookmarkStart w:id="129" w:name="_Toc415055948"/>
      <w:bookmarkStart w:id="130" w:name="_Toc415056049"/>
      <w:bookmarkStart w:id="131" w:name="_Toc148960825"/>
      <w:r>
        <w:t>16.2.4</w:t>
      </w:r>
      <w:r>
        <w:tab/>
        <w:t>Posting of Qualified Scheduling Entity List</w:t>
      </w:r>
      <w:bookmarkEnd w:id="123"/>
      <w:bookmarkEnd w:id="124"/>
      <w:bookmarkEnd w:id="125"/>
      <w:bookmarkEnd w:id="126"/>
      <w:bookmarkEnd w:id="127"/>
      <w:bookmarkEnd w:id="128"/>
      <w:bookmarkEnd w:id="129"/>
      <w:bookmarkEnd w:id="130"/>
      <w:bookmarkEnd w:id="131"/>
    </w:p>
    <w:p w14:paraId="4040D1BA" w14:textId="6F49DA02" w:rsidR="00FC1C5F" w:rsidRDefault="00853D39" w:rsidP="009F10FE">
      <w:pPr>
        <w:pStyle w:val="BodyText"/>
        <w:ind w:left="720" w:hanging="720"/>
      </w:pPr>
      <w:r>
        <w:t>(1)</w:t>
      </w:r>
      <w:r>
        <w:tab/>
      </w:r>
      <w:r w:rsidR="00727E32">
        <w:t xml:space="preserve">ERCOT shall post on the </w:t>
      </w:r>
      <w:r w:rsidR="00F13002">
        <w:t>ERCOT website</w:t>
      </w:r>
      <w:r w:rsidR="00727E32">
        <w:t xml:space="preserve"> and maintain a current list of all QSEs.  ERCOT shall include with that posting a cautionary statement that inclusion on that list does not necessarily mean that a QSE is entitled to provide any service to a third party, nor does it obligate a QSE to provide any service to a third party.</w:t>
      </w:r>
    </w:p>
    <w:p w14:paraId="11BAA357" w14:textId="47F640C0" w:rsidR="00FC1C5F" w:rsidRDefault="00727E32">
      <w:pPr>
        <w:pStyle w:val="H3"/>
        <w:spacing w:after="120"/>
      </w:pPr>
      <w:bookmarkStart w:id="132" w:name="_Toc71369183"/>
      <w:bookmarkStart w:id="133" w:name="_Toc71539399"/>
      <w:bookmarkStart w:id="134" w:name="_Toc390438923"/>
      <w:bookmarkStart w:id="135" w:name="_Toc405897620"/>
      <w:bookmarkStart w:id="136" w:name="_Toc415055724"/>
      <w:bookmarkStart w:id="137" w:name="_Toc415055850"/>
      <w:bookmarkStart w:id="138" w:name="_Toc415055949"/>
      <w:bookmarkStart w:id="139" w:name="_Toc415056050"/>
      <w:bookmarkStart w:id="140" w:name="_Toc148960826"/>
      <w:r>
        <w:t>16.2.5</w:t>
      </w:r>
      <w:r>
        <w:tab/>
        <w:t xml:space="preserve">Suspended </w:t>
      </w:r>
      <w:r w:rsidR="00296FC2">
        <w:t xml:space="preserve">or Terminated </w:t>
      </w:r>
      <w:r>
        <w:t>Qualified Scheduling Entity</w:t>
      </w:r>
      <w:bookmarkEnd w:id="132"/>
      <w:bookmarkEnd w:id="133"/>
      <w:r>
        <w:t xml:space="preserve"> – Notification to LSEs and Resource Entities Represented</w:t>
      </w:r>
      <w:bookmarkEnd w:id="134"/>
      <w:bookmarkEnd w:id="135"/>
      <w:bookmarkEnd w:id="136"/>
      <w:bookmarkEnd w:id="137"/>
      <w:bookmarkEnd w:id="138"/>
      <w:bookmarkEnd w:id="139"/>
      <w:bookmarkEnd w:id="140"/>
    </w:p>
    <w:p w14:paraId="4019011E" w14:textId="4ADC9AEC" w:rsidR="00FC1C5F" w:rsidRDefault="00727E32">
      <w:pPr>
        <w:pStyle w:val="BodyText"/>
        <w:ind w:left="720" w:hanging="720"/>
      </w:pPr>
      <w:r>
        <w:t>(1)</w:t>
      </w:r>
      <w:r>
        <w:tab/>
        <w:t xml:space="preserve">If ERCOT suspends </w:t>
      </w:r>
      <w:r w:rsidR="00296FC2">
        <w:t>a</w:t>
      </w:r>
      <w:r>
        <w:t xml:space="preserve"> QSE or terminates the </w:t>
      </w:r>
      <w:r w:rsidR="00296FC2">
        <w:t xml:space="preserve">QSE’s </w:t>
      </w:r>
      <w:r>
        <w:t>Standard Form Market Participant Agreement</w:t>
      </w:r>
      <w:r w:rsidR="00296FC2">
        <w:t xml:space="preserve"> for Default</w:t>
      </w:r>
      <w:r>
        <w:t xml:space="preserve">, ERCOT shall notify the affected LSEs and Resource Entities that the QSE has been suspended </w:t>
      </w:r>
      <w:r w:rsidR="00296FC2">
        <w:t xml:space="preserve">or terminated </w:t>
      </w:r>
      <w:r>
        <w:t>and the effective date of such suspension</w:t>
      </w:r>
      <w:r w:rsidR="00296FC2">
        <w:t xml:space="preserve"> or termination</w:t>
      </w:r>
      <w:r>
        <w:t xml:space="preserve">.  </w:t>
      </w:r>
    </w:p>
    <w:p w14:paraId="1A4CC4CD" w14:textId="2D928B44" w:rsidR="00FC1C5F" w:rsidRDefault="00727E32">
      <w:pPr>
        <w:pStyle w:val="BodyText"/>
        <w:ind w:left="720" w:hanging="720"/>
      </w:pPr>
      <w:r>
        <w:t>(2)</w:t>
      </w:r>
      <w:r>
        <w:tab/>
        <w:t xml:space="preserve">If an LSE or Resource Entity represented by </w:t>
      </w:r>
      <w:r w:rsidR="00296FC2">
        <w:t>a terminated</w:t>
      </w:r>
      <w:r>
        <w:t xml:space="preserve"> or suspended QSE is the same Entity as the </w:t>
      </w:r>
      <w:r w:rsidR="00296FC2">
        <w:t>terminated</w:t>
      </w:r>
      <w:r>
        <w:t xml:space="preserve"> or suspended QSE, the provisions of Section 16.11.6.1.6, Revocation of a Market Participant’s Rights and Termination of Agreements, shall apply to that LSE or Resource Entity, and that LSE or Resource Entity shall not be entitled to become an Emergency QSE.</w:t>
      </w:r>
    </w:p>
    <w:p w14:paraId="0E26AB57" w14:textId="77777777" w:rsidR="00FC1C5F" w:rsidRDefault="00727E32">
      <w:pPr>
        <w:pStyle w:val="H3"/>
        <w:spacing w:after="120"/>
      </w:pPr>
      <w:bookmarkStart w:id="141" w:name="_Toc71369184"/>
      <w:bookmarkStart w:id="142" w:name="_Toc71539400"/>
      <w:bookmarkStart w:id="143" w:name="_Toc390438924"/>
      <w:bookmarkStart w:id="144" w:name="_Toc405897621"/>
      <w:bookmarkStart w:id="145" w:name="_Toc415055725"/>
      <w:bookmarkStart w:id="146" w:name="_Toc415055851"/>
      <w:bookmarkStart w:id="147" w:name="_Toc415055950"/>
      <w:bookmarkStart w:id="148" w:name="_Toc415056051"/>
      <w:bookmarkStart w:id="149" w:name="_Toc148960827"/>
      <w:r>
        <w:lastRenderedPageBreak/>
        <w:t>16.2.6</w:t>
      </w:r>
      <w:r>
        <w:tab/>
        <w:t>Emergency Qualified Scheduling Entity</w:t>
      </w:r>
      <w:bookmarkEnd w:id="141"/>
      <w:bookmarkEnd w:id="142"/>
      <w:bookmarkEnd w:id="143"/>
      <w:bookmarkEnd w:id="144"/>
      <w:bookmarkEnd w:id="145"/>
      <w:bookmarkEnd w:id="146"/>
      <w:bookmarkEnd w:id="147"/>
      <w:bookmarkEnd w:id="148"/>
      <w:bookmarkEnd w:id="149"/>
    </w:p>
    <w:p w14:paraId="7C87EB4A" w14:textId="77777777" w:rsidR="00FC1C5F" w:rsidRPr="00D63F95" w:rsidRDefault="00727E32">
      <w:pPr>
        <w:pStyle w:val="H4"/>
        <w:spacing w:after="120"/>
        <w:rPr>
          <w:b/>
        </w:rPr>
      </w:pPr>
      <w:bookmarkStart w:id="150" w:name="_Toc390438925"/>
      <w:bookmarkStart w:id="151" w:name="_Toc405897622"/>
      <w:bookmarkStart w:id="152" w:name="_Toc415055726"/>
      <w:bookmarkStart w:id="153" w:name="_Toc415055852"/>
      <w:bookmarkStart w:id="154" w:name="_Toc415055951"/>
      <w:bookmarkStart w:id="155" w:name="_Toc415056052"/>
      <w:bookmarkStart w:id="156" w:name="_Toc148960828"/>
      <w:r w:rsidRPr="00D63F95">
        <w:rPr>
          <w:b/>
        </w:rPr>
        <w:t>16.2.6.1</w:t>
      </w:r>
      <w:r w:rsidRPr="00D63F95">
        <w:rPr>
          <w:b/>
        </w:rPr>
        <w:tab/>
        <w:t>Designation as an Emergency Qualified Scheduling Entity or Virtual Qualified Scheduling Entity</w:t>
      </w:r>
      <w:bookmarkEnd w:id="150"/>
      <w:bookmarkEnd w:id="151"/>
      <w:bookmarkEnd w:id="152"/>
      <w:bookmarkEnd w:id="153"/>
      <w:bookmarkEnd w:id="154"/>
      <w:bookmarkEnd w:id="155"/>
      <w:bookmarkEnd w:id="156"/>
    </w:p>
    <w:p w14:paraId="055A690D" w14:textId="0B59EECB" w:rsidR="00FC1C5F" w:rsidRDefault="00727E32">
      <w:pPr>
        <w:pStyle w:val="BodyText"/>
        <w:ind w:left="720" w:hanging="720"/>
      </w:pPr>
      <w:r>
        <w:t>(1)</w:t>
      </w:r>
      <w:r>
        <w:tab/>
        <w:t xml:space="preserve">A “Virtual QSE” is defined as an LSE or Resource Entity </w:t>
      </w:r>
      <w:r w:rsidR="00296FC2">
        <w:t>that has not qualified and been designated as an Emergency QSE, but has been designated by ERCOT to temporarily perform the responsibilities of a QSE</w:t>
      </w:r>
      <w:r>
        <w:t xml:space="preserve">. </w:t>
      </w:r>
    </w:p>
    <w:p w14:paraId="787CD23D" w14:textId="4013116A" w:rsidR="00FC1C5F" w:rsidRDefault="00727E32">
      <w:pPr>
        <w:pStyle w:val="BodyText"/>
        <w:ind w:left="720" w:hanging="720"/>
      </w:pPr>
      <w:r>
        <w:t>(2)</w:t>
      </w:r>
      <w:r>
        <w:tab/>
        <w:t>If a QSE has given Notice of its intent to terminate its relationship with an LSE or Resource Entity, that LSE or Resource Entity, must, by noon on the fourth Business Day after the termination notice date, either</w:t>
      </w:r>
      <w:r w:rsidR="00296FC2">
        <w:t>:</w:t>
      </w:r>
    </w:p>
    <w:p w14:paraId="679A690A" w14:textId="77777777" w:rsidR="00FC1C5F" w:rsidRDefault="00727E32">
      <w:pPr>
        <w:pStyle w:val="BodyTextNumbered"/>
        <w:ind w:left="1440"/>
      </w:pPr>
      <w:r>
        <w:t xml:space="preserve">(a) </w:t>
      </w:r>
      <w:r>
        <w:tab/>
        <w:t>Designate a new QSE with such relationship to take effect on the Termination Date, or earlier if allowed by ERCOT; or</w:t>
      </w:r>
    </w:p>
    <w:p w14:paraId="29BCA0A4" w14:textId="0A803EA3" w:rsidR="00FC1C5F" w:rsidRDefault="00727E32">
      <w:pPr>
        <w:pStyle w:val="BodyTextNumbered"/>
        <w:ind w:left="1440"/>
      </w:pPr>
      <w:r>
        <w:t xml:space="preserve">(b) </w:t>
      </w:r>
      <w:r>
        <w:tab/>
        <w:t>Satisfy all necessary creditworthiness requirements for QSEs as described in Section 16.2, Registration and Qualification of Qualified Scheduling Entities</w:t>
      </w:r>
      <w:r w:rsidR="00296FC2">
        <w:t>, and operate as an Emergency QSE as described below</w:t>
      </w:r>
      <w:r>
        <w:t xml:space="preserve">.  </w:t>
      </w:r>
    </w:p>
    <w:p w14:paraId="446B7EA8" w14:textId="29422152" w:rsidR="00FC1C5F" w:rsidRDefault="00727E32">
      <w:pPr>
        <w:pStyle w:val="List2"/>
        <w:ind w:left="720"/>
      </w:pPr>
      <w:r>
        <w:t>(3)</w:t>
      </w:r>
      <w:r>
        <w:tab/>
        <w:t xml:space="preserve">If ERCOT has given Notice of an LSE’s or Resource Entity’s QSE’s </w:t>
      </w:r>
      <w:r w:rsidR="00296FC2">
        <w:t xml:space="preserve">termination or </w:t>
      </w:r>
      <w:r>
        <w:t>suspension, that LSE or Resource Entity will be designated as a Virtual QSE for up to two Bank Business Days, during which time it must either</w:t>
      </w:r>
      <w:r w:rsidR="00296FC2">
        <w:t>:</w:t>
      </w:r>
      <w:r>
        <w:t xml:space="preserve"> </w:t>
      </w:r>
    </w:p>
    <w:p w14:paraId="6AE6CD05" w14:textId="77777777" w:rsidR="00FC1C5F" w:rsidRDefault="00727E32">
      <w:pPr>
        <w:pStyle w:val="List2"/>
        <w:ind w:left="0" w:firstLine="0"/>
      </w:pPr>
      <w:r>
        <w:tab/>
        <w:t xml:space="preserve">(a) </w:t>
      </w:r>
      <w:r>
        <w:tab/>
        <w:t>Designate and begin operations with a new QSE; or</w:t>
      </w:r>
    </w:p>
    <w:p w14:paraId="3354186D" w14:textId="767712F9" w:rsidR="00FC1C5F" w:rsidRDefault="00727E32">
      <w:pPr>
        <w:pStyle w:val="BodyTextNumbered"/>
        <w:ind w:left="1440"/>
      </w:pPr>
      <w:r>
        <w:t xml:space="preserve">(b) </w:t>
      </w:r>
      <w:r>
        <w:tab/>
        <w:t>Satisfy all necessary creditworthiness requirements for QSEs as described in Section 16.2, and operate as an Emergency QSE as described below.</w:t>
      </w:r>
      <w:r w:rsidR="00296FC2" w:rsidRPr="00296FC2">
        <w:t xml:space="preserve"> </w:t>
      </w:r>
      <w:r w:rsidR="00296FC2">
        <w:t xml:space="preserve"> As provided in paragraph (2) of Section 16.2.5, Suspended or Terminated</w:t>
      </w:r>
      <w:r w:rsidR="00296FC2" w:rsidRPr="00220D12">
        <w:t xml:space="preserve"> Qualified Scheduling Entity – Notification to LSEs and Resource Entities Represented</w:t>
      </w:r>
      <w:r w:rsidR="00296FC2">
        <w:t>, this option does not apply to an LSE or Resource Entity represented by a terminated or suspended QSE that is the same Entity as the terminated or suspended QSE.</w:t>
      </w:r>
    </w:p>
    <w:p w14:paraId="3C39DEBF" w14:textId="05AC6A83" w:rsidR="00FC1C5F" w:rsidRDefault="00727E32">
      <w:pPr>
        <w:pStyle w:val="BodyTextNumbered"/>
      </w:pPr>
      <w:r>
        <w:t>(4)</w:t>
      </w:r>
      <w:r>
        <w:tab/>
        <w:t xml:space="preserve">If an LSE or Resource Entity meets the creditworthiness requirements, the LSE or Resource Entity may be designated as an Emergency QSE </w:t>
      </w:r>
      <w:r w:rsidR="00296FC2">
        <w:t xml:space="preserve">except as provided in paragraph (2) of Section 16.2.5 </w:t>
      </w:r>
      <w:r>
        <w:t xml:space="preserve">and may, upon the Termination Date, be issued </w:t>
      </w:r>
      <w:r w:rsidR="00296FC2">
        <w:t>D</w:t>
      </w:r>
      <w:r>
        <w:t xml:space="preserve">igital </w:t>
      </w:r>
      <w:r w:rsidR="00296FC2">
        <w:t>C</w:t>
      </w:r>
      <w:r>
        <w:t xml:space="preserve">ertificates and given access to the </w:t>
      </w:r>
      <w:r w:rsidR="00F13002">
        <w:t>Market Information System (</w:t>
      </w:r>
      <w:r>
        <w:t>MIS</w:t>
      </w:r>
      <w:r w:rsidR="00F13002">
        <w:t>)</w:t>
      </w:r>
      <w:r>
        <w:t xml:space="preserve"> as determined by ERCOT.</w:t>
      </w:r>
    </w:p>
    <w:p w14:paraId="1323145D" w14:textId="376650D4" w:rsidR="00FC1C5F" w:rsidRDefault="00727E32" w:rsidP="00FC1E00">
      <w:pPr>
        <w:pStyle w:val="BodyTextNumbered"/>
      </w:pPr>
      <w:r>
        <w:t>(5)</w:t>
      </w:r>
      <w:r>
        <w:tab/>
        <w:t xml:space="preserve">If the LSE fails to meet the requirements of one of the above options in the timeframe set forth above, </w:t>
      </w:r>
      <w:r w:rsidR="00296FC2">
        <w:t xml:space="preserve">it shall constitute a QSE Affiliation Breach under the LSE’s Standard Form Market Participant Agreement.  If the LSE fails to cure the QSE Affiliation Breach within the cure period set forth in the Standard Form Market Participant Agreement, and the LSE serves Load, </w:t>
      </w:r>
      <w:r>
        <w:t xml:space="preserve">ERCOT shall, after notice </w:t>
      </w:r>
      <w:r w:rsidR="00562B70">
        <w:t>as specified in Retail Market Guide Section 7.11, Transition Process</w:t>
      </w:r>
      <w:r>
        <w:t>, initiate</w:t>
      </w:r>
      <w:r w:rsidR="00CD1D2D">
        <w:t xml:space="preserve"> a Mass Transition of the LSE’s Electronic Service Identifiers (</w:t>
      </w:r>
      <w:r>
        <w:t>ESI IDs</w:t>
      </w:r>
      <w:r w:rsidR="00CD1D2D">
        <w:t>)</w:t>
      </w:r>
      <w:r>
        <w:t xml:space="preserve"> pursuant to Section 15.1.</w:t>
      </w:r>
      <w:r w:rsidR="00FC1E00">
        <w:t>3</w:t>
      </w:r>
      <w:r>
        <w:t xml:space="preserve">, </w:t>
      </w:r>
      <w:r w:rsidR="00CD1D2D">
        <w:t>Transition Process</w:t>
      </w:r>
      <w:r>
        <w:t>.</w:t>
      </w:r>
    </w:p>
    <w:p w14:paraId="43D0F87F" w14:textId="22F90D4F" w:rsidR="00FC1C5F" w:rsidRDefault="00727E32">
      <w:pPr>
        <w:pStyle w:val="BodyTextNumbered"/>
      </w:pPr>
      <w:r>
        <w:lastRenderedPageBreak/>
        <w:t>(6)</w:t>
      </w:r>
      <w:r>
        <w:tab/>
        <w:t>If a Resource Entity fails to meet the requirements of one of the options set forth in paragraph (</w:t>
      </w:r>
      <w:r w:rsidR="00296FC2">
        <w:t>2</w:t>
      </w:r>
      <w:r>
        <w:t>) or (</w:t>
      </w:r>
      <w:r w:rsidR="00296FC2">
        <w:t>3</w:t>
      </w:r>
      <w:r>
        <w:t xml:space="preserve">) above within the requisite timeframe, </w:t>
      </w:r>
      <w:r w:rsidR="00296FC2">
        <w:t xml:space="preserve">it shall constitute a QSE Affiliation Breach under the Resource Entity’s Standard Form Market Participant Agreement, provided that </w:t>
      </w:r>
      <w:r>
        <w:t>ERCOT may allow the Resource Entity additional time, as determined by ERCOT staff, to meet the requirements.</w:t>
      </w:r>
    </w:p>
    <w:p w14:paraId="42D9E944" w14:textId="234F70F7" w:rsidR="00FC1C5F" w:rsidRDefault="00727E32">
      <w:pPr>
        <w:pStyle w:val="BodyTextNumbered"/>
      </w:pPr>
      <w:r>
        <w:t>(7)</w:t>
      </w:r>
      <w:r>
        <w:tab/>
        <w:t xml:space="preserve">For any Operating Day in which an LSE or Resource Entity is not either represented by a QSE or qualified as an Emergency QSE, ERCOT may designate the LSE or Resource Entity as a Virtual QSE. </w:t>
      </w:r>
      <w:r w:rsidR="00826ED4">
        <w:t xml:space="preserve"> </w:t>
      </w:r>
      <w:r>
        <w:t xml:space="preserve">ERCOT may issue </w:t>
      </w:r>
      <w:r w:rsidR="00296FC2">
        <w:t>D</w:t>
      </w:r>
      <w:r>
        <w:t xml:space="preserve">igital </w:t>
      </w:r>
      <w:r w:rsidR="00296FC2">
        <w:t>C</w:t>
      </w:r>
      <w:r>
        <w:t xml:space="preserve">ertificates to the Virtual QSE for access to the capabilities of the MIS.  A Virtual QSE shall be liable for </w:t>
      </w:r>
      <w:proofErr w:type="gramStart"/>
      <w:r>
        <w:t>any and all</w:t>
      </w:r>
      <w:proofErr w:type="gramEnd"/>
      <w:r>
        <w:t xml:space="preserve"> charges associated with Initial, Final and True-Up Settlements as well as any Resettlements applying to dates during which the Virtual QSE represented ESI IDs or otherwise incurred charges pursuant to these Protocols, along with any and all costs incurred by ERCOT in collecting such amounts.</w:t>
      </w:r>
    </w:p>
    <w:p w14:paraId="3CD6BA55" w14:textId="7F3D5F88" w:rsidR="00FC1C5F" w:rsidRDefault="00727E32">
      <w:pPr>
        <w:pStyle w:val="BodyTextNumbered"/>
      </w:pPr>
      <w:r>
        <w:t>(8)</w:t>
      </w:r>
      <w:r>
        <w:tab/>
        <w:t xml:space="preserve">ERCOT shall maintain a referral list of qualified QSEs on the </w:t>
      </w:r>
      <w:r w:rsidR="00F13002">
        <w:t>ERCOT website</w:t>
      </w:r>
      <w:r>
        <w:t xml:space="preserve"> who request to be listed as providing QSE services on short notice. </w:t>
      </w:r>
      <w:r w:rsidR="00296FC2">
        <w:t xml:space="preserve"> </w:t>
      </w:r>
      <w:r>
        <w:t xml:space="preserve">The list shall include the QSE’s name, contact information and whether they are qualified to represent Load and/or Resources and/or provide Ancillary Services. </w:t>
      </w:r>
      <w:r w:rsidR="00296FC2">
        <w:t xml:space="preserve"> </w:t>
      </w:r>
      <w:r>
        <w:t>ERCOT shall not be obligated to verify the abilities of any QSE so listed.  ERCOT shall require all QSEs listed to confirm their inclusion on the referral list no later than the start of each calendar year.</w:t>
      </w:r>
    </w:p>
    <w:p w14:paraId="14B7268C" w14:textId="77777777" w:rsidR="00FC1C5F" w:rsidRPr="00D63F95" w:rsidRDefault="00727E32">
      <w:pPr>
        <w:pStyle w:val="H4"/>
        <w:rPr>
          <w:b/>
        </w:rPr>
      </w:pPr>
      <w:bookmarkStart w:id="157" w:name="_Toc390438926"/>
      <w:bookmarkStart w:id="158" w:name="_Toc405897623"/>
      <w:bookmarkStart w:id="159" w:name="_Toc415055727"/>
      <w:bookmarkStart w:id="160" w:name="_Toc415055853"/>
      <w:bookmarkStart w:id="161" w:name="_Toc415055952"/>
      <w:bookmarkStart w:id="162" w:name="_Toc415056053"/>
      <w:bookmarkStart w:id="163" w:name="_Toc148960829"/>
      <w:r w:rsidRPr="00D63F95">
        <w:rPr>
          <w:b/>
        </w:rPr>
        <w:t>16.2.6.2</w:t>
      </w:r>
      <w:r w:rsidRPr="00D63F95">
        <w:rPr>
          <w:b/>
        </w:rPr>
        <w:tab/>
        <w:t>Market Participation by an Emergency Qualified Scheduling Entity or a Virtual Qualified Scheduling Entity</w:t>
      </w:r>
      <w:bookmarkEnd w:id="157"/>
      <w:bookmarkEnd w:id="158"/>
      <w:bookmarkEnd w:id="159"/>
      <w:bookmarkEnd w:id="160"/>
      <w:bookmarkEnd w:id="161"/>
      <w:bookmarkEnd w:id="162"/>
      <w:bookmarkEnd w:id="163"/>
    </w:p>
    <w:p w14:paraId="7221E977" w14:textId="77777777" w:rsidR="00296FC2" w:rsidRDefault="00727E32">
      <w:pPr>
        <w:pStyle w:val="BodyTextNumbered"/>
      </w:pPr>
      <w:r>
        <w:t>(1)</w:t>
      </w:r>
      <w:r>
        <w:tab/>
        <w:t>An Emergency QSE or a Virtual QSE may only represent itself</w:t>
      </w:r>
      <w:r w:rsidR="00296FC2">
        <w:t>; it may not represent another legal Entity.</w:t>
      </w:r>
      <w:r>
        <w:t xml:space="preserve"> </w:t>
      </w:r>
    </w:p>
    <w:p w14:paraId="514E9044" w14:textId="39AD6A81" w:rsidR="00FC1C5F" w:rsidRDefault="00296FC2">
      <w:pPr>
        <w:pStyle w:val="BodyTextNumbered"/>
      </w:pPr>
      <w:r>
        <w:t>(2)</w:t>
      </w:r>
      <w:r>
        <w:tab/>
        <w:t>An Emergency QSE or a Virtual QSE that is also an LSE</w:t>
      </w:r>
      <w:r w:rsidR="00727E32">
        <w:t xml:space="preserve"> may only submit</w:t>
      </w:r>
      <w:r w:rsidRPr="00296FC2">
        <w:t xml:space="preserve"> </w:t>
      </w:r>
      <w:r>
        <w:t>the following transactions, and may do so only to the extent that the transactions are intended to serve the Load of the Emergency QSE’s or Virtual QSE’s Customers</w:t>
      </w:r>
      <w:r w:rsidR="00727E32">
        <w:t xml:space="preserve">: </w:t>
      </w:r>
    </w:p>
    <w:p w14:paraId="4E015E83" w14:textId="77777777" w:rsidR="00FC1C5F" w:rsidRDefault="00727E32">
      <w:pPr>
        <w:pStyle w:val="List"/>
      </w:pPr>
      <w:r>
        <w:t>(a)</w:t>
      </w:r>
      <w:r>
        <w:tab/>
        <w:t>Energy Trades in which the Emergency QSE or the Virtual QSE is the buyer;</w:t>
      </w:r>
    </w:p>
    <w:p w14:paraId="2593B151" w14:textId="77777777" w:rsidR="00FC1C5F" w:rsidRDefault="00727E32">
      <w:pPr>
        <w:pStyle w:val="List"/>
      </w:pPr>
      <w:r>
        <w:t>(b)</w:t>
      </w:r>
      <w:r>
        <w:tab/>
        <w:t>Capacity Trades in which the Emergency QSE or the Virtual QSE is the buyer;</w:t>
      </w:r>
    </w:p>
    <w:p w14:paraId="2E062F38" w14:textId="77777777" w:rsidR="00FC1C5F" w:rsidRDefault="00727E32">
      <w:pPr>
        <w:pStyle w:val="List"/>
      </w:pPr>
      <w:r>
        <w:t>(c)</w:t>
      </w:r>
      <w:r>
        <w:tab/>
        <w:t>Ancillary Service Trades in which the Emergency QSE or the Virtual QSE is the buyer; and</w:t>
      </w:r>
    </w:p>
    <w:p w14:paraId="3E4E3310" w14:textId="21D1E9AE" w:rsidR="00FC1C5F" w:rsidRDefault="00727E32" w:rsidP="00520F89">
      <w:pPr>
        <w:pStyle w:val="List"/>
        <w:ind w:left="0" w:firstLine="720"/>
      </w:pPr>
      <w:r>
        <w:t>(</w:t>
      </w:r>
      <w:r w:rsidR="00296FC2">
        <w:t>d</w:t>
      </w:r>
      <w:r>
        <w:t>)</w:t>
      </w:r>
      <w:r>
        <w:tab/>
        <w:t xml:space="preserve">DAM Energy Bids. </w:t>
      </w:r>
    </w:p>
    <w:p w14:paraId="5909BDBC" w14:textId="1634B85F" w:rsidR="00FC1C5F" w:rsidRDefault="00727E32">
      <w:pPr>
        <w:pStyle w:val="BodyTextNumbered"/>
      </w:pPr>
      <w:r>
        <w:t>(3)</w:t>
      </w:r>
      <w:r>
        <w:tab/>
        <w:t xml:space="preserve">An Emergency QSE or a Virtual QSE </w:t>
      </w:r>
      <w:r w:rsidR="00296FC2">
        <w:t>that is also</w:t>
      </w:r>
      <w:r>
        <w:t xml:space="preserve"> a Resource Entity may </w:t>
      </w:r>
      <w:r w:rsidR="00296FC2">
        <w:t xml:space="preserve">only </w:t>
      </w:r>
      <w:r>
        <w:t xml:space="preserve">submit transactions </w:t>
      </w:r>
      <w:r w:rsidR="00296FC2">
        <w:t>that</w:t>
      </w:r>
      <w:r>
        <w:t xml:space="preserve"> are </w:t>
      </w:r>
      <w:r w:rsidR="00296FC2">
        <w:t xml:space="preserve">directly attributable to and </w:t>
      </w:r>
      <w:r>
        <w:t>wholly provided by the Resource Entity’s Resource(s).</w:t>
      </w:r>
    </w:p>
    <w:p w14:paraId="65C0B5BA" w14:textId="77777777" w:rsidR="00FC1C5F" w:rsidRPr="00D63F95" w:rsidRDefault="00727E32">
      <w:pPr>
        <w:pStyle w:val="H4"/>
        <w:rPr>
          <w:b/>
        </w:rPr>
      </w:pPr>
      <w:bookmarkStart w:id="164" w:name="_Toc390438927"/>
      <w:bookmarkStart w:id="165" w:name="_Toc405897624"/>
      <w:bookmarkStart w:id="166" w:name="_Toc415055728"/>
      <w:bookmarkStart w:id="167" w:name="_Toc415055854"/>
      <w:bookmarkStart w:id="168" w:name="_Toc415055953"/>
      <w:bookmarkStart w:id="169" w:name="_Toc415056054"/>
      <w:bookmarkStart w:id="170" w:name="_Toc148960830"/>
      <w:r w:rsidRPr="00D63F95">
        <w:rPr>
          <w:b/>
        </w:rPr>
        <w:t>16.2.6.3</w:t>
      </w:r>
      <w:r w:rsidRPr="00D63F95">
        <w:rPr>
          <w:b/>
        </w:rPr>
        <w:tab/>
        <w:t xml:space="preserve">Requirement to Obtain New Qualified Scheduling Entity or Qualified </w:t>
      </w:r>
      <w:r w:rsidRPr="00D63F95">
        <w:rPr>
          <w:b/>
        </w:rPr>
        <w:lastRenderedPageBreak/>
        <w:t>Scheduling Entity Qualification</w:t>
      </w:r>
      <w:bookmarkEnd w:id="164"/>
      <w:bookmarkEnd w:id="165"/>
      <w:bookmarkEnd w:id="166"/>
      <w:bookmarkEnd w:id="167"/>
      <w:bookmarkEnd w:id="168"/>
      <w:bookmarkEnd w:id="169"/>
      <w:bookmarkEnd w:id="170"/>
    </w:p>
    <w:p w14:paraId="2D089802" w14:textId="77777777" w:rsidR="00FC1C5F" w:rsidRDefault="00727E32">
      <w:pPr>
        <w:pStyle w:val="BodyText"/>
        <w:ind w:left="720" w:hanging="720"/>
      </w:pPr>
      <w:r>
        <w:t>(1)</w:t>
      </w:r>
      <w:r>
        <w:tab/>
        <w:t xml:space="preserve">Within seven Business Days after receiving designation as an Emergency QSE, an Emergency QSE must either: </w:t>
      </w:r>
    </w:p>
    <w:p w14:paraId="3DBC4CBC" w14:textId="77777777" w:rsidR="00FC1C5F" w:rsidRDefault="00727E32">
      <w:pPr>
        <w:pStyle w:val="BodyText"/>
        <w:ind w:left="1440" w:hanging="720"/>
      </w:pPr>
      <w:r>
        <w:t>(a)</w:t>
      </w:r>
      <w:r>
        <w:tab/>
        <w:t>Designate a QSE that will represent the LSE or Resource Entity to ERCOT</w:t>
      </w:r>
      <w:r w:rsidR="00CD1D2D">
        <w:t>;</w:t>
      </w:r>
      <w:r>
        <w:t xml:space="preserve"> or </w:t>
      </w:r>
    </w:p>
    <w:p w14:paraId="7BD89120" w14:textId="77777777" w:rsidR="00FC1C5F" w:rsidRDefault="00727E32">
      <w:pPr>
        <w:pStyle w:val="BodyText"/>
        <w:ind w:left="1440" w:hanging="720"/>
      </w:pPr>
      <w:r>
        <w:t>(b)</w:t>
      </w:r>
      <w:r>
        <w:tab/>
        <w:t xml:space="preserve">Fulfill all QSE registration and qualification requirements.  After completing the requirements in item (b), ERCOT may redesignate the Emergency QSE as a QSE.  </w:t>
      </w:r>
    </w:p>
    <w:p w14:paraId="3E4467BE" w14:textId="77777777" w:rsidR="00FC1C5F" w:rsidRDefault="00727E32">
      <w:pPr>
        <w:pStyle w:val="BodyText"/>
        <w:ind w:left="720" w:hanging="720"/>
      </w:pPr>
      <w:r>
        <w:t>(2)</w:t>
      </w:r>
      <w:r>
        <w:tab/>
        <w:t xml:space="preserve">If an Emergency QSE that is an LSE fails to meet at least one of the requirements listed above within the allotted time, then ERCOT shall, after notice </w:t>
      </w:r>
      <w:r w:rsidR="00562B70">
        <w:t>as specified in Retail Market Guide Section 7.11</w:t>
      </w:r>
      <w:r w:rsidR="00CD1D2D">
        <w:t>, Transition Process</w:t>
      </w:r>
      <w:r>
        <w:t>, initiate a Mass Transition of the LSE’s ESI IDs pursuant to Section 15.1.</w:t>
      </w:r>
      <w:r w:rsidR="00FC1E00">
        <w:t>3</w:t>
      </w:r>
      <w:r>
        <w:t xml:space="preserve">, </w:t>
      </w:r>
      <w:r w:rsidR="00CD1D2D">
        <w:t>Transition Process</w:t>
      </w:r>
      <w:r>
        <w:t>.  If an Emergency QSE that is a Resource Entity fails to meet at least one of the requirements listed above within the allotted time, ERCOT may allow the Resource Entity additional time, as determined by ERCOT staff, to meet the requirements.</w:t>
      </w:r>
      <w:r>
        <w:rPr>
          <w:i/>
        </w:rPr>
        <w:t xml:space="preserve"> </w:t>
      </w:r>
    </w:p>
    <w:p w14:paraId="614CCC3F" w14:textId="77777777" w:rsidR="00FC1C5F" w:rsidRDefault="00727E32">
      <w:pPr>
        <w:pStyle w:val="Heading3"/>
        <w:numPr>
          <w:ilvl w:val="0"/>
          <w:numId w:val="0"/>
        </w:numPr>
      </w:pPr>
      <w:bookmarkStart w:id="171" w:name="_Toc390438928"/>
      <w:bookmarkStart w:id="172" w:name="_Toc405897625"/>
      <w:bookmarkStart w:id="173" w:name="_Toc415055729"/>
      <w:bookmarkStart w:id="174" w:name="_Toc415055855"/>
      <w:bookmarkStart w:id="175" w:name="_Toc415055954"/>
      <w:bookmarkStart w:id="176" w:name="_Toc415056055"/>
      <w:bookmarkStart w:id="177" w:name="_Toc148960831"/>
      <w:bookmarkStart w:id="178" w:name="_Toc71369185"/>
      <w:bookmarkStart w:id="179" w:name="_Toc71539401"/>
      <w:r>
        <w:t>16.2.7</w:t>
      </w:r>
      <w:r>
        <w:tab/>
        <w:t>Acceleration</w:t>
      </w:r>
      <w:bookmarkEnd w:id="171"/>
      <w:bookmarkEnd w:id="172"/>
      <w:bookmarkEnd w:id="173"/>
      <w:bookmarkEnd w:id="174"/>
      <w:bookmarkEnd w:id="175"/>
      <w:bookmarkEnd w:id="176"/>
      <w:bookmarkEnd w:id="177"/>
    </w:p>
    <w:p w14:paraId="5A448020" w14:textId="77777777" w:rsidR="00FC1C5F" w:rsidRDefault="00853D39" w:rsidP="009F10FE">
      <w:pPr>
        <w:pStyle w:val="BodyText"/>
        <w:ind w:left="720" w:hanging="720"/>
      </w:pPr>
      <w:r>
        <w:t>(1)</w:t>
      </w:r>
      <w:r>
        <w:tab/>
      </w:r>
      <w:r w:rsidR="00727E32">
        <w:t>Upon termination of a QSE’s rights as a QSE and the Standard Form Market Participant Agreement or any other Agreement(s) between ERCOT and the QSE, all sums owed to ERCOT are immediately accelerated and are immediately due and owing in full.  At that time, ERCOT may immediately draw upon any security or other collateral pledged to ERCOT and may offset or recoup all amounts due to ERCOT to satisfy those due and owing amounts.</w:t>
      </w:r>
    </w:p>
    <w:p w14:paraId="10F43367" w14:textId="77777777" w:rsidR="00FC1C5F" w:rsidRDefault="00727E32">
      <w:pPr>
        <w:pStyle w:val="H2"/>
      </w:pPr>
      <w:bookmarkStart w:id="180" w:name="_Toc390438929"/>
      <w:bookmarkStart w:id="181" w:name="_Toc405897626"/>
      <w:bookmarkStart w:id="182" w:name="_Toc415055730"/>
      <w:bookmarkStart w:id="183" w:name="_Toc415055856"/>
      <w:bookmarkStart w:id="184" w:name="_Toc415055955"/>
      <w:bookmarkStart w:id="185" w:name="_Toc415056056"/>
      <w:bookmarkStart w:id="186" w:name="_Toc148960832"/>
      <w:r>
        <w:t>16.3</w:t>
      </w:r>
      <w:r>
        <w:tab/>
        <w:t>Registration of Load Serving Entities</w:t>
      </w:r>
      <w:bookmarkEnd w:id="178"/>
      <w:bookmarkEnd w:id="179"/>
      <w:bookmarkEnd w:id="180"/>
      <w:bookmarkEnd w:id="181"/>
      <w:bookmarkEnd w:id="182"/>
      <w:bookmarkEnd w:id="183"/>
      <w:bookmarkEnd w:id="184"/>
      <w:bookmarkEnd w:id="185"/>
      <w:bookmarkEnd w:id="186"/>
    </w:p>
    <w:p w14:paraId="0364BFDA" w14:textId="77777777" w:rsidR="00FC1C5F" w:rsidRDefault="00727E32">
      <w:pPr>
        <w:pStyle w:val="BodyTextNumbered"/>
      </w:pPr>
      <w:r>
        <w:t>(1)</w:t>
      </w:r>
      <w:r>
        <w:tab/>
        <w:t>Load Serving Entities (LSEs) provide electric service to Customers and Wholesale Customers.  LSEs include Non-Opt</w:t>
      </w:r>
      <w:r w:rsidR="00C0339E">
        <w:t>-</w:t>
      </w:r>
      <w:r>
        <w:t>In Entities (NOIEs) that serve Load</w:t>
      </w:r>
      <w:r w:rsidR="008932A4">
        <w:t xml:space="preserve">, </w:t>
      </w:r>
      <w:r>
        <w:t>Competitive Retailers (CRs) (which includes Retail Electric Providers (REPs))</w:t>
      </w:r>
      <w:r w:rsidR="008932A4">
        <w:t>, and External Load Serving Entities (ELSEs)</w:t>
      </w:r>
      <w:r>
        <w:t>.  Each LSE must register with ERCOT.  To become registered as an LSE, an Entity must execute a Standard Form Market Participant Agreement (using the form in Section 22</w:t>
      </w:r>
      <w:r w:rsidR="007349BB">
        <w:t>, Attachment A, Standard Form Market Participant Agreement</w:t>
      </w:r>
      <w:r>
        <w:t>), designate LSE Authorized Representatives, contacts, and a User Security Administrator</w:t>
      </w:r>
      <w:r w:rsidR="007349BB">
        <w:t xml:space="preserve"> (USA)</w:t>
      </w:r>
      <w:r>
        <w:t xml:space="preserve"> (per </w:t>
      </w:r>
      <w:r w:rsidR="00B35DA1" w:rsidRPr="00B35DA1">
        <w:t>Section 23, Form B, Load Serving Entity (LSE) Application for Registration</w:t>
      </w:r>
      <w:r>
        <w:t xml:space="preserve">), and demonstrate to ERCOT’s reasonable satisfaction that it is capable of performing the functions of an LSE under these Protocols.   Additionally, a </w:t>
      </w:r>
      <w:smartTag w:uri="urn:schemas-microsoft-com:office:smarttags" w:element="stockticker">
        <w:r>
          <w:t>REP</w:t>
        </w:r>
      </w:smartTag>
      <w:r>
        <w:t xml:space="preserve"> must demonstrate certification by </w:t>
      </w:r>
      <w:r>
        <w:rPr>
          <w:smallCaps/>
          <w:szCs w:val="24"/>
        </w:rPr>
        <w:t>P.U.C. Subst. R</w:t>
      </w:r>
      <w:r>
        <w:t>. 25.107, Certification of Retail Electric Providers (REPs), and comply with the remaining requirements of this Section.</w:t>
      </w:r>
    </w:p>
    <w:p w14:paraId="4B20C1F8" w14:textId="77777777" w:rsidR="00FC1C5F" w:rsidRDefault="00727E32">
      <w:pPr>
        <w:pStyle w:val="BodyTextNumbered"/>
      </w:pPr>
      <w:r>
        <w:t xml:space="preserve">(2) </w:t>
      </w:r>
      <w:r>
        <w:tab/>
        <w:t xml:space="preserve">All CRs must participate </w:t>
      </w:r>
      <w:proofErr w:type="gramStart"/>
      <w:r>
        <w:t>in</w:t>
      </w:r>
      <w:proofErr w:type="gramEnd"/>
      <w:r>
        <w:t xml:space="preserve"> and successfully complete testing as described in Section</w:t>
      </w:r>
      <w:r w:rsidR="008932A4">
        <w:t xml:space="preserve"> </w:t>
      </w:r>
      <w:r w:rsidR="007349BB">
        <w:t xml:space="preserve">19.8, </w:t>
      </w:r>
      <w:r>
        <w:t>Retail Market Testing, prior to commencing operations with ERCOT.</w:t>
      </w:r>
    </w:p>
    <w:p w14:paraId="42BE34A4" w14:textId="77777777" w:rsidR="00FC1C5F" w:rsidRDefault="00727E32">
      <w:pPr>
        <w:pStyle w:val="BodyTextNumbered"/>
      </w:pPr>
      <w:r>
        <w:lastRenderedPageBreak/>
        <w:t>(3)</w:t>
      </w:r>
      <w:r>
        <w:tab/>
        <w:t xml:space="preserve">ERCOT may require that the Entity satisfactorily complete testing of interfaces between the Entity’s systems and relevant ERCOT systems.  </w:t>
      </w:r>
    </w:p>
    <w:p w14:paraId="15F6407C" w14:textId="72E7B712" w:rsidR="008932A4" w:rsidRPr="00E55B86" w:rsidRDefault="008932A4" w:rsidP="008932A4">
      <w:pPr>
        <w:spacing w:after="240"/>
        <w:ind w:left="720" w:hanging="720"/>
        <w:rPr>
          <w:iCs/>
        </w:rPr>
      </w:pPr>
      <w:r>
        <w:rPr>
          <w:iCs/>
        </w:rPr>
        <w:t>(4)</w:t>
      </w:r>
      <w:r>
        <w:rPr>
          <w:iCs/>
        </w:rPr>
        <w:tab/>
      </w:r>
      <w:r w:rsidRPr="003C5709">
        <w:rPr>
          <w:iCs/>
        </w:rPr>
        <w:t xml:space="preserve">An Entity that wishes to register as an ELSE shall select the ELSE status on the LSE application </w:t>
      </w:r>
      <w:r w:rsidR="00B35DA1" w:rsidRPr="00A35A89">
        <w:t>(</w:t>
      </w:r>
      <w:r w:rsidR="00B35DA1">
        <w:t>Section 23, Form B</w:t>
      </w:r>
      <w:r w:rsidR="00081A43">
        <w:t>, Load Serving Entity (LSE) Application for Registration</w:t>
      </w:r>
      <w:r w:rsidR="00B35DA1">
        <w:t xml:space="preserve">) </w:t>
      </w:r>
      <w:r w:rsidRPr="003C5709">
        <w:rPr>
          <w:iCs/>
        </w:rPr>
        <w:t>and other registration forms as designated by ERCOT.  An ELSE shall provide all informa</w:t>
      </w:r>
      <w:r w:rsidRPr="00376AC8">
        <w:rPr>
          <w:iCs/>
        </w:rPr>
        <w:t>tion sufficient to ju</w:t>
      </w:r>
      <w:r w:rsidRPr="00167B72">
        <w:rPr>
          <w:iCs/>
        </w:rPr>
        <w:t>stify its designation as an ELSE</w:t>
      </w:r>
      <w:r w:rsidRPr="00720C92">
        <w:rPr>
          <w:iCs/>
        </w:rPr>
        <w:t xml:space="preserve"> if </w:t>
      </w:r>
      <w:proofErr w:type="gramStart"/>
      <w:r w:rsidRPr="00720C92">
        <w:rPr>
          <w:iCs/>
        </w:rPr>
        <w:t>so</w:t>
      </w:r>
      <w:proofErr w:type="gramEnd"/>
      <w:r w:rsidRPr="00720C92">
        <w:rPr>
          <w:iCs/>
        </w:rPr>
        <w:t xml:space="preserve"> requested by ERCOT.</w:t>
      </w:r>
    </w:p>
    <w:p w14:paraId="2314A4C6" w14:textId="77777777" w:rsidR="008932A4" w:rsidRDefault="008932A4" w:rsidP="008932A4">
      <w:pPr>
        <w:pStyle w:val="BodyTextNumbered"/>
      </w:pPr>
      <w:r>
        <w:rPr>
          <w:iCs w:val="0"/>
        </w:rPr>
        <w:t>(5)</w:t>
      </w:r>
      <w:r>
        <w:rPr>
          <w:iCs w:val="0"/>
        </w:rPr>
        <w:tab/>
      </w:r>
      <w:r w:rsidRPr="003C5709">
        <w:rPr>
          <w:iCs w:val="0"/>
        </w:rPr>
        <w:t xml:space="preserve">An ELSE shall assign an </w:t>
      </w:r>
      <w:r>
        <w:t>Electric Service Identifier (</w:t>
      </w:r>
      <w:r w:rsidRPr="003C5709">
        <w:rPr>
          <w:iCs w:val="0"/>
        </w:rPr>
        <w:t>ESI ID</w:t>
      </w:r>
      <w:r>
        <w:rPr>
          <w:iCs w:val="0"/>
        </w:rPr>
        <w:t>)</w:t>
      </w:r>
      <w:r w:rsidRPr="003C5709">
        <w:rPr>
          <w:iCs w:val="0"/>
        </w:rPr>
        <w:t xml:space="preserve"> for each wholesale point of delivery as specified in these Protocols.  An ESI ID shall not be assigned to any individual Customer behind an ELSE wholesale point of delivery.</w:t>
      </w:r>
    </w:p>
    <w:p w14:paraId="6A01FD98" w14:textId="77777777" w:rsidR="00FC1C5F" w:rsidRDefault="00727E32" w:rsidP="00FC1C5F">
      <w:pPr>
        <w:pStyle w:val="Heading3"/>
        <w:numPr>
          <w:ilvl w:val="0"/>
          <w:numId w:val="0"/>
        </w:numPr>
      </w:pPr>
      <w:bookmarkStart w:id="187" w:name="_Toc390438930"/>
      <w:bookmarkStart w:id="188" w:name="_Toc405897627"/>
      <w:bookmarkStart w:id="189" w:name="_Toc415055731"/>
      <w:bookmarkStart w:id="190" w:name="_Toc415055857"/>
      <w:bookmarkStart w:id="191" w:name="_Toc415055956"/>
      <w:bookmarkStart w:id="192" w:name="_Toc415056057"/>
      <w:bookmarkStart w:id="193" w:name="_Toc148960833"/>
      <w:r>
        <w:t>16.3.1</w:t>
      </w:r>
      <w:r>
        <w:tab/>
        <w:t>Technical and Managerial Requirements for LSE Applicants</w:t>
      </w:r>
      <w:bookmarkEnd w:id="187"/>
      <w:bookmarkEnd w:id="188"/>
      <w:bookmarkEnd w:id="189"/>
      <w:bookmarkEnd w:id="190"/>
      <w:bookmarkEnd w:id="191"/>
      <w:bookmarkEnd w:id="192"/>
      <w:bookmarkEnd w:id="193"/>
    </w:p>
    <w:p w14:paraId="696A9CDD" w14:textId="77777777" w:rsidR="00FC1C5F" w:rsidRDefault="00853D39" w:rsidP="009F10FE">
      <w:pPr>
        <w:pStyle w:val="BodyText"/>
        <w:ind w:left="720" w:hanging="720"/>
      </w:pPr>
      <w:r>
        <w:t>(1)</w:t>
      </w:r>
      <w:r>
        <w:tab/>
      </w:r>
      <w:r w:rsidR="00727E32">
        <w:t>An LSE applicant must:</w:t>
      </w:r>
    </w:p>
    <w:p w14:paraId="3A10B2A9" w14:textId="77777777" w:rsidR="00FC1C5F" w:rsidRDefault="00727E32" w:rsidP="009F10FE">
      <w:pPr>
        <w:pStyle w:val="List"/>
      </w:pPr>
      <w:r>
        <w:t>(</w:t>
      </w:r>
      <w:r w:rsidR="00853D39">
        <w:t>a</w:t>
      </w:r>
      <w:r>
        <w:t>)</w:t>
      </w:r>
      <w:r>
        <w:tab/>
        <w:t>Be capable of complying with all policies, rules, guidelines, registration requirements and procedures established by these Protocols, ERCOT, or other Independent Organizations, if applicable;</w:t>
      </w:r>
    </w:p>
    <w:p w14:paraId="2DA2D836" w14:textId="77777777" w:rsidR="00FC1C5F" w:rsidRDefault="00727E32" w:rsidP="009F10FE">
      <w:pPr>
        <w:pStyle w:val="List"/>
      </w:pPr>
      <w:r>
        <w:t>(</w:t>
      </w:r>
      <w:r w:rsidR="00853D39">
        <w:t>b</w:t>
      </w:r>
      <w:r>
        <w:t>)</w:t>
      </w:r>
      <w:r>
        <w:tab/>
        <w:t>Be capable of purchasing  power from Entities registered with or by ERCOT or the Independent Organizations and capable of complying with its system rules; and,</w:t>
      </w:r>
    </w:p>
    <w:p w14:paraId="5B4D48C9" w14:textId="77777777" w:rsidR="00FC1C5F" w:rsidRDefault="00727E32" w:rsidP="009F10FE">
      <w:pPr>
        <w:pStyle w:val="List"/>
      </w:pPr>
      <w:r>
        <w:t>(</w:t>
      </w:r>
      <w:r w:rsidR="00853D39">
        <w:t>c</w:t>
      </w:r>
      <w:r>
        <w:t>)</w:t>
      </w:r>
      <w:r>
        <w:tab/>
        <w:t>Be capable of purchasing capacity and reserves, or other Ancillary Services, as may be required by ERCOT, or other Independent Organizations, to provide adequate electricity to all the applicant’s Customers.</w:t>
      </w:r>
    </w:p>
    <w:p w14:paraId="3EEE3790" w14:textId="77777777" w:rsidR="00FC1C5F" w:rsidRPr="00D63F95" w:rsidRDefault="00727E32">
      <w:pPr>
        <w:pStyle w:val="H4"/>
        <w:rPr>
          <w:b/>
        </w:rPr>
      </w:pPr>
      <w:bookmarkStart w:id="194" w:name="_Toc390438931"/>
      <w:bookmarkStart w:id="195" w:name="_Toc405897628"/>
      <w:bookmarkStart w:id="196" w:name="_Toc415055732"/>
      <w:bookmarkStart w:id="197" w:name="_Toc415055858"/>
      <w:bookmarkStart w:id="198" w:name="_Toc415055957"/>
      <w:bookmarkStart w:id="199" w:name="_Toc415056058"/>
      <w:bookmarkStart w:id="200" w:name="_Toc148960834"/>
      <w:r w:rsidRPr="00D63F95">
        <w:rPr>
          <w:b/>
        </w:rPr>
        <w:t>16.3.1.1</w:t>
      </w:r>
      <w:r w:rsidRPr="00D63F95">
        <w:rPr>
          <w:b/>
        </w:rPr>
        <w:tab/>
        <w:t>Designation of a Qualified Scheduling Entity</w:t>
      </w:r>
      <w:bookmarkEnd w:id="194"/>
      <w:bookmarkEnd w:id="195"/>
      <w:bookmarkEnd w:id="196"/>
      <w:bookmarkEnd w:id="197"/>
      <w:bookmarkEnd w:id="198"/>
      <w:bookmarkEnd w:id="199"/>
      <w:bookmarkEnd w:id="200"/>
    </w:p>
    <w:p w14:paraId="53D66268" w14:textId="77777777" w:rsidR="00FC1C5F" w:rsidRDefault="00727E32">
      <w:pPr>
        <w:pStyle w:val="BodyTextNumbered"/>
      </w:pPr>
      <w:r>
        <w:t>(1)</w:t>
      </w:r>
      <w:r>
        <w:tab/>
        <w:t xml:space="preserve">Each LSE applicant within the ERCOT Region shall designate the </w:t>
      </w:r>
      <w:r w:rsidR="00364DE6">
        <w:t>Qualified Scheduling Entity (</w:t>
      </w:r>
      <w:r>
        <w:t>QSE</w:t>
      </w:r>
      <w:r w:rsidR="00364DE6">
        <w:t>)</w:t>
      </w:r>
      <w:r>
        <w:t xml:space="preserve"> that will </w:t>
      </w:r>
      <w:r w:rsidR="000E3528">
        <w:t xml:space="preserve">perform QSE functions per these Protocols on behalf of the LSE.  </w:t>
      </w:r>
      <w:r>
        <w:t xml:space="preserve">Each applicant shall acknowledge that it bears sole responsibility for selecting and maintaining a QSE as its representative.  The applicant shall include a written statement from the designated QSE acknowledging that the QSE accepts responsibility for the applicant’s transactions </w:t>
      </w:r>
      <w:r w:rsidR="000E3528">
        <w:t>under</w:t>
      </w:r>
      <w:r>
        <w:t xml:space="preserve"> these Protocols</w:t>
      </w:r>
      <w:r w:rsidR="00B35DA1" w:rsidRPr="00B35DA1">
        <w:t xml:space="preserve"> (Section 23, Form B, Attachment A)</w:t>
      </w:r>
      <w:r>
        <w:t>.</w:t>
      </w:r>
      <w:r w:rsidR="000E3528">
        <w:t xml:space="preserve">  </w:t>
      </w:r>
      <w:r w:rsidR="000E3528" w:rsidRPr="00530E2D">
        <w:rPr>
          <w:szCs w:val="24"/>
        </w:rPr>
        <w:t xml:space="preserve">The acknowledgement of the LSE’s QSE designation must be approved by ERCOT prior to a CR’s enrollment of Customer ESI IDs or prior to NOIE </w:t>
      </w:r>
      <w:r w:rsidR="00364DE6">
        <w:rPr>
          <w:szCs w:val="24"/>
        </w:rPr>
        <w:t xml:space="preserve">or ELSE </w:t>
      </w:r>
      <w:r w:rsidR="000E3528" w:rsidRPr="00530E2D">
        <w:rPr>
          <w:szCs w:val="24"/>
        </w:rPr>
        <w:t>registration of a wholesale point of delivery.</w:t>
      </w:r>
    </w:p>
    <w:p w14:paraId="628A1A7A" w14:textId="77777777" w:rsidR="00FC1C5F" w:rsidRDefault="00727E32">
      <w:pPr>
        <w:pStyle w:val="BodyTextNumbered"/>
      </w:pPr>
      <w:r>
        <w:t>(</w:t>
      </w:r>
      <w:r w:rsidR="000E3528">
        <w:t>2</w:t>
      </w:r>
      <w:r>
        <w:t>)</w:t>
      </w:r>
      <w:r>
        <w:tab/>
        <w:t>If an LSE fails to maintain a QSE as its representative, the LSE may be designated as an Emergency QSE as provided in Section</w:t>
      </w:r>
      <w:r w:rsidR="000E3528">
        <w:t xml:space="preserve"> 16.2.6.1, </w:t>
      </w:r>
      <w:r w:rsidR="000E3528" w:rsidRPr="00530E2D">
        <w:rPr>
          <w:szCs w:val="24"/>
        </w:rPr>
        <w:t>Designation as an Emergency Qualified Scheduling Entity or Virtual Qualified Scheduling Entity</w:t>
      </w:r>
      <w:r>
        <w:t>.</w:t>
      </w:r>
    </w:p>
    <w:p w14:paraId="6726AD55" w14:textId="77777777" w:rsidR="00FC1C5F" w:rsidRDefault="00727E32">
      <w:pPr>
        <w:pStyle w:val="H3"/>
      </w:pPr>
      <w:bookmarkStart w:id="201" w:name="_Toc71369186"/>
      <w:bookmarkStart w:id="202" w:name="_Toc71539402"/>
      <w:bookmarkStart w:id="203" w:name="_Toc390438932"/>
      <w:bookmarkStart w:id="204" w:name="_Toc405897629"/>
      <w:bookmarkStart w:id="205" w:name="_Toc415055733"/>
      <w:bookmarkStart w:id="206" w:name="_Toc415055859"/>
      <w:bookmarkStart w:id="207" w:name="_Toc415055958"/>
      <w:bookmarkStart w:id="208" w:name="_Toc415056059"/>
      <w:bookmarkStart w:id="209" w:name="_Toc148960835"/>
      <w:r>
        <w:lastRenderedPageBreak/>
        <w:t>16.3.2</w:t>
      </w:r>
      <w:r>
        <w:tab/>
        <w:t>Registration Process for Load Serving Entities</w:t>
      </w:r>
      <w:bookmarkEnd w:id="201"/>
      <w:bookmarkEnd w:id="202"/>
      <w:bookmarkEnd w:id="203"/>
      <w:bookmarkEnd w:id="204"/>
      <w:bookmarkEnd w:id="205"/>
      <w:bookmarkEnd w:id="206"/>
      <w:bookmarkEnd w:id="207"/>
      <w:bookmarkEnd w:id="208"/>
      <w:bookmarkEnd w:id="209"/>
    </w:p>
    <w:p w14:paraId="51D48F1D" w14:textId="79637B27" w:rsidR="00FC1C5F" w:rsidRDefault="00727E32">
      <w:pPr>
        <w:pStyle w:val="BodyTextNumbered"/>
      </w:pPr>
      <w:r>
        <w:t>(1)</w:t>
      </w:r>
      <w:r>
        <w:tab/>
        <w:t>Any Entity providing electric service to Customers in ERCOT, or in Non-ERCOT portions of Texas in areas where Customer Choice is in effect, must submit to ERCOT a</w:t>
      </w:r>
      <w:r w:rsidR="00B35DA1">
        <w:t>n</w:t>
      </w:r>
      <w:r>
        <w:t xml:space="preserve"> LSE application</w:t>
      </w:r>
      <w:r w:rsidR="00B35DA1">
        <w:t xml:space="preserve"> (Section 23, Form B</w:t>
      </w:r>
      <w:r w:rsidR="00081A43" w:rsidRPr="00466F24">
        <w:t>, Load Serving Entity (LSE) Application for Registration</w:t>
      </w:r>
      <w:r>
        <w:t xml:space="preserve">).  ERCOT shall post on the </w:t>
      </w:r>
      <w:r w:rsidR="00F13002">
        <w:t>ERCOT website</w:t>
      </w:r>
      <w:r>
        <w:t xml:space="preserve"> the form in which LSE applications must be submitted, all materials that must be provided with the LSE application, and the fee schedule, if any, applicable to LSE applications.  </w:t>
      </w:r>
    </w:p>
    <w:p w14:paraId="62832154" w14:textId="78788605" w:rsidR="00FC1C5F" w:rsidRDefault="00727E32">
      <w:pPr>
        <w:pStyle w:val="BodyTextNumbered"/>
      </w:pPr>
      <w:r>
        <w:t>(2)</w:t>
      </w:r>
      <w:r>
        <w:tab/>
        <w:t xml:space="preserve">The LSE application must be attested to by a duly authorized officer or agent of the applicant.  The applicant shall promptly notify ERCOT of any material changes affecting a pending LSE application using the appropriate form posted on the </w:t>
      </w:r>
      <w:r w:rsidR="00F13002">
        <w:t>ERCOT website</w:t>
      </w:r>
      <w:r>
        <w:t xml:space="preserve">.  </w:t>
      </w:r>
    </w:p>
    <w:p w14:paraId="5BA26C87" w14:textId="77777777" w:rsidR="00FC1C5F" w:rsidRPr="00D63F95" w:rsidRDefault="00727E32">
      <w:pPr>
        <w:pStyle w:val="H4"/>
        <w:rPr>
          <w:b/>
        </w:rPr>
      </w:pPr>
      <w:bookmarkStart w:id="210" w:name="_Toc390438933"/>
      <w:bookmarkStart w:id="211" w:name="_Toc405897630"/>
      <w:bookmarkStart w:id="212" w:name="_Toc415055734"/>
      <w:bookmarkStart w:id="213" w:name="_Toc415055860"/>
      <w:bookmarkStart w:id="214" w:name="_Toc415055959"/>
      <w:bookmarkStart w:id="215" w:name="_Toc415056060"/>
      <w:bookmarkStart w:id="216" w:name="_Toc148960836"/>
      <w:r w:rsidRPr="00D63F95">
        <w:rPr>
          <w:b/>
        </w:rPr>
        <w:t>16.3.2.1</w:t>
      </w:r>
      <w:r w:rsidRPr="00D63F95">
        <w:rPr>
          <w:b/>
        </w:rPr>
        <w:tab/>
        <w:t>Notice of Receipt of Load Serving Entity Application</w:t>
      </w:r>
      <w:bookmarkEnd w:id="210"/>
      <w:bookmarkEnd w:id="211"/>
      <w:bookmarkEnd w:id="212"/>
      <w:bookmarkEnd w:id="213"/>
      <w:bookmarkEnd w:id="214"/>
      <w:bookmarkEnd w:id="215"/>
      <w:bookmarkEnd w:id="216"/>
    </w:p>
    <w:p w14:paraId="012A6F28" w14:textId="77777777" w:rsidR="00FC1C5F" w:rsidRDefault="00853D39" w:rsidP="009F10FE">
      <w:pPr>
        <w:pStyle w:val="BodyText"/>
        <w:ind w:left="720" w:hanging="720"/>
      </w:pPr>
      <w:r>
        <w:t>(1)</w:t>
      </w:r>
      <w:r>
        <w:tab/>
      </w:r>
      <w:r w:rsidR="00727E32">
        <w:t>Within three Business Days after receiving an LSE application, ERCOT shall issue the LSE applicant a written confirmation that ERCOT has received the LSE application.  ERCOT shall return without review any LSE application that does not include the proper application fee.  The remainder of this Section does not apply to any LSE application returned for failure to include the proper application fee.</w:t>
      </w:r>
    </w:p>
    <w:p w14:paraId="53F70B86" w14:textId="77777777" w:rsidR="00FC1C5F" w:rsidRPr="00D63F95" w:rsidRDefault="00727E32">
      <w:pPr>
        <w:pStyle w:val="H4"/>
        <w:rPr>
          <w:b/>
        </w:rPr>
      </w:pPr>
      <w:bookmarkStart w:id="217" w:name="_Toc390438934"/>
      <w:bookmarkStart w:id="218" w:name="_Toc405897631"/>
      <w:bookmarkStart w:id="219" w:name="_Toc415055735"/>
      <w:bookmarkStart w:id="220" w:name="_Toc415055861"/>
      <w:bookmarkStart w:id="221" w:name="_Toc415055960"/>
      <w:bookmarkStart w:id="222" w:name="_Toc415056061"/>
      <w:bookmarkStart w:id="223" w:name="_Toc148960837"/>
      <w:r w:rsidRPr="00D63F95">
        <w:rPr>
          <w:b/>
        </w:rPr>
        <w:t>16.3.2.2</w:t>
      </w:r>
      <w:r w:rsidRPr="00D63F95">
        <w:rPr>
          <w:b/>
        </w:rPr>
        <w:tab/>
        <w:t>Incomplete Load Serving Entity Applications</w:t>
      </w:r>
      <w:bookmarkEnd w:id="217"/>
      <w:bookmarkEnd w:id="218"/>
      <w:bookmarkEnd w:id="219"/>
      <w:bookmarkEnd w:id="220"/>
      <w:bookmarkEnd w:id="221"/>
      <w:bookmarkEnd w:id="222"/>
      <w:bookmarkEnd w:id="223"/>
    </w:p>
    <w:p w14:paraId="47820426" w14:textId="77777777" w:rsidR="00FC1C5F" w:rsidRDefault="00727E32">
      <w:pPr>
        <w:pStyle w:val="BodyText"/>
        <w:ind w:left="720" w:hanging="720"/>
      </w:pPr>
      <w:r>
        <w:t>(1)</w:t>
      </w:r>
      <w:r>
        <w:tab/>
        <w:t>Not more than ten Business Days after receiving an LSE application, ERCOT shall notify the applicant in writing whether the application is complete.</w:t>
      </w:r>
    </w:p>
    <w:p w14:paraId="61E5FD65" w14:textId="77777777" w:rsidR="00FC1C5F" w:rsidRDefault="00727E32">
      <w:pPr>
        <w:pStyle w:val="BodyText"/>
        <w:ind w:left="720" w:hanging="720"/>
      </w:pPr>
      <w:r>
        <w:t>(2)</w:t>
      </w:r>
      <w:r>
        <w:tab/>
        <w:t>If ERCOT determines that an LSE application is not complete, ERCOT’s notice must explain the reasons for that determination and the additional information necessary to make the application complete.  The applicant has five Business Days from receiving ERCOT’s notice, or such longer period as ERCOT may allow, to provide the additional information set forth in ERCOT’s notice.  If the applicant timely responds to ERCOT’s notice with the required additional information, then the application is deemed complete on the date that ERCOT receives the applicant’s response.</w:t>
      </w:r>
    </w:p>
    <w:p w14:paraId="4F36F27E" w14:textId="77777777" w:rsidR="00FC1C5F" w:rsidRDefault="00727E32">
      <w:pPr>
        <w:pStyle w:val="BodyText"/>
        <w:ind w:left="720" w:hanging="720"/>
      </w:pPr>
      <w:r>
        <w:t>(3)</w:t>
      </w:r>
      <w:r>
        <w:tab/>
        <w:t>If the applicant does not timely respond to ERCOT’s Notice, then the application must be rejected, and ERCOT shall retain any application fee included with the application.</w:t>
      </w:r>
    </w:p>
    <w:p w14:paraId="0A01ADB5" w14:textId="77777777" w:rsidR="00FC1C5F" w:rsidRPr="00D63F95" w:rsidRDefault="00727E32">
      <w:pPr>
        <w:pStyle w:val="H4"/>
        <w:rPr>
          <w:b/>
        </w:rPr>
      </w:pPr>
      <w:bookmarkStart w:id="224" w:name="_Toc390438935"/>
      <w:bookmarkStart w:id="225" w:name="_Toc405897632"/>
      <w:bookmarkStart w:id="226" w:name="_Toc415055736"/>
      <w:bookmarkStart w:id="227" w:name="_Toc415055862"/>
      <w:bookmarkStart w:id="228" w:name="_Toc415055961"/>
      <w:bookmarkStart w:id="229" w:name="_Toc415056062"/>
      <w:bookmarkStart w:id="230" w:name="_Toc148960838"/>
      <w:r w:rsidRPr="00D63F95">
        <w:rPr>
          <w:b/>
        </w:rPr>
        <w:t>16.3.2.3</w:t>
      </w:r>
      <w:r w:rsidRPr="00D63F95">
        <w:rPr>
          <w:b/>
        </w:rPr>
        <w:tab/>
        <w:t>ERCOT Approval or Rejection of Load Serving Entity Application</w:t>
      </w:r>
      <w:bookmarkEnd w:id="224"/>
      <w:bookmarkEnd w:id="225"/>
      <w:bookmarkEnd w:id="226"/>
      <w:bookmarkEnd w:id="227"/>
      <w:bookmarkEnd w:id="228"/>
      <w:bookmarkEnd w:id="229"/>
      <w:bookmarkEnd w:id="230"/>
    </w:p>
    <w:p w14:paraId="7D71BBBD" w14:textId="77777777" w:rsidR="00FC1C5F" w:rsidRDefault="00727E32">
      <w:pPr>
        <w:pStyle w:val="BodyTextNumbered"/>
      </w:pPr>
      <w:r>
        <w:t>(1)</w:t>
      </w:r>
      <w:r>
        <w:tab/>
        <w:t xml:space="preserve">ERCOT may reject an LSE application within ten Business Days after the application has been deemed complete in accordance with this Section.  If ERCOT does not reject the LSE application within ten Business Days after the application is deemed </w:t>
      </w:r>
      <w:proofErr w:type="gramStart"/>
      <w:r>
        <w:t>complete</w:t>
      </w:r>
      <w:proofErr w:type="gramEnd"/>
      <w:r>
        <w:t xml:space="preserve"> then the application is deemed approved.</w:t>
      </w:r>
    </w:p>
    <w:p w14:paraId="0F3C2A57" w14:textId="77777777" w:rsidR="00FC1C5F" w:rsidRDefault="00727E32">
      <w:pPr>
        <w:pStyle w:val="BodyTextNumbered"/>
      </w:pPr>
      <w:r>
        <w:lastRenderedPageBreak/>
        <w:t>(2)</w:t>
      </w:r>
      <w:r>
        <w:tab/>
        <w:t xml:space="preserve">If ERCOT rejects </w:t>
      </w:r>
      <w:proofErr w:type="gramStart"/>
      <w:r>
        <w:t>a</w:t>
      </w:r>
      <w:proofErr w:type="gramEnd"/>
      <w:r>
        <w:t xml:space="preserve"> LSE application, ERCOT shall send the LSE applicant a rejection letter explaining the grounds upon which ERCOT rejected the LSE application.  Appropriate grounds for rejecting </w:t>
      </w:r>
      <w:proofErr w:type="gramStart"/>
      <w:r>
        <w:t>a</w:t>
      </w:r>
      <w:proofErr w:type="gramEnd"/>
      <w:r>
        <w:t xml:space="preserve"> LSE application include the following:</w:t>
      </w:r>
    </w:p>
    <w:p w14:paraId="1230F5A5" w14:textId="77777777" w:rsidR="00FC1C5F" w:rsidRDefault="00727E32">
      <w:pPr>
        <w:pStyle w:val="List"/>
      </w:pPr>
      <w:r>
        <w:t>(a)</w:t>
      </w:r>
      <w:r>
        <w:tab/>
        <w:t>Required information is not provided to ERCOT in the allotted time;</w:t>
      </w:r>
    </w:p>
    <w:p w14:paraId="7B4C6A98" w14:textId="77777777" w:rsidR="00FC1C5F" w:rsidRDefault="00727E32">
      <w:pPr>
        <w:pStyle w:val="List"/>
      </w:pPr>
      <w:r>
        <w:t>(b)</w:t>
      </w:r>
      <w:r>
        <w:tab/>
        <w:t>Noncompliance with technical requirements; and</w:t>
      </w:r>
    </w:p>
    <w:p w14:paraId="3DA23724" w14:textId="77777777" w:rsidR="00FC1C5F" w:rsidRDefault="00727E32">
      <w:pPr>
        <w:pStyle w:val="List"/>
      </w:pPr>
      <w:r>
        <w:t>(c)</w:t>
      </w:r>
      <w:r>
        <w:tab/>
        <w:t>Noncompliance with other specific eligibility requirements set forth in this Section or in any other part of these Protocols.</w:t>
      </w:r>
    </w:p>
    <w:p w14:paraId="132A258A" w14:textId="77777777" w:rsidR="00FC1C5F" w:rsidRDefault="00727E32">
      <w:pPr>
        <w:pStyle w:val="BodyTextNumbered"/>
      </w:pPr>
      <w:r>
        <w:t>(3)</w:t>
      </w:r>
      <w:r>
        <w:tab/>
        <w:t>Not later than ten Business Days after receiving a rejection letter, the LSE applicant may challenge the rejection of its LSE application using the dispute resolution procedures set forth in Section 20, Alternative Dispute Resolution Procedure.  The applicant may submit a new LSE application and fee at any time, and ERCOT shall process the new LSE application under this Section.</w:t>
      </w:r>
    </w:p>
    <w:p w14:paraId="52EEE138" w14:textId="77777777" w:rsidR="00FC1C5F" w:rsidRDefault="00727E32">
      <w:pPr>
        <w:pStyle w:val="H3"/>
      </w:pPr>
      <w:bookmarkStart w:id="231" w:name="_Toc390438936"/>
      <w:bookmarkStart w:id="232" w:name="_Toc405897633"/>
      <w:bookmarkStart w:id="233" w:name="_Toc415055737"/>
      <w:bookmarkStart w:id="234" w:name="_Toc415055863"/>
      <w:bookmarkStart w:id="235" w:name="_Toc415055962"/>
      <w:bookmarkStart w:id="236" w:name="_Toc415056063"/>
      <w:bookmarkStart w:id="237" w:name="_Toc148960839"/>
      <w:r>
        <w:t xml:space="preserve">16.3.3 </w:t>
      </w:r>
      <w:r>
        <w:tab/>
        <w:t>Changing QSE Designation</w:t>
      </w:r>
      <w:bookmarkEnd w:id="231"/>
      <w:bookmarkEnd w:id="232"/>
      <w:bookmarkEnd w:id="233"/>
      <w:bookmarkEnd w:id="234"/>
      <w:bookmarkEnd w:id="235"/>
      <w:bookmarkEnd w:id="236"/>
      <w:bookmarkEnd w:id="237"/>
      <w:r>
        <w:t xml:space="preserve"> </w:t>
      </w:r>
    </w:p>
    <w:p w14:paraId="31430320" w14:textId="77777777" w:rsidR="00FC1C5F" w:rsidRDefault="00727E32">
      <w:pPr>
        <w:pStyle w:val="List"/>
        <w:ind w:left="720" w:right="-360"/>
      </w:pPr>
      <w:r>
        <w:t>(1)</w:t>
      </w:r>
      <w:r>
        <w:tab/>
        <w:t xml:space="preserve">An LSE may change its designation of QSE </w:t>
      </w:r>
      <w:r w:rsidR="000E3528">
        <w:t xml:space="preserve">with written notice to ERCOT </w:t>
      </w:r>
      <w:r>
        <w:t xml:space="preserve">no more than once in any consecutive three days.  </w:t>
      </w:r>
    </w:p>
    <w:p w14:paraId="72DBBE09" w14:textId="77777777" w:rsidR="00FC1C5F" w:rsidRDefault="00727E32">
      <w:pPr>
        <w:pStyle w:val="List"/>
        <w:ind w:left="720" w:right="-360"/>
      </w:pPr>
      <w:r>
        <w:t>(2)</w:t>
      </w:r>
      <w:r>
        <w:tab/>
      </w:r>
      <w:r w:rsidR="000E3528">
        <w:t>If an LSE’s representation by a QSE will terminate or the LSE intends to be represented by a different QSE, the LSE shall provide the name of the newly designated QSE to ERCOT along with a written statement from the designated</w:t>
      </w:r>
      <w:r w:rsidR="00AC443B">
        <w:t xml:space="preserve"> QSE acknowledging</w:t>
      </w:r>
      <w:r w:rsidR="000E3528">
        <w:t xml:space="preserve"> </w:t>
      </w:r>
      <w:r>
        <w:t>the QSE</w:t>
      </w:r>
      <w:r w:rsidR="000E3528">
        <w:t>’s agreement to</w:t>
      </w:r>
      <w:r>
        <w:t xml:space="preserve"> accept responsibility for the LSE’s transactions under these Protocols.</w:t>
      </w:r>
      <w:r w:rsidR="000E3528">
        <w:t xml:space="preserve">  </w:t>
      </w:r>
      <w:r w:rsidR="000E3528" w:rsidRPr="000B3BF7">
        <w:t>ERCOT shall notify the LSE of approval or disapproval as soon as practicable after receipt of the designation</w:t>
      </w:r>
      <w:r w:rsidR="000E3528">
        <w:t>.</w:t>
      </w:r>
    </w:p>
    <w:p w14:paraId="7316502F" w14:textId="77777777" w:rsidR="000E3528" w:rsidRDefault="00727E32">
      <w:pPr>
        <w:pStyle w:val="List"/>
        <w:ind w:left="720"/>
      </w:pPr>
      <w:r>
        <w:t>(3)</w:t>
      </w:r>
      <w:r>
        <w:tab/>
      </w:r>
      <w:r w:rsidR="000E3528">
        <w:t>The</w:t>
      </w:r>
      <w:r>
        <w:t xml:space="preserve"> LSE shall submit updated QSE designation information to ERCOT no less than six days prior to the effective date.  </w:t>
      </w:r>
    </w:p>
    <w:p w14:paraId="3A0F1116" w14:textId="77777777" w:rsidR="00FC1C5F" w:rsidRDefault="000E3528">
      <w:pPr>
        <w:pStyle w:val="List"/>
        <w:ind w:left="720"/>
      </w:pPr>
      <w:r>
        <w:t>(4)</w:t>
      </w:r>
      <w:r>
        <w:tab/>
      </w:r>
      <w:r w:rsidR="00727E32">
        <w:t xml:space="preserve">Within two days of </w:t>
      </w:r>
      <w:r>
        <w:t xml:space="preserve">approving the LSE’s </w:t>
      </w:r>
      <w:r w:rsidR="00727E32">
        <w:t>notice, ERCOT shall notify all affected Entities, including the LSE’s current QSE, of the effective date of the change.</w:t>
      </w:r>
    </w:p>
    <w:p w14:paraId="6F0F5620" w14:textId="77777777" w:rsidR="00FC1C5F" w:rsidRDefault="00727E32">
      <w:pPr>
        <w:pStyle w:val="H3"/>
      </w:pPr>
      <w:bookmarkStart w:id="238" w:name="_Toc390438937"/>
      <w:bookmarkStart w:id="239" w:name="_Toc405897634"/>
      <w:bookmarkStart w:id="240" w:name="_Toc415055738"/>
      <w:bookmarkStart w:id="241" w:name="_Toc415055864"/>
      <w:bookmarkStart w:id="242" w:name="_Toc415055963"/>
      <w:bookmarkStart w:id="243" w:name="_Toc415056064"/>
      <w:bookmarkStart w:id="244" w:name="_Toc148960840"/>
      <w:r>
        <w:t>16.3.4</w:t>
      </w:r>
      <w:r>
        <w:tab/>
        <w:t>Maintaining and Updating LSE Information</w:t>
      </w:r>
      <w:bookmarkEnd w:id="238"/>
      <w:bookmarkEnd w:id="239"/>
      <w:bookmarkEnd w:id="240"/>
      <w:bookmarkEnd w:id="241"/>
      <w:bookmarkEnd w:id="242"/>
      <w:bookmarkEnd w:id="243"/>
      <w:bookmarkEnd w:id="244"/>
      <w:r>
        <w:t xml:space="preserve"> </w:t>
      </w:r>
    </w:p>
    <w:p w14:paraId="3A68015C" w14:textId="77777777" w:rsidR="00FC1C5F" w:rsidRDefault="00853D39" w:rsidP="009F10FE">
      <w:pPr>
        <w:pStyle w:val="ListIntroduction"/>
        <w:ind w:left="720" w:hanging="720"/>
      </w:pPr>
      <w:r>
        <w:rPr>
          <w:lang w:val="en-US"/>
        </w:rPr>
        <w:t>(1)</w:t>
      </w:r>
      <w:r>
        <w:rPr>
          <w:lang w:val="en-US"/>
        </w:rPr>
        <w:tab/>
      </w:r>
      <w:r w:rsidR="00727E32">
        <w:t>Each LSE must timely update information the LSE provided to ERCOT in the application process, and an LSE must promptly respond to any reasonable request by ERCOT for updated information regarding the LSE or the information provided to ERCOT by the LSE, including:</w:t>
      </w:r>
    </w:p>
    <w:p w14:paraId="43090A74" w14:textId="77777777" w:rsidR="00FC1C5F" w:rsidRDefault="00727E32">
      <w:pPr>
        <w:pStyle w:val="List"/>
        <w:ind w:left="1260" w:hanging="540"/>
      </w:pPr>
      <w:r>
        <w:t>(a)</w:t>
      </w:r>
      <w:r>
        <w:tab/>
        <w:t>The LSE’s addresses;</w:t>
      </w:r>
    </w:p>
    <w:p w14:paraId="4CE2CA6C" w14:textId="77777777" w:rsidR="00FC1C5F" w:rsidRDefault="00727E32">
      <w:pPr>
        <w:pStyle w:val="List"/>
        <w:ind w:left="1260" w:hanging="540"/>
      </w:pPr>
      <w:r>
        <w:t>(b)</w:t>
      </w:r>
      <w:r>
        <w:tab/>
        <w:t>A list of Affiliates; and</w:t>
      </w:r>
    </w:p>
    <w:p w14:paraId="337C799C" w14:textId="2FB22202" w:rsidR="00FC1C5F" w:rsidRDefault="00727E32">
      <w:pPr>
        <w:pStyle w:val="List"/>
        <w:ind w:left="1260" w:hanging="540"/>
      </w:pPr>
      <w:r>
        <w:lastRenderedPageBreak/>
        <w:t>(c)</w:t>
      </w:r>
      <w:r>
        <w:tab/>
        <w:t>Designation of the LSE’s officers, directors, Authorized Representatives, and USA (all per the LSE application) including the telephone and e-mail addresses for those persons.</w:t>
      </w:r>
    </w:p>
    <w:p w14:paraId="4952307C" w14:textId="77777777" w:rsidR="00FC1C5F" w:rsidRDefault="00727E32">
      <w:pPr>
        <w:pStyle w:val="H2"/>
      </w:pPr>
      <w:bookmarkStart w:id="245" w:name="_Toc71369189"/>
      <w:bookmarkStart w:id="246" w:name="_Toc71539405"/>
      <w:bookmarkStart w:id="247" w:name="_Toc390438938"/>
      <w:bookmarkStart w:id="248" w:name="_Toc405897635"/>
      <w:bookmarkStart w:id="249" w:name="_Toc415055739"/>
      <w:bookmarkStart w:id="250" w:name="_Toc415055865"/>
      <w:bookmarkStart w:id="251" w:name="_Toc415055964"/>
      <w:bookmarkStart w:id="252" w:name="_Toc415056065"/>
      <w:bookmarkStart w:id="253" w:name="_Toc148960841"/>
      <w:r>
        <w:t>16.4</w:t>
      </w:r>
      <w:r>
        <w:tab/>
        <w:t>Registration of Transmission and Distribution Service Providers</w:t>
      </w:r>
      <w:bookmarkEnd w:id="245"/>
      <w:bookmarkEnd w:id="246"/>
      <w:bookmarkEnd w:id="247"/>
      <w:bookmarkEnd w:id="248"/>
      <w:bookmarkEnd w:id="249"/>
      <w:bookmarkEnd w:id="250"/>
      <w:bookmarkEnd w:id="251"/>
      <w:bookmarkEnd w:id="252"/>
      <w:bookmarkEnd w:id="253"/>
    </w:p>
    <w:p w14:paraId="711AE494" w14:textId="77777777" w:rsidR="00FC1C5F" w:rsidRDefault="00727E32">
      <w:pPr>
        <w:pStyle w:val="BodyTextNumbered"/>
      </w:pPr>
      <w:r>
        <w:t>(1)</w:t>
      </w:r>
      <w:r>
        <w:tab/>
        <w:t>Each Entity operating as a Transmission Service Provider (</w:t>
      </w:r>
      <w:smartTag w:uri="urn:schemas-microsoft-com:office:smarttags" w:element="stockticker">
        <w:r>
          <w:t>TSP</w:t>
        </w:r>
      </w:smartTag>
      <w:r>
        <w:t xml:space="preserve">) or Distribution Service Provider (DSP) within the ERCOT Region, including Municipally Owned Utilities (MOUs) and Electric Cooperatives (ECs), shall register as a </w:t>
      </w:r>
      <w:smartTag w:uri="urn:schemas-microsoft-com:office:smarttags" w:element="stockticker">
        <w:r>
          <w:t>TSP</w:t>
        </w:r>
      </w:smartTag>
      <w:r>
        <w:t xml:space="preserve"> or DSP, or both, as applicable, with ERCOT.  To register as a </w:t>
      </w:r>
      <w:smartTag w:uri="urn:schemas-microsoft-com:office:smarttags" w:element="stockticker">
        <w:r>
          <w:t>TSP</w:t>
        </w:r>
      </w:smartTag>
      <w:r>
        <w:t xml:space="preserve"> or DSP, an Entity must comply with the backup plan requirements in the Operating Guides, execute a Standard Form Market Participant Agreement (using the form provided in Section 22</w:t>
      </w:r>
      <w:r w:rsidR="007349BB">
        <w:t>, Attachment A, Standard Form Market Participant Agreement</w:t>
      </w:r>
      <w:r>
        <w:t>), designate TSP or DSP Authorized Representatives, contacts, and a User Security Administrator</w:t>
      </w:r>
      <w:r w:rsidR="007349BB">
        <w:t xml:space="preserve"> (USA)</w:t>
      </w:r>
      <w:r>
        <w:t xml:space="preserve"> (per </w:t>
      </w:r>
      <w:r w:rsidR="00B35DA1">
        <w:t xml:space="preserve">Section 23, Form J, </w:t>
      </w:r>
      <w:r w:rsidR="00B35DA1" w:rsidRPr="005B010C">
        <w:t>Transmission and/or Distribution Service Provider Application for Registration</w:t>
      </w:r>
      <w:r>
        <w:t xml:space="preserve">), and be capable of performing the functions of a </w:t>
      </w:r>
      <w:smartTag w:uri="urn:schemas-microsoft-com:office:smarttags" w:element="stockticker">
        <w:r>
          <w:t>TSP</w:t>
        </w:r>
      </w:smartTag>
      <w:r>
        <w:t xml:space="preserve"> or DSP, as applicable, as described in these Protocols. </w:t>
      </w:r>
    </w:p>
    <w:p w14:paraId="2FBFF24F" w14:textId="77777777" w:rsidR="00FC1C5F" w:rsidRDefault="00727E32">
      <w:pPr>
        <w:pStyle w:val="BodyTextNumbered"/>
      </w:pPr>
      <w:r>
        <w:t>(2)</w:t>
      </w:r>
      <w:r>
        <w:tab/>
        <w:t xml:space="preserve">DSPs operating within portions of Texas in areas where Customer Choice is in effect (including opt-in MOUs and opt-in co-ops) must participate in and successfully complete testing as described in Section </w:t>
      </w:r>
      <w:r w:rsidR="007349BB">
        <w:t xml:space="preserve">19.8, </w:t>
      </w:r>
      <w:r>
        <w:t>Retail Market Testing, before starting operations with ERCOT.</w:t>
      </w:r>
    </w:p>
    <w:p w14:paraId="71BF93F1" w14:textId="77777777" w:rsidR="00FC1C5F" w:rsidRDefault="00727E32">
      <w:pPr>
        <w:pStyle w:val="H2"/>
      </w:pPr>
      <w:bookmarkStart w:id="254" w:name="_Toc390438939"/>
      <w:bookmarkStart w:id="255" w:name="_Toc405897636"/>
      <w:bookmarkStart w:id="256" w:name="_Toc415055740"/>
      <w:bookmarkStart w:id="257" w:name="_Toc415055866"/>
      <w:bookmarkStart w:id="258" w:name="_Toc415055965"/>
      <w:bookmarkStart w:id="259" w:name="_Toc415056066"/>
      <w:bookmarkStart w:id="260" w:name="_Toc148960842"/>
      <w:bookmarkStart w:id="261" w:name="_Toc71369190"/>
      <w:bookmarkStart w:id="262" w:name="_Toc71539406"/>
      <w:r>
        <w:t>16.5</w:t>
      </w:r>
      <w:r>
        <w:tab/>
        <w:t>Registration of a Resource Entity</w:t>
      </w:r>
      <w:bookmarkEnd w:id="254"/>
      <w:bookmarkEnd w:id="255"/>
      <w:bookmarkEnd w:id="256"/>
      <w:bookmarkEnd w:id="257"/>
      <w:bookmarkEnd w:id="258"/>
      <w:bookmarkEnd w:id="259"/>
      <w:bookmarkEnd w:id="260"/>
      <w:r>
        <w:t xml:space="preserve"> </w:t>
      </w:r>
      <w:bookmarkEnd w:id="261"/>
      <w:bookmarkEnd w:id="262"/>
    </w:p>
    <w:p w14:paraId="5D9B7D2F" w14:textId="1A932B04" w:rsidR="002D332F" w:rsidRDefault="00A723FE">
      <w:pPr>
        <w:pStyle w:val="BodyText"/>
        <w:ind w:left="720" w:hanging="720"/>
      </w:pPr>
      <w:r>
        <w:t>(1)</w:t>
      </w:r>
      <w:r>
        <w:tab/>
      </w:r>
      <w:r w:rsidR="00CB766B" w:rsidRPr="00971DA3">
        <w:rPr>
          <w:iCs w:val="0"/>
        </w:rPr>
        <w:t xml:space="preserve">A Resource Entity owns or controls a </w:t>
      </w:r>
      <w:r w:rsidR="00CB766B">
        <w:rPr>
          <w:iCs w:val="0"/>
        </w:rPr>
        <w:t>Generation Resource, Settlement Only Generator (SOG), or Load Resource</w:t>
      </w:r>
      <w:r w:rsidR="00CB766B" w:rsidRPr="00971DA3">
        <w:rPr>
          <w:iCs w:val="0"/>
        </w:rPr>
        <w:t xml:space="preserve"> connected to the ERCOT System.  Each Resource Entity operating in the ERCOT Region must register with ERCOT.  To become registered as a Resource Entity, an Entity must execute a Standard Form Market Participant Agreement (using the form in Section 22, Attachment A, Standard Form Market Participant Agreement), designate Resource Entity Authorized Representatives, contacts, and a User Security Administrator (USA) (per the Application for Registration as a Resource Entity), and demonstrate to ERCOT’s reasonable satisfaction that it is capable of performing the functions of a Resource Entity under these Protocols.  The Resource Entity shall provide Resource Registration data pursuant to Planning Guide Section 6.8.2, Resource Registration Process, for each </w:t>
      </w:r>
      <w:r w:rsidR="00CB766B">
        <w:rPr>
          <w:iCs w:val="0"/>
        </w:rPr>
        <w:t>Generation Resource, SOG, or Load Resource</w:t>
      </w:r>
      <w:r w:rsidR="00CB766B" w:rsidRPr="00971DA3">
        <w:rPr>
          <w:iCs w:val="0"/>
        </w:rPr>
        <w:t xml:space="preserve"> through ERCOT registration, except for Distributed Generation (DG) with an installed capacity equal to or lower than the DG registration threshold</w:t>
      </w:r>
      <w:r w:rsidR="00CB766B">
        <w:rPr>
          <w:iCs w:val="0"/>
        </w:rPr>
        <w:t xml:space="preserve"> that has chosen not to register with ERCOT</w:t>
      </w:r>
      <w:r w:rsidR="00CB766B" w:rsidRPr="00971DA3">
        <w:rPr>
          <w:iCs w:val="0"/>
        </w:rPr>
        <w:t xml:space="preserve">.  A Resource Entity may submit a proposal to register the aggregation of generators, </w:t>
      </w:r>
      <w:proofErr w:type="gramStart"/>
      <w:r w:rsidR="00CB766B" w:rsidRPr="00971DA3">
        <w:rPr>
          <w:iCs w:val="0"/>
        </w:rPr>
        <w:t>with the exception of</w:t>
      </w:r>
      <w:proofErr w:type="gramEnd"/>
      <w:r w:rsidR="00CB766B" w:rsidRPr="00971DA3">
        <w:rPr>
          <w:iCs w:val="0"/>
        </w:rPr>
        <w:t xml:space="preserve"> Intermittent Renewable Resources (IRRs) pursuant to paragraph (1</w:t>
      </w:r>
      <w:r w:rsidR="00A01AC4">
        <w:rPr>
          <w:iCs w:val="0"/>
        </w:rPr>
        <w:t>3</w:t>
      </w:r>
      <w:r w:rsidR="00CB766B" w:rsidRPr="00971DA3">
        <w:rPr>
          <w:iCs w:val="0"/>
        </w:rPr>
        <w:t>) of Section 3.10.7.2, Modeling of Resources and Transmission Loads, as an Aggregate Generation Resource (AGR) which ERCOT may grant at its sole discretion.</w:t>
      </w:r>
      <w:r w:rsidR="00BA4149" w:rsidRPr="00BA4149">
        <w:t xml:space="preserve"> </w:t>
      </w:r>
      <w:r w:rsidR="00BA4149">
        <w:t xml:space="preserve"> A Resource Entity may submit a proposal to register a SOG consisting of an Energy Storage System (ESS) or a combination of ESS and non-ESS generation.  The Resource Entity must identify all components of the SOG as part of the Resource Registration process.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8D69E1" w14:paraId="41C3221D" w14:textId="77777777" w:rsidTr="00CD51A8">
        <w:tc>
          <w:tcPr>
            <w:tcW w:w="9558" w:type="dxa"/>
            <w:shd w:val="pct12" w:color="auto" w:fill="auto"/>
          </w:tcPr>
          <w:p w14:paraId="72A648DA" w14:textId="674D4030" w:rsidR="008D69E1" w:rsidRPr="0002450E" w:rsidRDefault="008D69E1" w:rsidP="00CD51A8">
            <w:pPr>
              <w:pStyle w:val="Instructions"/>
              <w:spacing w:before="120"/>
              <w:rPr>
                <w:iCs/>
              </w:rPr>
            </w:pPr>
            <w:r>
              <w:rPr>
                <w:iCs/>
              </w:rPr>
              <w:lastRenderedPageBreak/>
              <w:t>[</w:t>
            </w:r>
            <w:r w:rsidR="00DF27BC">
              <w:rPr>
                <w:iCs/>
              </w:rPr>
              <w:t>NPRR995</w:t>
            </w:r>
            <w:r w:rsidR="00BA4149">
              <w:rPr>
                <w:iCs/>
              </w:rPr>
              <w:t xml:space="preserve"> and</w:t>
            </w:r>
            <w:r w:rsidR="00DF27BC">
              <w:rPr>
                <w:iCs/>
              </w:rPr>
              <w:t xml:space="preserve"> </w:t>
            </w:r>
            <w:r>
              <w:rPr>
                <w:iCs/>
              </w:rPr>
              <w:t>NPRR1002</w:t>
            </w:r>
            <w:r w:rsidRPr="0002450E">
              <w:rPr>
                <w:iCs/>
              </w:rPr>
              <w:t xml:space="preserve">:  Replace </w:t>
            </w:r>
            <w:r w:rsidR="00B6428C">
              <w:rPr>
                <w:iCs/>
              </w:rPr>
              <w:t xml:space="preserve">applicable portions of </w:t>
            </w:r>
            <w:r>
              <w:rPr>
                <w:iCs/>
              </w:rPr>
              <w:t xml:space="preserve">paragraph (1) </w:t>
            </w:r>
            <w:r w:rsidRPr="0002450E">
              <w:rPr>
                <w:iCs/>
              </w:rPr>
              <w:t xml:space="preserve">above with the following upon system implementation:] </w:t>
            </w:r>
          </w:p>
          <w:p w14:paraId="7045D32C" w14:textId="1FBDA0CA" w:rsidR="008D69E1" w:rsidRPr="008D69E1" w:rsidRDefault="008D69E1" w:rsidP="00C279DC">
            <w:pPr>
              <w:spacing w:after="240"/>
              <w:ind w:left="720" w:hanging="720"/>
            </w:pPr>
            <w:r>
              <w:rPr>
                <w:iCs/>
              </w:rPr>
              <w:t>(1)</w:t>
            </w:r>
            <w:r>
              <w:rPr>
                <w:iCs/>
              </w:rPr>
              <w:tab/>
            </w:r>
            <w:r>
              <w:t xml:space="preserve">A Resource Entity owns or controls a Generation Resource, Energy Storage Resource (ESR), Settlement Only Generator (SOG), </w:t>
            </w:r>
            <w:r w:rsidR="00DF27BC" w:rsidRPr="00DF27BC">
              <w:t>Settlement Only Energy Storage System (SOESS),</w:t>
            </w:r>
            <w:r w:rsidR="00DF27BC">
              <w:t xml:space="preserve"> </w:t>
            </w:r>
            <w:r>
              <w:t>or Load Resource connected to the ERCOT System.  Each Resource Entity operating in the ERCOT Region must register with ERCOT.  To become registered as a Resource Entity, an Entity must execute a Standard Form Market Participant Agreement (using the form in Section 22, Attachment A, Standard Form Market Participant Agreement), designate Resource Entity Authorized Representatives, contacts, and a User Security Administrator (USA) (per the Application for Registration as a Resource Entity), and demonstrate to ERCOT’s reasonable satisfaction that it is capable of performing the functions of a Resource Entity under these Protocols.  The Resource Entity shall provide Resource Registration data pursuant to Planning Guide Section 6.8.2, Resource Registration Process, for each Resource</w:t>
            </w:r>
            <w:r w:rsidR="00DF27BC">
              <w:t>,</w:t>
            </w:r>
            <w:r>
              <w:t xml:space="preserve"> SOG</w:t>
            </w:r>
            <w:r w:rsidR="00DF27BC">
              <w:t>, or SOESS</w:t>
            </w:r>
            <w:r>
              <w:t xml:space="preserve"> through ERCOT registration, except for Distributed Generation (DG) with an installed capacity equal to or lower than the DG registration threshold that has chosen not to register with ERCOT.  A Resource Entity may submit a proposal to register the aggregation of generators, </w:t>
            </w:r>
            <w:proofErr w:type="gramStart"/>
            <w:r>
              <w:t>with the exception of</w:t>
            </w:r>
            <w:proofErr w:type="gramEnd"/>
            <w:r>
              <w:t xml:space="preserve"> Intermittent Renewable Resources (IRRs) pursuant to paragraph (1</w:t>
            </w:r>
            <w:r w:rsidR="00A01AC4">
              <w:t>3</w:t>
            </w:r>
            <w:r>
              <w:t>) of Section 3.10.7.2, Modeling of Resources and Transmission Loads, as an Aggregate Generation Resource (AGR) which ERCOT may grant at its sole discretion.</w:t>
            </w:r>
            <w:r w:rsidR="00B6428C">
              <w:t xml:space="preserve">  If a Resource Entity intends to register one or more Energy Storage Systems (ESS</w:t>
            </w:r>
            <w:r w:rsidR="00C279DC">
              <w:t>s</w:t>
            </w:r>
            <w:r w:rsidR="00B6428C">
              <w:t xml:space="preserve">) and one or more non-ESS generators as SOGs at the same site, the Resource Entity must provide an affidavit attesting to the amount of ESS and non-ESS capacity at the site as a condition for registration.    </w:t>
            </w:r>
          </w:p>
        </w:tc>
      </w:tr>
    </w:tbl>
    <w:p w14:paraId="1878FF7B" w14:textId="0FE1FBDC" w:rsidR="008F6D05" w:rsidRDefault="008F6D05" w:rsidP="00AA42E8">
      <w:pPr>
        <w:pStyle w:val="BodyText"/>
        <w:spacing w:before="240"/>
        <w:ind w:left="720" w:hanging="720"/>
      </w:pPr>
      <w:r>
        <w:t>(2)</w:t>
      </w:r>
      <w:r>
        <w:tab/>
      </w:r>
      <w:r w:rsidRPr="00767D61">
        <w:t>Prior to commissioning, Resources Entities will regularly update the data necessary for modeling.  These</w:t>
      </w:r>
      <w:r>
        <w:t xml:space="preserve"> updates will reflect the best available information at the time submitted.</w:t>
      </w:r>
    </w:p>
    <w:p w14:paraId="74EDC0BC" w14:textId="1F27E239" w:rsidR="008F6D05" w:rsidRDefault="008F6D05">
      <w:pPr>
        <w:pStyle w:val="BodyText"/>
        <w:ind w:left="720" w:hanging="720"/>
      </w:pPr>
      <w:r>
        <w:t>(3)</w:t>
      </w:r>
      <w:r>
        <w:tab/>
      </w:r>
      <w:r w:rsidR="00CB766B" w:rsidRPr="00971DA3">
        <w:rPr>
          <w:iCs w:val="0"/>
        </w:rPr>
        <w:t xml:space="preserve">Once ERCOT has received a new or amended Standard Generation Interconnection Agreement (SGIA) or a letter from a duly authorized official from the Municipally Owned Utility (MOU) or Electric Cooperative (EC) and has determined that the proposed Generation Resource </w:t>
      </w:r>
      <w:r w:rsidR="00CB766B">
        <w:rPr>
          <w:iCs w:val="0"/>
        </w:rPr>
        <w:t xml:space="preserve">or SOG </w:t>
      </w:r>
      <w:r w:rsidR="00CB766B" w:rsidRPr="00971DA3">
        <w:rPr>
          <w:iCs w:val="0"/>
        </w:rPr>
        <w:t xml:space="preserve">meets the requirements of Planning Guide Section 6.9, Addition of Proposed Generation to the Planning Models, ERCOT shall review the description of the proposed Generation Resource </w:t>
      </w:r>
      <w:r w:rsidR="00CB766B">
        <w:rPr>
          <w:iCs w:val="0"/>
        </w:rPr>
        <w:t xml:space="preserve">or SOG </w:t>
      </w:r>
      <w:r w:rsidR="00CB766B" w:rsidRPr="00971DA3">
        <w:rPr>
          <w:iCs w:val="0"/>
        </w:rPr>
        <w:t>in Exhibit “C” (or similar exhibit) to the SGIA and the data submitted pursuant to Planning Guide Section 6.8.2 to assess whether the Generation Resource</w:t>
      </w:r>
      <w:r w:rsidR="00CB766B">
        <w:rPr>
          <w:iCs w:val="0"/>
        </w:rPr>
        <w:t xml:space="preserve"> or SOG</w:t>
      </w:r>
      <w:r w:rsidR="00CB766B" w:rsidRPr="00971DA3">
        <w:rPr>
          <w:iCs w:val="0"/>
        </w:rPr>
        <w:t>, as proposed, would violate any operational standards established in the Protocols, Planning Guide, Nodal Operating Guides, and Other Binding Documents.  ERCOT must provide its determination to the Transmission Service Provider (TSP) and the owner of the proposed Generation Resource</w:t>
      </w:r>
      <w:r w:rsidR="00CB766B">
        <w:rPr>
          <w:iCs w:val="0"/>
        </w:rPr>
        <w:t xml:space="preserve"> or SOG</w:t>
      </w:r>
      <w:r w:rsidR="00CB766B" w:rsidRPr="00971DA3">
        <w:rPr>
          <w:iCs w:val="0"/>
        </w:rPr>
        <w:t xml:space="preserve"> within 90 days of the date the Generation Resource</w:t>
      </w:r>
      <w:r w:rsidR="00CB766B">
        <w:rPr>
          <w:iCs w:val="0"/>
        </w:rPr>
        <w:t xml:space="preserve"> or SOG</w:t>
      </w:r>
      <w:r w:rsidR="00CB766B" w:rsidRPr="00971DA3">
        <w:rPr>
          <w:iCs w:val="0"/>
        </w:rPr>
        <w:t xml:space="preserve"> meets the conditions for review.  Notwithstanding the foregoing, this determination shall not preclude ERCOT from subsequently determining that the Generation Resource</w:t>
      </w:r>
      <w:r w:rsidR="00CB766B">
        <w:rPr>
          <w:iCs w:val="0"/>
        </w:rPr>
        <w:t xml:space="preserve"> or SOG</w:t>
      </w:r>
      <w:r w:rsidR="00CB766B" w:rsidRPr="00971DA3">
        <w:rPr>
          <w:iCs w:val="0"/>
        </w:rPr>
        <w:t xml:space="preserve"> violates any operational standards established in the Protocols, Planning Guide, Nodal </w:t>
      </w:r>
      <w:r w:rsidR="00CB766B" w:rsidRPr="00971DA3">
        <w:rPr>
          <w:iCs w:val="0"/>
        </w:rPr>
        <w:lastRenderedPageBreak/>
        <w:t>Operating Guides, and Other Binding Documents or from taking any appropriate action based on that determination.</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8D69E1" w14:paraId="70FE857C" w14:textId="77777777" w:rsidTr="00CD51A8">
        <w:tc>
          <w:tcPr>
            <w:tcW w:w="9558" w:type="dxa"/>
            <w:shd w:val="pct12" w:color="auto" w:fill="auto"/>
          </w:tcPr>
          <w:p w14:paraId="7141ADF9" w14:textId="21937C8C" w:rsidR="008D69E1" w:rsidRPr="0002450E" w:rsidRDefault="008D69E1" w:rsidP="00CD51A8">
            <w:pPr>
              <w:pStyle w:val="Instructions"/>
              <w:spacing w:before="120"/>
              <w:rPr>
                <w:iCs/>
              </w:rPr>
            </w:pPr>
            <w:r>
              <w:rPr>
                <w:iCs/>
              </w:rPr>
              <w:t>[</w:t>
            </w:r>
            <w:r w:rsidR="00DF27BC">
              <w:rPr>
                <w:iCs/>
              </w:rPr>
              <w:t xml:space="preserve">NPRR995 and </w:t>
            </w:r>
            <w:r>
              <w:rPr>
                <w:iCs/>
              </w:rPr>
              <w:t>NPRR1002</w:t>
            </w:r>
            <w:r w:rsidRPr="0002450E">
              <w:rPr>
                <w:iCs/>
              </w:rPr>
              <w:t xml:space="preserve">:  Replace </w:t>
            </w:r>
            <w:r w:rsidR="00DF27BC">
              <w:rPr>
                <w:iCs/>
              </w:rPr>
              <w:t xml:space="preserve">applicable portions of </w:t>
            </w:r>
            <w:r>
              <w:rPr>
                <w:iCs/>
              </w:rPr>
              <w:t xml:space="preserve">paragraph (3) </w:t>
            </w:r>
            <w:r w:rsidRPr="0002450E">
              <w:rPr>
                <w:iCs/>
              </w:rPr>
              <w:t xml:space="preserve">above with the following upon system implementation:] </w:t>
            </w:r>
          </w:p>
          <w:p w14:paraId="7FBC2C5A" w14:textId="6C158AD7" w:rsidR="008D69E1" w:rsidRPr="008D69E1" w:rsidRDefault="008D69E1" w:rsidP="00925CF6">
            <w:pPr>
              <w:spacing w:after="240"/>
              <w:ind w:left="720" w:hanging="720"/>
              <w:rPr>
                <w:iCs/>
              </w:rPr>
            </w:pPr>
            <w:r>
              <w:rPr>
                <w:iCs/>
              </w:rPr>
              <w:t>(3)</w:t>
            </w:r>
            <w:r>
              <w:rPr>
                <w:iCs/>
              </w:rPr>
              <w:tab/>
            </w:r>
            <w:r>
              <w:t>Once ERCOT has received a new or amended Standard Generation Interconnection Agreement (SGIA) or a letter from a duly authorized official from the Municipally Owned Utility (MOU) or Electric Cooperative (EC) and has determined that the proposed Generation Resource, ESR, SOG</w:t>
            </w:r>
            <w:r w:rsidR="00DF27BC">
              <w:t>, or SOESS</w:t>
            </w:r>
            <w:r>
              <w:t xml:space="preserve"> meets the requirements of Planning Guide Section 6.9, Addition of Proposed Generation to the Planning Models, ERCOT shall review the description of the proposed Generation Resource, ESR, SOG</w:t>
            </w:r>
            <w:r w:rsidR="00DF27BC">
              <w:t>, or SOESS</w:t>
            </w:r>
            <w:r>
              <w:t xml:space="preserve"> in Exhibit “C” (or similar exhibit) to the SGIA and the data submitted pursuant to Planning Guide Section 6.8.2, to assess whether the Generation Resource, ESR, SOG</w:t>
            </w:r>
            <w:r w:rsidR="00DF27BC">
              <w:t>, or SOESS</w:t>
            </w:r>
            <w:r>
              <w:t>, as proposed, would violate any operational standards established in the Protocols, Planning Guide, Nodal Operating Guides, and Other Binding Documents.  ERCOT must provide its determination to the Transmission Service Provider (TSP) and the owner of the proposed Generation Resource, ESR, SOG</w:t>
            </w:r>
            <w:r w:rsidR="00DF27BC">
              <w:t>, or SOESS</w:t>
            </w:r>
            <w:r>
              <w:t xml:space="preserve"> within 90 days of the date the Generation Resource, ESR, SOG</w:t>
            </w:r>
            <w:r w:rsidR="00DF27BC">
              <w:t>, or SOESS</w:t>
            </w:r>
            <w:r>
              <w:t xml:space="preserve"> meets the conditions for review.  Notwithstanding the foregoing, this determination shall not preclude ERCOT from subsequently determining that the Generation Resource, ESR, SOG</w:t>
            </w:r>
            <w:r w:rsidR="00DF27BC">
              <w:t>, or SOESS</w:t>
            </w:r>
            <w:r>
              <w:t xml:space="preserve"> violates any operational standards established in the Protocols, Planning Guide, Nodal Operating Guides, and Other Binding Documents or from taking any appropriate action based on that determination.</w:t>
            </w:r>
          </w:p>
        </w:tc>
      </w:tr>
    </w:tbl>
    <w:p w14:paraId="399A8B4B" w14:textId="7CB5A509" w:rsidR="00CB766B" w:rsidRPr="00971DA3" w:rsidRDefault="00CB766B" w:rsidP="00AA42E8">
      <w:pPr>
        <w:spacing w:before="240" w:after="240"/>
        <w:ind w:left="720" w:hanging="720"/>
      </w:pPr>
      <w:r w:rsidRPr="00971DA3">
        <w:t>(4)</w:t>
      </w:r>
      <w:r w:rsidRPr="00971DA3">
        <w:tab/>
        <w:t>An Interconnecting Entity (IE) shall not proceed to Initial Synchronization of a Generation Resource</w:t>
      </w:r>
      <w:r>
        <w:t>,</w:t>
      </w:r>
      <w:r w:rsidRPr="004A52A9">
        <w:t xml:space="preserve"> </w:t>
      </w:r>
      <w:r>
        <w:t xml:space="preserve">Settlement Only Transmission Generator (SOTG), or Settlement Only Transmission Self-Generator (SOTSG) </w:t>
      </w:r>
      <w:r w:rsidRPr="00971DA3">
        <w:t>in the event of any of the following conditions:</w:t>
      </w:r>
    </w:p>
    <w:p w14:paraId="78DE7CAE" w14:textId="77777777" w:rsidR="00CB766B" w:rsidRPr="00971DA3" w:rsidRDefault="00CB766B" w:rsidP="00CB766B">
      <w:pPr>
        <w:spacing w:after="240"/>
        <w:ind w:left="1440" w:hanging="720"/>
      </w:pPr>
      <w:r w:rsidRPr="00971DA3">
        <w:t>(a)</w:t>
      </w:r>
      <w:r w:rsidRPr="00971DA3">
        <w:tab/>
        <w:t>Pursuant to paragraph (3) above, ERCOT has reasonably determined that the Generation Resource</w:t>
      </w:r>
      <w:r>
        <w:t>, SOTG,</w:t>
      </w:r>
      <w:r>
        <w:rPr>
          <w:iCs/>
        </w:rPr>
        <w:t xml:space="preserve"> or SOTSG</w:t>
      </w:r>
      <w:r w:rsidRPr="00971DA3">
        <w:t xml:space="preserve"> may violate operational standards established in the Protocols, Planning Guide, Nodal Operating Guides, and Other Binding Documents, and the Resource Entity has not yet demonstrated to ERCOT’s satisfaction that the Generation Resource</w:t>
      </w:r>
      <w:r>
        <w:t>, SOTG,</w:t>
      </w:r>
      <w:r>
        <w:rPr>
          <w:iCs/>
        </w:rPr>
        <w:t xml:space="preserve"> or SOTSG</w:t>
      </w:r>
      <w:r w:rsidRPr="00971DA3">
        <w:t xml:space="preserve"> can comply with these standards;</w:t>
      </w:r>
    </w:p>
    <w:p w14:paraId="0A622782" w14:textId="3988C1F4" w:rsidR="00CB766B" w:rsidRPr="00971DA3" w:rsidRDefault="00CB766B" w:rsidP="00CB766B">
      <w:pPr>
        <w:spacing w:after="240"/>
        <w:ind w:left="1440" w:hanging="720"/>
      </w:pPr>
      <w:r w:rsidRPr="00971DA3">
        <w:t>(b)</w:t>
      </w:r>
      <w:r w:rsidRPr="00971DA3">
        <w:tab/>
        <w:t>The requirements of Planning Guide Section</w:t>
      </w:r>
      <w:r>
        <w:t xml:space="preserve"> </w:t>
      </w:r>
      <w:r w:rsidRPr="00971DA3">
        <w:t>5.</w:t>
      </w:r>
      <w:r w:rsidR="002B49F7">
        <w:t>3.5</w:t>
      </w:r>
      <w:r w:rsidRPr="00971DA3">
        <w:t xml:space="preserve">, </w:t>
      </w:r>
      <w:r w:rsidR="00A01AC4">
        <w:t xml:space="preserve">ERCOT </w:t>
      </w:r>
      <w:r w:rsidRPr="00971DA3">
        <w:t xml:space="preserve">Quarterly Stability Assessment, </w:t>
      </w:r>
      <w:r w:rsidR="00A325E3">
        <w:t xml:space="preserve">if applicable, </w:t>
      </w:r>
      <w:r w:rsidRPr="00971DA3">
        <w:t>have not been completed for the Generation Resource</w:t>
      </w:r>
      <w:r>
        <w:t>, SOTG,</w:t>
      </w:r>
      <w:r>
        <w:rPr>
          <w:iCs/>
        </w:rPr>
        <w:t xml:space="preserve"> or SOTSG</w:t>
      </w:r>
      <w:r w:rsidRPr="00971DA3">
        <w:t>; or</w:t>
      </w:r>
    </w:p>
    <w:p w14:paraId="7680861B" w14:textId="5AAB3F31" w:rsidR="0084081E" w:rsidRDefault="00CB766B" w:rsidP="00784E29">
      <w:pPr>
        <w:spacing w:after="240"/>
        <w:ind w:left="1440" w:hanging="720"/>
      </w:pPr>
      <w:r w:rsidRPr="00971DA3">
        <w:t>(c)</w:t>
      </w:r>
      <w:r w:rsidRPr="00971DA3">
        <w:tab/>
        <w:t xml:space="preserve">Any required </w:t>
      </w:r>
      <w:proofErr w:type="spellStart"/>
      <w:r>
        <w:t>S</w:t>
      </w:r>
      <w:r w:rsidRPr="00971DA3">
        <w:t>ubsynchronous</w:t>
      </w:r>
      <w:proofErr w:type="spellEnd"/>
      <w:r w:rsidRPr="00971DA3">
        <w:t xml:space="preserve"> </w:t>
      </w:r>
      <w:r>
        <w:t>R</w:t>
      </w:r>
      <w:r w:rsidRPr="00971DA3">
        <w:t xml:space="preserve">esonance </w:t>
      </w:r>
      <w:r>
        <w:t xml:space="preserve">(SSR) </w:t>
      </w:r>
      <w:r w:rsidRPr="00971DA3">
        <w:t>studies</w:t>
      </w:r>
      <w:r w:rsidRPr="00B86BC1">
        <w:t xml:space="preserve">, SSR Mitigation </w:t>
      </w:r>
      <w:r>
        <w:t>P</w:t>
      </w:r>
      <w:r w:rsidRPr="00B86BC1">
        <w:t xml:space="preserve">lan, </w:t>
      </w:r>
      <w:r>
        <w:t xml:space="preserve">SSR Protection, </w:t>
      </w:r>
      <w:r w:rsidRPr="00B86BC1">
        <w:t>and SSR monitoring if required,</w:t>
      </w:r>
      <w:r w:rsidRPr="00971DA3">
        <w:t xml:space="preserve"> have not been complete</w:t>
      </w:r>
      <w:r>
        <w:t>d</w:t>
      </w:r>
      <w:r w:rsidRPr="00971DA3">
        <w:t xml:space="preserve"> and approved by ERCOT.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8D69E1" w14:paraId="215AB732" w14:textId="77777777" w:rsidTr="00CD51A8">
        <w:tc>
          <w:tcPr>
            <w:tcW w:w="9558" w:type="dxa"/>
            <w:shd w:val="pct12" w:color="auto" w:fill="auto"/>
          </w:tcPr>
          <w:p w14:paraId="57426CE6" w14:textId="7FEF4C65" w:rsidR="008D69E1" w:rsidRPr="0002450E" w:rsidRDefault="008D69E1" w:rsidP="00CD51A8">
            <w:pPr>
              <w:pStyle w:val="Instructions"/>
              <w:spacing w:before="120"/>
              <w:rPr>
                <w:iCs/>
              </w:rPr>
            </w:pPr>
            <w:r>
              <w:rPr>
                <w:iCs/>
              </w:rPr>
              <w:lastRenderedPageBreak/>
              <w:t>[</w:t>
            </w:r>
            <w:r w:rsidR="00DF27BC">
              <w:rPr>
                <w:iCs/>
              </w:rPr>
              <w:t>NPRR995</w:t>
            </w:r>
            <w:r w:rsidR="00A325E3">
              <w:rPr>
                <w:iCs/>
              </w:rPr>
              <w:t xml:space="preserve"> and</w:t>
            </w:r>
            <w:r w:rsidR="00DF27BC">
              <w:rPr>
                <w:iCs/>
              </w:rPr>
              <w:t xml:space="preserve"> </w:t>
            </w:r>
            <w:r>
              <w:rPr>
                <w:iCs/>
              </w:rPr>
              <w:t>NPRR1002</w:t>
            </w:r>
            <w:r w:rsidRPr="0002450E">
              <w:rPr>
                <w:iCs/>
              </w:rPr>
              <w:t xml:space="preserve">:  Replace </w:t>
            </w:r>
            <w:r w:rsidR="00FB1D0F">
              <w:rPr>
                <w:iCs/>
              </w:rPr>
              <w:t xml:space="preserve">applicable portions of </w:t>
            </w:r>
            <w:r>
              <w:rPr>
                <w:iCs/>
              </w:rPr>
              <w:t xml:space="preserve">paragraph (4) </w:t>
            </w:r>
            <w:r w:rsidRPr="0002450E">
              <w:rPr>
                <w:iCs/>
              </w:rPr>
              <w:t xml:space="preserve">above with the following upon system implementation:] </w:t>
            </w:r>
          </w:p>
          <w:p w14:paraId="2DF7C6B3" w14:textId="117C5A89" w:rsidR="008D69E1" w:rsidRDefault="008D69E1" w:rsidP="008D69E1">
            <w:pPr>
              <w:spacing w:after="240"/>
              <w:ind w:left="720" w:hanging="720"/>
            </w:pPr>
            <w:r>
              <w:t>(4)</w:t>
            </w:r>
            <w:r>
              <w:tab/>
              <w:t>An Interconnecting Entity (IE) shall not proceed to Initial Synchronization of a Generation Resource, ESR, Settlement Only Transmission Generator (SOTG), Settlement Only Transmission Self-Generator (SOTSG)</w:t>
            </w:r>
            <w:r w:rsidR="00DF27BC">
              <w:t>, or Settlement Only Transmission Energy Storage System (SOTESS)</w:t>
            </w:r>
            <w:r>
              <w:t xml:space="preserve"> in the event of any of the following conditions:</w:t>
            </w:r>
          </w:p>
          <w:p w14:paraId="158E9B52" w14:textId="15EDC551" w:rsidR="008D69E1" w:rsidRDefault="008D69E1" w:rsidP="008D69E1">
            <w:pPr>
              <w:spacing w:after="240"/>
              <w:ind w:left="1440" w:hanging="720"/>
            </w:pPr>
            <w:r>
              <w:t>(a)</w:t>
            </w:r>
            <w:r>
              <w:tab/>
              <w:t>Pursuant to paragraph (3) above, ERCOT has reasonably determined that the Generation Resource, ESR, SOTG,</w:t>
            </w:r>
            <w:r>
              <w:rPr>
                <w:iCs/>
              </w:rPr>
              <w:t xml:space="preserve"> SOTSG</w:t>
            </w:r>
            <w:r w:rsidR="00DF27BC">
              <w:rPr>
                <w:iCs/>
              </w:rPr>
              <w:t>, or SOTESS</w:t>
            </w:r>
            <w:r>
              <w:t xml:space="preserve"> may violate operational standards established in the Protocols, Planning Guide, Nodal Operating Guides, and Other Binding Documents, and the Resource Entity has not yet demonstrated to ERCOT’s satisfaction that the Generation Resource, ESR, SOTG,</w:t>
            </w:r>
            <w:r>
              <w:rPr>
                <w:iCs/>
              </w:rPr>
              <w:t xml:space="preserve"> SOTSG</w:t>
            </w:r>
            <w:r w:rsidR="00DF27BC">
              <w:rPr>
                <w:iCs/>
              </w:rPr>
              <w:t>, or SOTESS</w:t>
            </w:r>
            <w:r>
              <w:t xml:space="preserve"> can comply with these standards;</w:t>
            </w:r>
          </w:p>
          <w:p w14:paraId="1AE9478C" w14:textId="1E1DD2D6" w:rsidR="008D69E1" w:rsidRDefault="008D69E1" w:rsidP="008D69E1">
            <w:pPr>
              <w:spacing w:after="240"/>
              <w:ind w:left="1440" w:hanging="720"/>
            </w:pPr>
            <w:r>
              <w:t>(b)</w:t>
            </w:r>
            <w:r>
              <w:tab/>
              <w:t>The requirements of Planning Guide Section 5.</w:t>
            </w:r>
            <w:r w:rsidR="002B49F7">
              <w:t>3.5</w:t>
            </w:r>
            <w:r>
              <w:t xml:space="preserve">, </w:t>
            </w:r>
            <w:r w:rsidR="00A01AC4">
              <w:t xml:space="preserve">ERCOT </w:t>
            </w:r>
            <w:r>
              <w:t>Quarterly Stability Assessment</w:t>
            </w:r>
            <w:r w:rsidR="00331248">
              <w:t xml:space="preserve">, if applicable, </w:t>
            </w:r>
            <w:r>
              <w:t>have not been completed for the Generation Resource, ESR, SOTG,</w:t>
            </w:r>
            <w:r>
              <w:rPr>
                <w:iCs/>
              </w:rPr>
              <w:t xml:space="preserve"> SOTSG</w:t>
            </w:r>
            <w:r w:rsidR="00DF27BC">
              <w:rPr>
                <w:iCs/>
              </w:rPr>
              <w:t>, or SOTESS</w:t>
            </w:r>
            <w:r>
              <w:t>; or</w:t>
            </w:r>
          </w:p>
          <w:p w14:paraId="2A5887B3" w14:textId="4BB79327" w:rsidR="008D69E1" w:rsidRPr="008D69E1" w:rsidRDefault="008D69E1" w:rsidP="008D69E1">
            <w:pPr>
              <w:spacing w:after="240"/>
              <w:ind w:left="1440" w:hanging="720"/>
            </w:pPr>
            <w:r>
              <w:t>(c)</w:t>
            </w:r>
            <w:r>
              <w:tab/>
              <w:t xml:space="preserve">Any required </w:t>
            </w:r>
            <w:proofErr w:type="spellStart"/>
            <w:r>
              <w:t>Subsynchronous</w:t>
            </w:r>
            <w:proofErr w:type="spellEnd"/>
            <w:r>
              <w:t xml:space="preserve"> Resonance (SSR) studies, SSR Mitigation Plan, SSR Protection, and SSR monitoring if required, have not been completed and approved by ERCOT.</w:t>
            </w:r>
          </w:p>
        </w:tc>
      </w:tr>
    </w:tbl>
    <w:p w14:paraId="1AFE4147" w14:textId="23F6172A" w:rsidR="00D629DE" w:rsidRDefault="00A723FE" w:rsidP="00AA42E8">
      <w:pPr>
        <w:pStyle w:val="BodyText"/>
        <w:spacing w:before="240"/>
        <w:ind w:left="720" w:hanging="720"/>
      </w:pPr>
      <w:r>
        <w:t>(</w:t>
      </w:r>
      <w:r w:rsidR="008F6D05">
        <w:t>5</w:t>
      </w:r>
      <w:r>
        <w:t>)</w:t>
      </w:r>
      <w:r>
        <w:tab/>
      </w:r>
      <w:r w:rsidR="00FD6B07" w:rsidRPr="006730E5">
        <w:rPr>
          <w:iCs w:val="0"/>
        </w:rPr>
        <w:t>DG with an installed capacity greater than one MW, the DG registration threshold,</w:t>
      </w:r>
      <w:r w:rsidR="00FD6B07">
        <w:rPr>
          <w:iCs w:val="0"/>
        </w:rPr>
        <w:t xml:space="preserve"> which exports energy into a Distribution System, </w:t>
      </w:r>
      <w:r w:rsidR="00FD6B07" w:rsidRPr="006730E5">
        <w:rPr>
          <w:iCs w:val="0"/>
        </w:rPr>
        <w:t>must register with ERCOT</w:t>
      </w:r>
      <w:r w:rsidR="00FD6B07">
        <w:rPr>
          <w:iCs w:val="0"/>
        </w:rPr>
        <w:t>.</w:t>
      </w:r>
      <w:r w:rsidR="00FD6B07" w:rsidRPr="006730E5">
        <w:rPr>
          <w:iCs w:val="0"/>
        </w:rPr>
        <w:t xml:space="preserve">  </w:t>
      </w:r>
    </w:p>
    <w:p w14:paraId="5BB74F4D" w14:textId="77777777" w:rsidR="007D280D" w:rsidRDefault="007D280D" w:rsidP="007D280D">
      <w:pPr>
        <w:pStyle w:val="BodyText"/>
        <w:ind w:left="720" w:hanging="720"/>
      </w:pPr>
      <w:bookmarkStart w:id="263" w:name="_Toc390438940"/>
      <w:bookmarkStart w:id="264" w:name="_Toc405897637"/>
      <w:bookmarkStart w:id="265" w:name="_Toc415055741"/>
      <w:bookmarkStart w:id="266" w:name="_Toc415055867"/>
      <w:bookmarkStart w:id="267" w:name="_Toc415055966"/>
      <w:bookmarkStart w:id="268" w:name="_Toc415056067"/>
      <w:r>
        <w:t>(6)</w:t>
      </w:r>
      <w:r>
        <w:tab/>
      </w:r>
      <w:r>
        <w:rPr>
          <w:iCs w:val="0"/>
        </w:rPr>
        <w:t>A Resource Entity representing an Energy Storage Resource (ESR) shall register the ESR as both a Generation Resource and a Controllable Load Resource.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8D69E1" w14:paraId="4DBBD77A" w14:textId="77777777" w:rsidTr="00CD51A8">
        <w:tc>
          <w:tcPr>
            <w:tcW w:w="9558" w:type="dxa"/>
            <w:shd w:val="pct12" w:color="auto" w:fill="auto"/>
          </w:tcPr>
          <w:p w14:paraId="5EB1F2E7" w14:textId="13C1EBE7" w:rsidR="008D69E1" w:rsidRPr="0002450E" w:rsidRDefault="008D69E1" w:rsidP="00CD51A8">
            <w:pPr>
              <w:pStyle w:val="Instructions"/>
              <w:spacing w:before="120"/>
              <w:rPr>
                <w:iCs/>
              </w:rPr>
            </w:pPr>
            <w:r>
              <w:rPr>
                <w:iCs/>
              </w:rPr>
              <w:t>[NPRR1002</w:t>
            </w:r>
            <w:r w:rsidRPr="0002450E">
              <w:rPr>
                <w:iCs/>
              </w:rPr>
              <w:t xml:space="preserve">:  Replace </w:t>
            </w:r>
            <w:r>
              <w:rPr>
                <w:iCs/>
              </w:rPr>
              <w:t xml:space="preserve">paragraph (6) </w:t>
            </w:r>
            <w:r w:rsidRPr="0002450E">
              <w:rPr>
                <w:iCs/>
              </w:rPr>
              <w:t xml:space="preserve">above with the following upon system implementation:] </w:t>
            </w:r>
          </w:p>
          <w:p w14:paraId="3B4E811C" w14:textId="6CE8C13C" w:rsidR="008D69E1" w:rsidRPr="008D69E1" w:rsidRDefault="008D69E1" w:rsidP="008D69E1">
            <w:pPr>
              <w:spacing w:after="240"/>
              <w:ind w:left="720" w:hanging="720"/>
            </w:pPr>
            <w:r>
              <w:t>(6)</w:t>
            </w:r>
            <w:r>
              <w:tab/>
              <w:t xml:space="preserve">A Resource Entity representing an ESR shall register the ESR as </w:t>
            </w:r>
            <w:r>
              <w:rPr>
                <w:iCs/>
              </w:rPr>
              <w:t>an ESR</w:t>
            </w:r>
            <w:r>
              <w:t>.</w:t>
            </w:r>
            <w:r>
              <w:rPr>
                <w:iCs/>
              </w:rPr>
              <w:t xml:space="preserve">  ERCOT systems, including the Energy and Market Management System (EM</w:t>
            </w:r>
            <w:r w:rsidR="00331248">
              <w:rPr>
                <w:iCs/>
              </w:rPr>
              <w:t>M</w:t>
            </w:r>
            <w:r>
              <w:rPr>
                <w:iCs/>
              </w:rPr>
              <w:t xml:space="preserve">S) and Settlement system, shall continue to treat the ESR as </w:t>
            </w:r>
            <w:r>
              <w:t>both a Generation Resource and a Controllable Load Resource</w:t>
            </w:r>
            <w:r>
              <w:rPr>
                <w:iCs/>
              </w:rPr>
              <w:t xml:space="preserve"> until such time as all ERCOT systems </w:t>
            </w:r>
            <w:proofErr w:type="gramStart"/>
            <w:r>
              <w:rPr>
                <w:iCs/>
              </w:rPr>
              <w:t>are capable of treating</w:t>
            </w:r>
            <w:proofErr w:type="gramEnd"/>
            <w:r>
              <w:rPr>
                <w:iCs/>
              </w:rPr>
              <w:t xml:space="preserve"> an ESR as a single Resource</w:t>
            </w:r>
            <w:r>
              <w:t>.</w:t>
            </w:r>
          </w:p>
        </w:tc>
      </w:tr>
    </w:tbl>
    <w:p w14:paraId="271AF791" w14:textId="6179FB9E" w:rsidR="00FC1C5F" w:rsidRDefault="00727E32" w:rsidP="00AA42E8">
      <w:pPr>
        <w:pStyle w:val="H3"/>
        <w:spacing w:before="480"/>
      </w:pPr>
      <w:bookmarkStart w:id="269" w:name="_Toc148960843"/>
      <w:r>
        <w:t>16.5.1</w:t>
      </w:r>
      <w:r>
        <w:tab/>
        <w:t>Technical and Managerial Requirements for Resource Entity Applicants</w:t>
      </w:r>
      <w:bookmarkEnd w:id="263"/>
      <w:bookmarkEnd w:id="264"/>
      <w:bookmarkEnd w:id="265"/>
      <w:bookmarkEnd w:id="266"/>
      <w:bookmarkEnd w:id="267"/>
      <w:bookmarkEnd w:id="268"/>
      <w:bookmarkEnd w:id="269"/>
    </w:p>
    <w:p w14:paraId="5098470C" w14:textId="77777777" w:rsidR="00FC1C5F" w:rsidRDefault="007B6516" w:rsidP="00D169BA">
      <w:pPr>
        <w:pStyle w:val="BodyText"/>
        <w:ind w:left="720" w:hanging="720"/>
      </w:pPr>
      <w:r>
        <w:t>(1)</w:t>
      </w:r>
      <w:r>
        <w:tab/>
      </w:r>
      <w:r w:rsidR="00727E32">
        <w:t>A Resource Entity applicant must:</w:t>
      </w:r>
    </w:p>
    <w:p w14:paraId="7CEA7B3C" w14:textId="77777777" w:rsidR="00FC1C5F" w:rsidRDefault="00727E32" w:rsidP="00D169BA">
      <w:pPr>
        <w:pStyle w:val="List"/>
      </w:pPr>
      <w:r>
        <w:lastRenderedPageBreak/>
        <w:t>(</w:t>
      </w:r>
      <w:r w:rsidR="007B6516">
        <w:t>a</w:t>
      </w:r>
      <w:r>
        <w:t>)</w:t>
      </w:r>
      <w:r>
        <w:tab/>
        <w:t>Be capable of complying with all policies, rules, guidelines, registration requirements, and procedures established by these Protocols, ERCOT, or other Independent Organizations, if applicable; and</w:t>
      </w:r>
    </w:p>
    <w:p w14:paraId="4A86B1DF" w14:textId="77777777" w:rsidR="00FC1C5F" w:rsidRDefault="00727E32" w:rsidP="00D169BA">
      <w:pPr>
        <w:pStyle w:val="List"/>
      </w:pPr>
      <w:r>
        <w:t>(</w:t>
      </w:r>
      <w:r w:rsidR="007B6516">
        <w:t>b</w:t>
      </w:r>
      <w:r>
        <w:t>)</w:t>
      </w:r>
      <w:r>
        <w:tab/>
        <w:t>Be capable of purchasing power from Entities registered with or by ERCOT or the Independent Organizations and capable of complying with its system rules.</w:t>
      </w:r>
    </w:p>
    <w:p w14:paraId="2C628244" w14:textId="77777777" w:rsidR="00FC1C5F" w:rsidRPr="00D63F95" w:rsidRDefault="00727E32">
      <w:pPr>
        <w:pStyle w:val="H4"/>
        <w:rPr>
          <w:b/>
        </w:rPr>
      </w:pPr>
      <w:bookmarkStart w:id="270" w:name="_Toc390438941"/>
      <w:bookmarkStart w:id="271" w:name="_Toc405897638"/>
      <w:bookmarkStart w:id="272" w:name="_Toc415055742"/>
      <w:bookmarkStart w:id="273" w:name="_Toc415055868"/>
      <w:bookmarkStart w:id="274" w:name="_Toc415055967"/>
      <w:bookmarkStart w:id="275" w:name="_Toc415056068"/>
      <w:bookmarkStart w:id="276" w:name="_Toc148960844"/>
      <w:r w:rsidRPr="00D63F95">
        <w:rPr>
          <w:b/>
        </w:rPr>
        <w:t>16.5.1.1</w:t>
      </w:r>
      <w:r w:rsidRPr="00D63F95">
        <w:rPr>
          <w:b/>
        </w:rPr>
        <w:tab/>
        <w:t>Designation of a Qualified Scheduling Entity</w:t>
      </w:r>
      <w:bookmarkEnd w:id="270"/>
      <w:bookmarkEnd w:id="271"/>
      <w:bookmarkEnd w:id="272"/>
      <w:bookmarkEnd w:id="273"/>
      <w:bookmarkEnd w:id="274"/>
      <w:bookmarkEnd w:id="275"/>
      <w:bookmarkEnd w:id="276"/>
    </w:p>
    <w:p w14:paraId="5A2C44C4" w14:textId="5FCF61B2" w:rsidR="00FC1C5F" w:rsidRDefault="00727E32" w:rsidP="000E3528">
      <w:pPr>
        <w:pStyle w:val="BodyTextNumbered"/>
      </w:pPr>
      <w:r>
        <w:t>(1)</w:t>
      </w:r>
      <w:r>
        <w:tab/>
        <w:t>Each Resource Entity applicant within the ERCOT Region shall designate the Qualified Scheduling Entity (QSE) that will</w:t>
      </w:r>
      <w:r w:rsidR="000E3528">
        <w:t xml:space="preserve"> perform QSE functions per these Protocol</w:t>
      </w:r>
      <w:r w:rsidR="00AC443B">
        <w:t>s</w:t>
      </w:r>
      <w:r w:rsidR="000E3528">
        <w:t xml:space="preserve"> on behalf of the Resource Entity</w:t>
      </w:r>
      <w:r>
        <w:t>.  Each applicant shall acknowledge that it bears sole responsibility for selecting and maintaining a QSE as its representative.  The applicant shall include a written statement from the designated QSE acknowledging that the QSE accepts responsibility for the applicant’s transactions pursuant to these Protocols.</w:t>
      </w:r>
      <w:r w:rsidR="000E3528">
        <w:t xml:space="preserve">  For the Resource Entity that owns or operates a Resource, the Resource Entity’s QSE designation must be submitted to ERCOT no later than 45 days prior to the Network Operations Model change date</w:t>
      </w:r>
      <w:r w:rsidR="000E3528" w:rsidRPr="00940B2B">
        <w:t xml:space="preserve">, </w:t>
      </w:r>
      <w:r w:rsidR="000E3528" w:rsidRPr="00940B2B">
        <w:rPr>
          <w:szCs w:val="24"/>
        </w:rPr>
        <w:t xml:space="preserve">as described in Section </w:t>
      </w:r>
      <w:bookmarkStart w:id="277" w:name="_Toc333405817"/>
      <w:bookmarkStart w:id="278" w:name="_Toc204048545"/>
      <w:bookmarkEnd w:id="277"/>
      <w:bookmarkEnd w:id="278"/>
      <w:r w:rsidR="000E3528" w:rsidRPr="00940B2B">
        <w:rPr>
          <w:szCs w:val="24"/>
        </w:rPr>
        <w:t xml:space="preserve">3.10.1, </w:t>
      </w:r>
      <w:proofErr w:type="gramStart"/>
      <w:r w:rsidR="000E3528" w:rsidRPr="00940B2B">
        <w:rPr>
          <w:szCs w:val="24"/>
        </w:rPr>
        <w:t>Time Line</w:t>
      </w:r>
      <w:proofErr w:type="gramEnd"/>
      <w:r w:rsidR="000E3528" w:rsidRPr="00940B2B">
        <w:rPr>
          <w:szCs w:val="24"/>
        </w:rPr>
        <w:t xml:space="preserve"> for Network Operations Model Changes, </w:t>
      </w:r>
      <w:r w:rsidR="000E3528" w:rsidRPr="00940B2B">
        <w:t>for</w:t>
      </w:r>
      <w:r w:rsidR="000E3528">
        <w:t xml:space="preserve"> the Resource.</w:t>
      </w:r>
    </w:p>
    <w:p w14:paraId="6F56F9C7" w14:textId="77777777" w:rsidR="00FC1C5F" w:rsidRDefault="00727E32" w:rsidP="000E3528">
      <w:pPr>
        <w:pStyle w:val="BodyTextNumbered"/>
      </w:pPr>
      <w:r>
        <w:t>(2)</w:t>
      </w:r>
      <w:r>
        <w:tab/>
      </w:r>
      <w:r w:rsidR="000E3528">
        <w:t xml:space="preserve">If a Resource Entity fails to maintain a QSE as its representative, the Resource Entity may be designated as an Emergency QSE as provided in Section </w:t>
      </w:r>
      <w:r w:rsidR="000E3528" w:rsidRPr="00C44315">
        <w:t>16.2.6.1, Designation as an Emergency Qualified Scheduling Entity or Virtual Qualified Scheduling Entity</w:t>
      </w:r>
      <w:r w:rsidR="000E3528">
        <w:t>.</w:t>
      </w:r>
    </w:p>
    <w:p w14:paraId="76B93AAE" w14:textId="77777777" w:rsidR="00FC1C5F" w:rsidRPr="00D63F95" w:rsidRDefault="00727E32">
      <w:pPr>
        <w:pStyle w:val="H4"/>
        <w:rPr>
          <w:b/>
        </w:rPr>
      </w:pPr>
      <w:bookmarkStart w:id="279" w:name="_Toc390438942"/>
      <w:bookmarkStart w:id="280" w:name="_Toc405897639"/>
      <w:bookmarkStart w:id="281" w:name="_Toc415055743"/>
      <w:bookmarkStart w:id="282" w:name="_Toc415055869"/>
      <w:bookmarkStart w:id="283" w:name="_Toc415055968"/>
      <w:bookmarkStart w:id="284" w:name="_Toc415056069"/>
      <w:bookmarkStart w:id="285" w:name="_Toc148960845"/>
      <w:r w:rsidRPr="00D63F95">
        <w:rPr>
          <w:b/>
        </w:rPr>
        <w:t>16.5.1.2</w:t>
      </w:r>
      <w:r w:rsidRPr="00D63F95">
        <w:rPr>
          <w:b/>
        </w:rPr>
        <w:tab/>
        <w:t>Waiver for Federal Hydroelectric Facilities</w:t>
      </w:r>
      <w:bookmarkEnd w:id="279"/>
      <w:bookmarkEnd w:id="280"/>
      <w:bookmarkEnd w:id="281"/>
      <w:bookmarkEnd w:id="282"/>
      <w:bookmarkEnd w:id="283"/>
      <w:bookmarkEnd w:id="284"/>
      <w:bookmarkEnd w:id="285"/>
    </w:p>
    <w:p w14:paraId="3B0D1AED" w14:textId="0AA29697" w:rsidR="00CB766B" w:rsidRPr="001E138D" w:rsidRDefault="00CB766B" w:rsidP="00CB766B">
      <w:pPr>
        <w:spacing w:after="240"/>
        <w:ind w:left="720" w:hanging="720"/>
        <w:rPr>
          <w:iCs/>
        </w:rPr>
      </w:pPr>
      <w:r w:rsidRPr="001E138D">
        <w:rPr>
          <w:iCs/>
        </w:rPr>
        <w:t>(1)</w:t>
      </w:r>
      <w:r w:rsidRPr="001E138D">
        <w:rPr>
          <w:iCs/>
        </w:rPr>
        <w:tab/>
        <w:t xml:space="preserve">ERCOT may grant a waiver to any federally owned hydroelectric </w:t>
      </w:r>
      <w:r>
        <w:rPr>
          <w:iCs/>
        </w:rPr>
        <w:t>Generation Resource, SOG, or Load Resource</w:t>
      </w:r>
      <w:r w:rsidRPr="001E138D">
        <w:rPr>
          <w:iCs/>
        </w:rPr>
        <w:t xml:space="preserve"> within the ERCOT System from fulfilling the requirements in </w:t>
      </w:r>
      <w:r w:rsidRPr="0032725A">
        <w:rPr>
          <w:iCs/>
        </w:rPr>
        <w:t>Section 16.5</w:t>
      </w:r>
      <w:r w:rsidRPr="001E138D">
        <w:rPr>
          <w:iCs/>
        </w:rPr>
        <w:t xml:space="preserve">, Registration of a Resource Entity, as they pertain to the submission of a Resource Entity application and the execution of a </w:t>
      </w:r>
      <w:r w:rsidR="00081A43">
        <w:rPr>
          <w:iCs/>
        </w:rPr>
        <w:t xml:space="preserve">Standard Form </w:t>
      </w:r>
      <w:r w:rsidRPr="001E138D">
        <w:rPr>
          <w:iCs/>
        </w:rPr>
        <w:t>Market Participant Agreement (</w:t>
      </w:r>
      <w:r w:rsidRPr="0032725A">
        <w:rPr>
          <w:iCs/>
        </w:rPr>
        <w:t>Section 22, Attachment A</w:t>
      </w:r>
      <w:r w:rsidRPr="001E138D">
        <w:rPr>
          <w:iCs/>
        </w:rPr>
        <w:t>, Standard Form Market Participant Agreement).  ERCOT may grant such waiver after the federally owned hydroelectric Resource Entity provides ERCOT with the following:</w:t>
      </w:r>
    </w:p>
    <w:p w14:paraId="00CEB75D" w14:textId="77777777" w:rsidR="00CB766B" w:rsidRPr="001E138D" w:rsidRDefault="00CB766B" w:rsidP="00CB766B">
      <w:pPr>
        <w:spacing w:after="240"/>
        <w:ind w:left="1440" w:hanging="720"/>
      </w:pPr>
      <w:r w:rsidRPr="001E138D">
        <w:t>(a)</w:t>
      </w:r>
      <w:r w:rsidRPr="001E138D">
        <w:tab/>
        <w:t>All information necessary to meet the Resource Entity registration requirements as provided in this Section;</w:t>
      </w:r>
    </w:p>
    <w:p w14:paraId="155D2648" w14:textId="77777777" w:rsidR="00CB766B" w:rsidRDefault="00CB766B" w:rsidP="00CB766B">
      <w:pPr>
        <w:spacing w:after="240"/>
        <w:ind w:left="1440" w:hanging="720"/>
      </w:pPr>
      <w:r w:rsidRPr="001E138D">
        <w:t>(b)</w:t>
      </w:r>
      <w:r w:rsidRPr="001E138D">
        <w:tab/>
        <w:t xml:space="preserve">The designation of a </w:t>
      </w:r>
      <w:r w:rsidRPr="0032725A">
        <w:t>QSE</w:t>
      </w:r>
      <w:r w:rsidRPr="001E138D">
        <w:t xml:space="preserve"> for each </w:t>
      </w:r>
      <w:r>
        <w:rPr>
          <w:iCs/>
        </w:rPr>
        <w:t>Generation Resource, SOG, or Load Resource</w:t>
      </w:r>
      <w:r w:rsidRPr="001E138D">
        <w:t xml:space="preserve"> that it owns or controls; and</w:t>
      </w:r>
    </w:p>
    <w:p w14:paraId="1ED97B23" w14:textId="16B398B2" w:rsidR="00FC1C5F" w:rsidRDefault="00CB766B">
      <w:pPr>
        <w:pStyle w:val="List"/>
      </w:pPr>
      <w:r w:rsidRPr="001E138D">
        <w:t>(c)</w:t>
      </w:r>
      <w:r w:rsidRPr="001E138D">
        <w:tab/>
        <w:t xml:space="preserve">Assignment of each </w:t>
      </w:r>
      <w:r>
        <w:t>Generation Resource’s, SOG’s, or Load Resource’s</w:t>
      </w:r>
      <w:r w:rsidRPr="001E138D">
        <w:t xml:space="preserve"> Electric Service Identifier (ESI ID) to a Load Serving Entity (LSE) serving any Load or net Load, if the </w:t>
      </w:r>
      <w:r>
        <w:t>Generation Resource, SOG, or Load Resource</w:t>
      </w:r>
      <w:r w:rsidRPr="001E138D">
        <w:t xml:space="preserve"> is net metered and will be connected to the ERCOT System.  Such Load, if retail Load, is subject to all applicable rules and procedures, including rules concerning disconnection and </w:t>
      </w:r>
      <w:r w:rsidRPr="001E138D">
        <w:lastRenderedPageBreak/>
        <w:t>Provider of Last Resort (POLR) service, applicable to other retail points of delivery.</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DF27BC" w14:paraId="45E6A4ED" w14:textId="77777777" w:rsidTr="008552F8">
        <w:tc>
          <w:tcPr>
            <w:tcW w:w="9558" w:type="dxa"/>
            <w:shd w:val="pct12" w:color="auto" w:fill="auto"/>
          </w:tcPr>
          <w:p w14:paraId="40D1DE84" w14:textId="04059C09" w:rsidR="00DF27BC" w:rsidRPr="0002450E" w:rsidRDefault="00DF27BC" w:rsidP="008552F8">
            <w:pPr>
              <w:pStyle w:val="Instructions"/>
              <w:spacing w:before="120"/>
              <w:rPr>
                <w:iCs/>
              </w:rPr>
            </w:pPr>
            <w:bookmarkStart w:id="286" w:name="_Toc390438943"/>
            <w:bookmarkStart w:id="287" w:name="_Toc405897640"/>
            <w:bookmarkStart w:id="288" w:name="_Toc415055744"/>
            <w:bookmarkStart w:id="289" w:name="_Toc415055870"/>
            <w:bookmarkStart w:id="290" w:name="_Toc415055969"/>
            <w:bookmarkStart w:id="291" w:name="_Toc415056070"/>
            <w:r>
              <w:rPr>
                <w:iCs/>
              </w:rPr>
              <w:t>[NPRR995</w:t>
            </w:r>
            <w:r w:rsidRPr="0002450E">
              <w:rPr>
                <w:iCs/>
              </w:rPr>
              <w:t xml:space="preserve">:  Replace </w:t>
            </w:r>
            <w:r>
              <w:rPr>
                <w:iCs/>
              </w:rPr>
              <w:t xml:space="preserve">paragraph (1) </w:t>
            </w:r>
            <w:r w:rsidRPr="0002450E">
              <w:rPr>
                <w:iCs/>
              </w:rPr>
              <w:t xml:space="preserve">above with the following upon system implementation:] </w:t>
            </w:r>
          </w:p>
          <w:p w14:paraId="0DEF59F3" w14:textId="77777777" w:rsidR="00DF27BC" w:rsidRPr="007405C8" w:rsidRDefault="00DF27BC" w:rsidP="00DF27BC">
            <w:pPr>
              <w:spacing w:after="240"/>
              <w:ind w:left="720" w:hanging="720"/>
              <w:rPr>
                <w:iCs/>
              </w:rPr>
            </w:pPr>
            <w:r w:rsidRPr="007405C8">
              <w:rPr>
                <w:iCs/>
              </w:rPr>
              <w:t>(1)</w:t>
            </w:r>
            <w:r w:rsidRPr="007405C8">
              <w:rPr>
                <w:iCs/>
              </w:rPr>
              <w:tab/>
              <w:t xml:space="preserve">ERCOT may grant a waiver to any federally owned hydroelectric Generation Resource, SOG, </w:t>
            </w:r>
            <w:r>
              <w:rPr>
                <w:iCs/>
              </w:rPr>
              <w:t xml:space="preserve">SOESS, </w:t>
            </w:r>
            <w:r w:rsidRPr="007405C8">
              <w:rPr>
                <w:iCs/>
              </w:rPr>
              <w:t xml:space="preserve">or Load Resource within the ERCOT System from fulfilling the requirements in Section 16.5, Registration of a Resource Entity, as they pertain to the submission of a Resource Entity application and the execution of a </w:t>
            </w:r>
            <w:r w:rsidRPr="005D4CCB">
              <w:rPr>
                <w:iCs/>
              </w:rPr>
              <w:t xml:space="preserve">Standard Form </w:t>
            </w:r>
            <w:r w:rsidRPr="007405C8">
              <w:rPr>
                <w:iCs/>
              </w:rPr>
              <w:t>Market Participant Agreement (Section 22, Attachment A, Standard Form Market Participant Agreement).  ERCOT may grant such waiver after the federally owned hydroelectric Resource Entity provides ERCOT with the following:</w:t>
            </w:r>
          </w:p>
          <w:p w14:paraId="325A66B1" w14:textId="77777777" w:rsidR="00DF27BC" w:rsidRPr="007405C8" w:rsidRDefault="00DF27BC" w:rsidP="00DF27BC">
            <w:pPr>
              <w:spacing w:after="240"/>
              <w:ind w:left="1440" w:hanging="720"/>
            </w:pPr>
            <w:r w:rsidRPr="007405C8">
              <w:t>(a)</w:t>
            </w:r>
            <w:r w:rsidRPr="007405C8">
              <w:tab/>
              <w:t>All information necessary to meet the Resource Entity registration requirements as provided in this Section;</w:t>
            </w:r>
          </w:p>
          <w:p w14:paraId="51225C9B" w14:textId="77777777" w:rsidR="00DF27BC" w:rsidRPr="007405C8" w:rsidRDefault="00DF27BC" w:rsidP="00DF27BC">
            <w:pPr>
              <w:spacing w:after="240"/>
              <w:ind w:left="1440" w:hanging="720"/>
            </w:pPr>
            <w:r w:rsidRPr="007405C8">
              <w:t>(b)</w:t>
            </w:r>
            <w:r w:rsidRPr="007405C8">
              <w:tab/>
              <w:t xml:space="preserve">The designation of a QSE for each </w:t>
            </w:r>
            <w:r w:rsidRPr="007405C8">
              <w:rPr>
                <w:iCs/>
              </w:rPr>
              <w:t xml:space="preserve">Generation Resource, SOG, </w:t>
            </w:r>
            <w:r>
              <w:rPr>
                <w:iCs/>
              </w:rPr>
              <w:t xml:space="preserve">SOESS, </w:t>
            </w:r>
            <w:r w:rsidRPr="007405C8">
              <w:rPr>
                <w:iCs/>
              </w:rPr>
              <w:t>or Load Resource</w:t>
            </w:r>
            <w:r w:rsidRPr="007405C8">
              <w:t xml:space="preserve"> that it owns or controls; and</w:t>
            </w:r>
          </w:p>
          <w:p w14:paraId="4E5249D1" w14:textId="5F3BD9BE" w:rsidR="00DF27BC" w:rsidRPr="008D69E1" w:rsidRDefault="00DF27BC" w:rsidP="00DF27BC">
            <w:pPr>
              <w:spacing w:after="240"/>
              <w:ind w:left="1440" w:hanging="720"/>
            </w:pPr>
            <w:r w:rsidRPr="007405C8">
              <w:t>(c)</w:t>
            </w:r>
            <w:r w:rsidRPr="007405C8">
              <w:tab/>
              <w:t xml:space="preserve">Assignment of each Generation Resource’s, SOG’s, </w:t>
            </w:r>
            <w:r>
              <w:rPr>
                <w:iCs/>
              </w:rPr>
              <w:t xml:space="preserve">SOESS’s, </w:t>
            </w:r>
            <w:r w:rsidRPr="007405C8">
              <w:t xml:space="preserve">or Load Resource’s Electric Service Identifier (ESI ID) to a Load Serving Entity (LSE) serving any Load or net Load, if the Generation Resource, SOG, </w:t>
            </w:r>
            <w:r>
              <w:rPr>
                <w:iCs/>
              </w:rPr>
              <w:t xml:space="preserve">SOESS, </w:t>
            </w:r>
            <w:r w:rsidRPr="007405C8">
              <w:t>or Load Resource is net metered and will be connected to the ERCOT System.  Such Load, if retail Load, is subject to all applicable rules and procedures, including rules concerning disconnection and Provider of Last Resort (POLR) service, applicable to other retail points of delivery.</w:t>
            </w:r>
          </w:p>
        </w:tc>
      </w:tr>
    </w:tbl>
    <w:p w14:paraId="604FAA6B" w14:textId="77777777" w:rsidR="00FC1C5F" w:rsidRPr="00D63F95" w:rsidRDefault="00727E32" w:rsidP="00C33516">
      <w:pPr>
        <w:pStyle w:val="H4"/>
        <w:keepNext w:val="0"/>
        <w:spacing w:before="480"/>
        <w:rPr>
          <w:b/>
        </w:rPr>
      </w:pPr>
      <w:bookmarkStart w:id="292" w:name="_Toc148960846"/>
      <w:r w:rsidRPr="00D63F95">
        <w:rPr>
          <w:b/>
        </w:rPr>
        <w:t>16.5.1.3</w:t>
      </w:r>
      <w:r w:rsidRPr="00D63F95">
        <w:rPr>
          <w:b/>
        </w:rPr>
        <w:tab/>
        <w:t>Waiver for Block Load Transfer Resources</w:t>
      </w:r>
      <w:bookmarkEnd w:id="286"/>
      <w:bookmarkEnd w:id="287"/>
      <w:bookmarkEnd w:id="288"/>
      <w:bookmarkEnd w:id="289"/>
      <w:bookmarkEnd w:id="290"/>
      <w:bookmarkEnd w:id="291"/>
      <w:bookmarkEnd w:id="292"/>
    </w:p>
    <w:p w14:paraId="6B49AF46" w14:textId="600A68CB" w:rsidR="00FC1C5F" w:rsidRDefault="00853D39" w:rsidP="009F10FE">
      <w:pPr>
        <w:pStyle w:val="ListIntroduction"/>
        <w:keepNext w:val="0"/>
        <w:ind w:left="720" w:hanging="720"/>
      </w:pPr>
      <w:r>
        <w:rPr>
          <w:lang w:val="en-US"/>
        </w:rPr>
        <w:t>(1)</w:t>
      </w:r>
      <w:r>
        <w:rPr>
          <w:lang w:val="en-US"/>
        </w:rPr>
        <w:tab/>
      </w:r>
      <w:r w:rsidR="00727E32">
        <w:t>ERCOT may grant a waiver to a Resource Entity for a Block Load Transfer (</w:t>
      </w:r>
      <w:smartTag w:uri="urn:schemas-microsoft-com:office:smarttags" w:element="stockticker">
        <w:r w:rsidR="00727E32">
          <w:t>BLT</w:t>
        </w:r>
      </w:smartTag>
      <w:r w:rsidR="00727E32">
        <w:t xml:space="preserve">) Resource from fulfilling the requirements in Section 16.5, Registration of a Resource Entity, as they pertain to the submission of a Resource Entity application and the execution of a </w:t>
      </w:r>
      <w:r w:rsidR="00081A43">
        <w:rPr>
          <w:lang w:val="en-US"/>
        </w:rPr>
        <w:t xml:space="preserve">Standard Form </w:t>
      </w:r>
      <w:r w:rsidR="00727E32">
        <w:t>Market Participant Agreement (Section 22, Attachment A, Standard Form Market Participant Agreement).  ERCOT may grant such waiver after the Resource Entity for the BLT Resource provides ERCOT with the following:</w:t>
      </w:r>
    </w:p>
    <w:p w14:paraId="04D5F98F" w14:textId="77777777" w:rsidR="00FC1C5F" w:rsidRDefault="00727E32">
      <w:pPr>
        <w:pStyle w:val="List"/>
      </w:pPr>
      <w:r>
        <w:t>(a)</w:t>
      </w:r>
      <w:r>
        <w:tab/>
        <w:t>All applicable information necessary to meet the Resource Entity registration requirements as provided in this Section; and</w:t>
      </w:r>
    </w:p>
    <w:p w14:paraId="1FD3906F" w14:textId="77777777" w:rsidR="00FC1C5F" w:rsidRDefault="00727E32">
      <w:pPr>
        <w:pStyle w:val="List"/>
      </w:pPr>
      <w:r>
        <w:t>(b)</w:t>
      </w:r>
      <w:r>
        <w:tab/>
        <w:t>The designation of a QSE for the BLT Resource.</w:t>
      </w:r>
    </w:p>
    <w:p w14:paraId="1258AF9E" w14:textId="77777777" w:rsidR="00FC1C5F" w:rsidRDefault="00727E32">
      <w:pPr>
        <w:pStyle w:val="H3"/>
      </w:pPr>
      <w:bookmarkStart w:id="293" w:name="_Toc390438944"/>
      <w:bookmarkStart w:id="294" w:name="_Toc405897641"/>
      <w:bookmarkStart w:id="295" w:name="_Toc415055745"/>
      <w:bookmarkStart w:id="296" w:name="_Toc415055871"/>
      <w:bookmarkStart w:id="297" w:name="_Toc415055970"/>
      <w:bookmarkStart w:id="298" w:name="_Toc415056071"/>
      <w:bookmarkStart w:id="299" w:name="_Toc148960847"/>
      <w:r>
        <w:t>16.5.2</w:t>
      </w:r>
      <w:r>
        <w:tab/>
        <w:t>Registration Process for a Resource Entity</w:t>
      </w:r>
      <w:bookmarkEnd w:id="293"/>
      <w:bookmarkEnd w:id="294"/>
      <w:bookmarkEnd w:id="295"/>
      <w:bookmarkEnd w:id="296"/>
      <w:bookmarkEnd w:id="297"/>
      <w:bookmarkEnd w:id="298"/>
      <w:bookmarkEnd w:id="299"/>
    </w:p>
    <w:p w14:paraId="6F560A33" w14:textId="42BA5B96" w:rsidR="00FC1C5F" w:rsidRDefault="00727E32">
      <w:pPr>
        <w:pStyle w:val="BodyTextNumbered"/>
      </w:pPr>
      <w:r>
        <w:t>(1)</w:t>
      </w:r>
      <w:r>
        <w:tab/>
        <w:t xml:space="preserve">To register as a Resource Entity, an applicant must submit to ERCOT a completed Resource Entity application and any applicable fee.  ERCOT shall post on the </w:t>
      </w:r>
      <w:r w:rsidR="00F13002">
        <w:t xml:space="preserve">ERCOT </w:t>
      </w:r>
      <w:r w:rsidR="00F13002">
        <w:lastRenderedPageBreak/>
        <w:t>website</w:t>
      </w:r>
      <w:r>
        <w:t xml:space="preserve"> the form in which Resource Entity applications must be submitted, all materials that must be provided with the Resource Entity application.  </w:t>
      </w:r>
    </w:p>
    <w:p w14:paraId="52D24382" w14:textId="02586762" w:rsidR="00FC1C5F" w:rsidRDefault="00727E32">
      <w:pPr>
        <w:pStyle w:val="BodyTextNumbered"/>
      </w:pPr>
      <w:r>
        <w:t>(2)</w:t>
      </w:r>
      <w:r>
        <w:tab/>
        <w:t xml:space="preserve">The Resource Entity application must be attested to by a duly authorized officer or agent of the applicant.  The applicant shall promptly notify ERCOT of any material changes affecting a pending Resource Entity application using the appropriate form posted on the </w:t>
      </w:r>
      <w:r w:rsidR="00F13002">
        <w:t>ERCOT website</w:t>
      </w:r>
      <w:r>
        <w:t xml:space="preserve">.  </w:t>
      </w:r>
    </w:p>
    <w:p w14:paraId="6774AB2A" w14:textId="77777777" w:rsidR="004E6267" w:rsidRDefault="004E6267">
      <w:pPr>
        <w:pStyle w:val="BodyTextNumbered"/>
      </w:pPr>
      <w:r>
        <w:t>(3)</w:t>
      </w:r>
      <w:r>
        <w:tab/>
        <w:t>If the Resource Entity intends to own or control a Load Resource located within a Non-Opt-In Entity’s (NOIE’s) service territory, such applicant must designate the NOIE’s QSE, or an alternate QSE authorized by the NOIE.  If an alternate QSE is designated, then such QSE representing that Load Resource must first obtain written permission from the NOIE prior to offering any services in the NOIE’s service territory.  The alternate QSE shall submit the NOIE’s written permission to ERCOT at the time of designation.</w:t>
      </w:r>
    </w:p>
    <w:p w14:paraId="01D75B67" w14:textId="77777777" w:rsidR="00FC1C5F" w:rsidRPr="00D63F95" w:rsidRDefault="00727E32">
      <w:pPr>
        <w:pStyle w:val="H4"/>
        <w:rPr>
          <w:b/>
        </w:rPr>
      </w:pPr>
      <w:bookmarkStart w:id="300" w:name="_Toc390438945"/>
      <w:bookmarkStart w:id="301" w:name="_Toc405897642"/>
      <w:bookmarkStart w:id="302" w:name="_Toc415055746"/>
      <w:bookmarkStart w:id="303" w:name="_Toc415055872"/>
      <w:bookmarkStart w:id="304" w:name="_Toc415055971"/>
      <w:bookmarkStart w:id="305" w:name="_Toc415056072"/>
      <w:bookmarkStart w:id="306" w:name="_Toc148960848"/>
      <w:r w:rsidRPr="00D63F95">
        <w:rPr>
          <w:b/>
        </w:rPr>
        <w:t>16.5.2.1</w:t>
      </w:r>
      <w:r w:rsidRPr="00D63F95">
        <w:rPr>
          <w:b/>
        </w:rPr>
        <w:tab/>
        <w:t>Notice of Receipt of Resource Entity Application</w:t>
      </w:r>
      <w:bookmarkEnd w:id="300"/>
      <w:bookmarkEnd w:id="301"/>
      <w:bookmarkEnd w:id="302"/>
      <w:bookmarkEnd w:id="303"/>
      <w:bookmarkEnd w:id="304"/>
      <w:bookmarkEnd w:id="305"/>
      <w:bookmarkEnd w:id="306"/>
    </w:p>
    <w:p w14:paraId="3DDA3C89" w14:textId="77777777" w:rsidR="00FC1C5F" w:rsidRDefault="00853D39" w:rsidP="009F10FE">
      <w:pPr>
        <w:pStyle w:val="BodyText"/>
        <w:ind w:left="720" w:hanging="720"/>
      </w:pPr>
      <w:r>
        <w:t>(1)</w:t>
      </w:r>
      <w:r>
        <w:tab/>
      </w:r>
      <w:r w:rsidR="00727E32">
        <w:t>Within three Business Days after receiving a Resource Entity application, ERCOT shall issue the Resource Entity applicant a written confirmation that ERCOT has received the application.  ERCOT shall return without review any Resource Entity application that is not complete.</w:t>
      </w:r>
    </w:p>
    <w:p w14:paraId="78511D80" w14:textId="77777777" w:rsidR="00FC1C5F" w:rsidRPr="00D63F95" w:rsidRDefault="00727E32">
      <w:pPr>
        <w:pStyle w:val="H4"/>
        <w:rPr>
          <w:b/>
        </w:rPr>
      </w:pPr>
      <w:bookmarkStart w:id="307" w:name="_Toc390438946"/>
      <w:bookmarkStart w:id="308" w:name="_Toc405897643"/>
      <w:bookmarkStart w:id="309" w:name="_Toc415055747"/>
      <w:bookmarkStart w:id="310" w:name="_Toc415055873"/>
      <w:bookmarkStart w:id="311" w:name="_Toc415055972"/>
      <w:bookmarkStart w:id="312" w:name="_Toc415056073"/>
      <w:bookmarkStart w:id="313" w:name="_Toc148960849"/>
      <w:r w:rsidRPr="00D63F95">
        <w:rPr>
          <w:b/>
        </w:rPr>
        <w:t>16.5.2.2</w:t>
      </w:r>
      <w:r w:rsidRPr="00D63F95">
        <w:rPr>
          <w:b/>
        </w:rPr>
        <w:tab/>
        <w:t>Incomplete Resource Entity Applications</w:t>
      </w:r>
      <w:bookmarkEnd w:id="307"/>
      <w:bookmarkEnd w:id="308"/>
      <w:bookmarkEnd w:id="309"/>
      <w:bookmarkEnd w:id="310"/>
      <w:bookmarkEnd w:id="311"/>
      <w:bookmarkEnd w:id="312"/>
      <w:bookmarkEnd w:id="313"/>
    </w:p>
    <w:p w14:paraId="5AE59E27" w14:textId="77777777" w:rsidR="00FC1C5F" w:rsidRDefault="00727E32">
      <w:pPr>
        <w:pStyle w:val="BodyTextNumbered"/>
      </w:pPr>
      <w:r>
        <w:t>(1)</w:t>
      </w:r>
      <w:r>
        <w:tab/>
        <w:t>Not more than ten Business Days after receiving a Resource Entity application, ERCOT shall notify the applicant in writing whether the application is complete.</w:t>
      </w:r>
    </w:p>
    <w:p w14:paraId="35F11250" w14:textId="77777777" w:rsidR="00FC1C5F" w:rsidRDefault="00727E32">
      <w:pPr>
        <w:pStyle w:val="BodyTextNumbered"/>
      </w:pPr>
      <w:r>
        <w:t>(2)</w:t>
      </w:r>
      <w:r>
        <w:tab/>
        <w:t xml:space="preserve">If ERCOT determines that a Resource Entity application is not complete, ERCOT’s notice must explain the reasons for that determination and the additional information necessary to make the application complete.  The applicant has five Business Days from receiving ERCOT’s notice, or such longer period as ERCOT may allow, to provide the additional information set forth in ERCOT’s notice.  If the applicant timely responds to ERCOT’s notice with the required additional information, then the application is deemed complete on the date that ERCOT receives the applicant’s response. </w:t>
      </w:r>
    </w:p>
    <w:p w14:paraId="7C586039" w14:textId="77777777" w:rsidR="00FC1C5F" w:rsidRDefault="00727E32">
      <w:pPr>
        <w:pStyle w:val="BodyTextNumbered"/>
      </w:pPr>
      <w:r>
        <w:t>(3)</w:t>
      </w:r>
      <w:r>
        <w:tab/>
        <w:t>If the applicant does not timely respond to ERCOT’s notice, then the application must be rejected, and ERCOT shall retain any application fee included with the application.</w:t>
      </w:r>
    </w:p>
    <w:p w14:paraId="657070C0" w14:textId="77777777" w:rsidR="00FC1C5F" w:rsidRDefault="00727E32">
      <w:pPr>
        <w:pStyle w:val="BodyText"/>
        <w:ind w:left="720" w:hanging="720"/>
        <w:rPr>
          <w:b/>
        </w:rPr>
      </w:pPr>
      <w:r>
        <w:rPr>
          <w:b/>
        </w:rPr>
        <w:t>16.5.2.3</w:t>
      </w:r>
      <w:r>
        <w:rPr>
          <w:b/>
        </w:rPr>
        <w:tab/>
        <w:t>ERCOT Approval or Rejection of a Resource Entity Application</w:t>
      </w:r>
    </w:p>
    <w:p w14:paraId="25A2744E" w14:textId="77777777" w:rsidR="00FC1C5F" w:rsidRDefault="00727E32">
      <w:pPr>
        <w:pStyle w:val="BodyTextNumbered"/>
      </w:pPr>
      <w:r>
        <w:t>(1)</w:t>
      </w:r>
      <w:r>
        <w:tab/>
        <w:t xml:space="preserve">ERCOT may reject a Resource Entity application within ten Business Days after the application has been deemed complete in accordance with this Section.  If ERCOT does not reject the Resource Entity application within ten Business Days after the application is deemed </w:t>
      </w:r>
      <w:proofErr w:type="gramStart"/>
      <w:r>
        <w:t>complete</w:t>
      </w:r>
      <w:proofErr w:type="gramEnd"/>
      <w:r>
        <w:t xml:space="preserve"> then the application is deemed approved.</w:t>
      </w:r>
    </w:p>
    <w:p w14:paraId="6454A628" w14:textId="77777777" w:rsidR="00FC1C5F" w:rsidRDefault="00727E32">
      <w:pPr>
        <w:pStyle w:val="BodyTextNumbered"/>
      </w:pPr>
      <w:r>
        <w:lastRenderedPageBreak/>
        <w:t>(2)</w:t>
      </w:r>
      <w:r>
        <w:tab/>
        <w:t>If ERCOT rejects a Resource Entity application, ERCOT shall send the Resource Entity applicant a rejection letter explaining the grounds upon which ERCOT rejected the Resource Entity application.  Appropriate grounds for rejecting a Resource Entity application include the following:</w:t>
      </w:r>
    </w:p>
    <w:p w14:paraId="1E7733DC" w14:textId="77777777" w:rsidR="00FC1C5F" w:rsidRDefault="00727E32">
      <w:pPr>
        <w:pStyle w:val="List"/>
      </w:pPr>
      <w:r>
        <w:t>(a)</w:t>
      </w:r>
      <w:r>
        <w:tab/>
        <w:t>Required information is not provided to ERCOT in the allotted time;</w:t>
      </w:r>
    </w:p>
    <w:p w14:paraId="5E0D44E7" w14:textId="77777777" w:rsidR="00FC1C5F" w:rsidRDefault="00727E32">
      <w:pPr>
        <w:pStyle w:val="List"/>
      </w:pPr>
      <w:r>
        <w:t>(b)</w:t>
      </w:r>
      <w:r>
        <w:tab/>
        <w:t>Noncompliance with technical requirements; and</w:t>
      </w:r>
    </w:p>
    <w:p w14:paraId="3E1944C9" w14:textId="77777777" w:rsidR="00FC1C5F" w:rsidRDefault="00727E32">
      <w:pPr>
        <w:pStyle w:val="List"/>
      </w:pPr>
      <w:r>
        <w:t>(c)</w:t>
      </w:r>
      <w:r>
        <w:tab/>
        <w:t>Noncompliance with other specific eligibility requirements set forth in this Section or in any other part of these Protocols.</w:t>
      </w:r>
    </w:p>
    <w:p w14:paraId="6A7097F4" w14:textId="77777777" w:rsidR="00FC1C5F" w:rsidRDefault="00727E32">
      <w:pPr>
        <w:pStyle w:val="BodyTextNumbered"/>
      </w:pPr>
      <w:r>
        <w:t>(3)</w:t>
      </w:r>
      <w:r>
        <w:tab/>
        <w:t>Not later than ten Business Days after receiving a rejection letter, the Resource Entity applicant may challenge the rejection of its Resource Entity application using the dispute resolution procedures set forth in Section 20, Alternative Dispute Resolution Procedure.  The applicant may submit a new Resource Entity application and fee at any time, and ERCOT shall process the new Resource Entity application under this Section.</w:t>
      </w:r>
    </w:p>
    <w:p w14:paraId="7C8249AC" w14:textId="77777777" w:rsidR="00FC1C5F" w:rsidRDefault="00727E32">
      <w:pPr>
        <w:pStyle w:val="H3"/>
      </w:pPr>
      <w:bookmarkStart w:id="314" w:name="_Toc71369193"/>
      <w:bookmarkStart w:id="315" w:name="_Toc71539409"/>
      <w:bookmarkStart w:id="316" w:name="_Toc390438947"/>
      <w:bookmarkStart w:id="317" w:name="_Toc405897644"/>
      <w:bookmarkStart w:id="318" w:name="_Toc415055748"/>
      <w:bookmarkStart w:id="319" w:name="_Toc415055874"/>
      <w:bookmarkStart w:id="320" w:name="_Toc415055973"/>
      <w:bookmarkStart w:id="321" w:name="_Toc415056074"/>
      <w:bookmarkStart w:id="322" w:name="_Toc148960850"/>
      <w:r>
        <w:t>16.5.3</w:t>
      </w:r>
      <w:r>
        <w:tab/>
        <w:t>Changing QSE Designation</w:t>
      </w:r>
      <w:bookmarkEnd w:id="314"/>
      <w:bookmarkEnd w:id="315"/>
      <w:bookmarkEnd w:id="316"/>
      <w:bookmarkEnd w:id="317"/>
      <w:bookmarkEnd w:id="318"/>
      <w:bookmarkEnd w:id="319"/>
      <w:bookmarkEnd w:id="320"/>
      <w:bookmarkEnd w:id="321"/>
      <w:bookmarkEnd w:id="322"/>
    </w:p>
    <w:p w14:paraId="2D514A1D" w14:textId="77777777" w:rsidR="00FC1C5F" w:rsidRDefault="00727E32">
      <w:pPr>
        <w:pStyle w:val="BodyTextNumbered"/>
      </w:pPr>
      <w:r>
        <w:t>(1)</w:t>
      </w:r>
      <w:r>
        <w:tab/>
        <w:t xml:space="preserve">A Resource Entity may change its designation of QSE </w:t>
      </w:r>
      <w:r w:rsidR="00F97889">
        <w:t>with written notice to ERCOT</w:t>
      </w:r>
      <w:r w:rsidR="000E3528">
        <w:t>, no more than once in any consecutive three days</w:t>
      </w:r>
      <w:r w:rsidR="00F97889">
        <w:t>.</w:t>
      </w:r>
      <w:r>
        <w:t xml:space="preserve">  </w:t>
      </w:r>
    </w:p>
    <w:p w14:paraId="2295137A" w14:textId="31E3C1A2" w:rsidR="000E3528" w:rsidRPr="00530E2D" w:rsidRDefault="00727E32" w:rsidP="000E3528">
      <w:pPr>
        <w:pStyle w:val="BodyTextNumbered"/>
        <w:rPr>
          <w:szCs w:val="24"/>
        </w:rPr>
      </w:pPr>
      <w:r>
        <w:t>(2)</w:t>
      </w:r>
      <w:r>
        <w:tab/>
      </w:r>
      <w:r w:rsidR="000E3528" w:rsidRPr="00530E2D">
        <w:rPr>
          <w:szCs w:val="24"/>
        </w:rPr>
        <w:t xml:space="preserve">If a Resource Entity’s representation by a QSE will terminate or the Resource Entity intends to be represented by a different QSE, the Resource Entity shall provide the name of the newly designated QSE to ERCOT along with </w:t>
      </w:r>
      <w:r>
        <w:t xml:space="preserve">a written statement from the </w:t>
      </w:r>
      <w:r w:rsidR="00F97889">
        <w:t xml:space="preserve">newly </w:t>
      </w:r>
      <w:r>
        <w:t>designated QSE acknowledging the QSE</w:t>
      </w:r>
      <w:r w:rsidR="000E3528">
        <w:t xml:space="preserve">’s agreement to </w:t>
      </w:r>
      <w:r>
        <w:t>accept responsibility for the Resource Entity’s transactions under these Protocols.</w:t>
      </w:r>
      <w:r w:rsidR="00F97889">
        <w:t xml:space="preserve">  </w:t>
      </w:r>
      <w:r w:rsidR="000E3528" w:rsidRPr="00530E2D">
        <w:rPr>
          <w:szCs w:val="24"/>
        </w:rPr>
        <w:t xml:space="preserve">For the Resource Entity that owns or operates a Resource, the Resource Entity’s QSE designation must be </w:t>
      </w:r>
      <w:r w:rsidR="004E5204" w:rsidRPr="007B773F">
        <w:rPr>
          <w:rFonts w:ascii="TimesNewRomanPSMT" w:hAnsi="TimesNewRomanPSMT" w:cs="TimesNewRomanPSMT"/>
        </w:rPr>
        <w:t>submitted to ERCOT no later than 45 days before the effective date of the change, unless otherwise</w:t>
      </w:r>
      <w:r w:rsidR="004E5204" w:rsidRPr="00530E2D">
        <w:rPr>
          <w:szCs w:val="24"/>
        </w:rPr>
        <w:t xml:space="preserve"> </w:t>
      </w:r>
      <w:r w:rsidR="000E3528" w:rsidRPr="00530E2D">
        <w:rPr>
          <w:szCs w:val="24"/>
        </w:rPr>
        <w:t>approved by ERCOT</w:t>
      </w:r>
      <w:r w:rsidR="00270D6A">
        <w:rPr>
          <w:szCs w:val="24"/>
        </w:rPr>
        <w:t>,</w:t>
      </w:r>
      <w:r w:rsidR="000E3528" w:rsidRPr="00530E2D">
        <w:rPr>
          <w:szCs w:val="24"/>
        </w:rPr>
        <w:t xml:space="preserve"> before the Resource Entity will be evaluated for compliance with the requirements of paragraph (3) below.  ERCOT shall notify the Resource Entity of approval or disapproval as soon as practicable after receipt of the request.</w:t>
      </w:r>
    </w:p>
    <w:p w14:paraId="4C18FA19" w14:textId="77777777" w:rsidR="000E3528" w:rsidRDefault="000E3528">
      <w:pPr>
        <w:pStyle w:val="BodyTextNumbered"/>
      </w:pPr>
      <w:r>
        <w:t>(3)</w:t>
      </w:r>
      <w:r>
        <w:tab/>
      </w:r>
      <w:r w:rsidR="00F97889">
        <w:t>For Resources required by these Protocols to be in the Network Operations Model, the</w:t>
      </w:r>
      <w:r>
        <w:t xml:space="preserve"> following apply:</w:t>
      </w:r>
    </w:p>
    <w:p w14:paraId="753F758F" w14:textId="77777777" w:rsidR="000E3528" w:rsidRDefault="000E3528" w:rsidP="00D77FC8">
      <w:pPr>
        <w:pStyle w:val="BodyTextNumbered"/>
        <w:ind w:left="1440"/>
      </w:pPr>
      <w:r>
        <w:t>(a)</w:t>
      </w:r>
      <w:r>
        <w:tab/>
        <w:t xml:space="preserve">The </w:t>
      </w:r>
      <w:r w:rsidR="00F97889">
        <w:t xml:space="preserve">designated QSE shall install all telemetry required of these Protocols for the requesting Resource Entity and schedule point-to-point data verification with ERCOT.  </w:t>
      </w:r>
    </w:p>
    <w:p w14:paraId="1E8DDF0B" w14:textId="77777777" w:rsidR="00FC1C5F" w:rsidRDefault="000E3528" w:rsidP="00D77FC8">
      <w:pPr>
        <w:pStyle w:val="BodyTextNumbered"/>
        <w:ind w:left="1440"/>
      </w:pPr>
      <w:r>
        <w:t>(b)</w:t>
      </w:r>
      <w:r>
        <w:tab/>
      </w:r>
      <w:r w:rsidR="00F97889">
        <w:t xml:space="preserve">The </w:t>
      </w:r>
      <w:r>
        <w:t xml:space="preserve">designated </w:t>
      </w:r>
      <w:r w:rsidR="00F97889">
        <w:t>QSE shall submit telemetry data descriptions to ERCOT to meet ERCOT’s normal model update process.</w:t>
      </w:r>
    </w:p>
    <w:p w14:paraId="43B278A5" w14:textId="77777777" w:rsidR="000E3528" w:rsidRDefault="00727E32" w:rsidP="00D77FC8">
      <w:pPr>
        <w:pStyle w:val="BodyTextNumbered"/>
        <w:ind w:left="1440"/>
      </w:pPr>
      <w:r>
        <w:t>(</w:t>
      </w:r>
      <w:r w:rsidR="000E3528">
        <w:t>c</w:t>
      </w:r>
      <w:r>
        <w:t>)</w:t>
      </w:r>
      <w:r>
        <w:tab/>
      </w:r>
      <w:r w:rsidR="000E3528">
        <w:t>The</w:t>
      </w:r>
      <w:r w:rsidR="00F97889">
        <w:t xml:space="preserve"> Resource must submit any changes in system topology or telemetry according to Section </w:t>
      </w:r>
      <w:r w:rsidR="00F97889" w:rsidRPr="005265DB">
        <w:t>3.3.2.1</w:t>
      </w:r>
      <w:r w:rsidR="00F97889">
        <w:t xml:space="preserve">, </w:t>
      </w:r>
      <w:r w:rsidR="00F97889" w:rsidRPr="005265DB">
        <w:t>Information to Be Provided to ERCOT</w:t>
      </w:r>
      <w:r>
        <w:t xml:space="preserve">.  </w:t>
      </w:r>
    </w:p>
    <w:p w14:paraId="30CB2F01" w14:textId="77777777" w:rsidR="000E3528" w:rsidRDefault="000E3528" w:rsidP="00D77FC8">
      <w:pPr>
        <w:pStyle w:val="BodyTextNumbered"/>
        <w:ind w:left="1440"/>
      </w:pPr>
      <w:r>
        <w:lastRenderedPageBreak/>
        <w:t>(d)</w:t>
      </w:r>
      <w:r>
        <w:tab/>
        <w:t>T</w:t>
      </w:r>
      <w:r w:rsidR="00F97889">
        <w:t xml:space="preserve">he effective date for </w:t>
      </w:r>
      <w:r>
        <w:t xml:space="preserve">the </w:t>
      </w:r>
      <w:r w:rsidR="00F97889">
        <w:t xml:space="preserve">newly designated QSE shall be in accordance with Section 3.10.1, </w:t>
      </w:r>
      <w:proofErr w:type="gramStart"/>
      <w:r w:rsidR="00F97889">
        <w:t>Time Line</w:t>
      </w:r>
      <w:proofErr w:type="gramEnd"/>
      <w:r w:rsidR="00F97889">
        <w:t xml:space="preserve"> for Network Operations Model Changes.  </w:t>
      </w:r>
    </w:p>
    <w:p w14:paraId="7DD703C3" w14:textId="77777777" w:rsidR="00FC1C5F" w:rsidRDefault="000E3528" w:rsidP="00D77FC8">
      <w:pPr>
        <w:pStyle w:val="BodyTextNumbered"/>
        <w:ind w:left="1440"/>
      </w:pPr>
      <w:r>
        <w:t>(e)</w:t>
      </w:r>
      <w:r>
        <w:tab/>
      </w:r>
      <w:r w:rsidR="00F97889">
        <w:t>ERCOT may request the Resource Entity to develop a transition implementation plan to be approved by ERCOT that sets appropriate deadlines for completion of all required data and telemetry verification and cutover testing activities with ERCOT</w:t>
      </w:r>
      <w:r w:rsidR="00727E32">
        <w:t>.</w:t>
      </w:r>
    </w:p>
    <w:p w14:paraId="3CB85E34" w14:textId="77777777" w:rsidR="000E3528" w:rsidRPr="00530E2D" w:rsidRDefault="000E3528" w:rsidP="000E3528">
      <w:pPr>
        <w:pStyle w:val="BodyTextNumbered"/>
        <w:rPr>
          <w:szCs w:val="24"/>
        </w:rPr>
      </w:pPr>
      <w:r w:rsidRPr="00530E2D">
        <w:rPr>
          <w:szCs w:val="24"/>
        </w:rPr>
        <w:t>(4)</w:t>
      </w:r>
      <w:r w:rsidRPr="00530E2D">
        <w:rPr>
          <w:szCs w:val="24"/>
        </w:rPr>
        <w:tab/>
        <w:t xml:space="preserve">For all other Resources, the new QSE designation is to be received no less than six days prior to the effective date.  </w:t>
      </w:r>
    </w:p>
    <w:p w14:paraId="0802CF3B" w14:textId="77777777" w:rsidR="000E3528" w:rsidRPr="000E3528" w:rsidRDefault="000E3528" w:rsidP="000E3528">
      <w:pPr>
        <w:pStyle w:val="BodyTextNumbered"/>
        <w:rPr>
          <w:szCs w:val="24"/>
        </w:rPr>
      </w:pPr>
      <w:r w:rsidRPr="00530E2D">
        <w:rPr>
          <w:szCs w:val="24"/>
        </w:rPr>
        <w:t>(5)</w:t>
      </w:r>
      <w:r w:rsidRPr="00530E2D">
        <w:rPr>
          <w:szCs w:val="24"/>
        </w:rPr>
        <w:tab/>
        <w:t xml:space="preserve">Within two days of approving a Resource Entity’s notice, ERCOT shall notify all affected Entities, including the Resource Entity’s current QSE, of the effective date of the change.  </w:t>
      </w:r>
    </w:p>
    <w:p w14:paraId="6ED4B1D8" w14:textId="77777777" w:rsidR="00FC1C5F" w:rsidRDefault="00727E32">
      <w:pPr>
        <w:pStyle w:val="H3"/>
      </w:pPr>
      <w:bookmarkStart w:id="323" w:name="_Toc390438948"/>
      <w:bookmarkStart w:id="324" w:name="_Toc405897645"/>
      <w:bookmarkStart w:id="325" w:name="_Toc415055749"/>
      <w:bookmarkStart w:id="326" w:name="_Toc415055875"/>
      <w:bookmarkStart w:id="327" w:name="_Toc415055974"/>
      <w:bookmarkStart w:id="328" w:name="_Toc415056075"/>
      <w:bookmarkStart w:id="329" w:name="_Toc148960851"/>
      <w:r>
        <w:t>16.5.4</w:t>
      </w:r>
      <w:r>
        <w:tab/>
        <w:t>Maintaining and Updating Resource Entity Information</w:t>
      </w:r>
      <w:bookmarkEnd w:id="323"/>
      <w:bookmarkEnd w:id="324"/>
      <w:bookmarkEnd w:id="325"/>
      <w:bookmarkEnd w:id="326"/>
      <w:bookmarkEnd w:id="327"/>
      <w:bookmarkEnd w:id="328"/>
      <w:bookmarkEnd w:id="329"/>
      <w:r>
        <w:t xml:space="preserve"> </w:t>
      </w:r>
    </w:p>
    <w:p w14:paraId="70B79A23" w14:textId="77777777" w:rsidR="00FC1C5F" w:rsidRDefault="00727E32">
      <w:pPr>
        <w:pStyle w:val="ListIntroduction"/>
        <w:ind w:left="720" w:hanging="720"/>
      </w:pPr>
      <w:r>
        <w:t>(1)</w:t>
      </w:r>
      <w:r>
        <w:tab/>
        <w:t>Each Resource Entity must timely update information the Resource Entity provided to ERCOT in the application process, and a Resource Entity must promptly respond to any reasonable request by ERCOT for updated information regarding the Resource Entity or the information provided to ERCOT by the Resource Entity, including:</w:t>
      </w:r>
    </w:p>
    <w:p w14:paraId="4EA1157E" w14:textId="77777777" w:rsidR="00FC1C5F" w:rsidRDefault="00727E32">
      <w:pPr>
        <w:pStyle w:val="List"/>
      </w:pPr>
      <w:r>
        <w:t>(a)</w:t>
      </w:r>
      <w:r>
        <w:tab/>
        <w:t>The Resource Entity’s addresses;</w:t>
      </w:r>
    </w:p>
    <w:p w14:paraId="14C26874" w14:textId="77777777" w:rsidR="00FC1C5F" w:rsidRDefault="00727E32">
      <w:pPr>
        <w:pStyle w:val="List"/>
      </w:pPr>
      <w:r>
        <w:t>(b)</w:t>
      </w:r>
      <w:r>
        <w:tab/>
        <w:t>A list of Affiliates; and</w:t>
      </w:r>
    </w:p>
    <w:p w14:paraId="012DF047" w14:textId="465DF2E4" w:rsidR="00FC1C5F" w:rsidRDefault="00727E32">
      <w:pPr>
        <w:pStyle w:val="BodyText"/>
        <w:ind w:left="1440" w:hanging="720"/>
      </w:pPr>
      <w:r>
        <w:t>(c)</w:t>
      </w:r>
      <w:r>
        <w:tab/>
        <w:t xml:space="preserve">Designation of the Resource Entity’s officers, directors, Authorized Representatives, and </w:t>
      </w:r>
      <w:r w:rsidR="00AB2D05">
        <w:t>USA</w:t>
      </w:r>
      <w:r>
        <w:t xml:space="preserve"> (all per the Resource Entity application) including the telephone and e-mail addresses for those persons.</w:t>
      </w:r>
    </w:p>
    <w:p w14:paraId="5A6787DE" w14:textId="2097AB43" w:rsidR="00FC1C5F" w:rsidRDefault="00727E32">
      <w:pPr>
        <w:pStyle w:val="BodyText"/>
        <w:ind w:left="720" w:hanging="720"/>
        <w:rPr>
          <w:color w:val="000000"/>
        </w:rPr>
      </w:pPr>
      <w:r>
        <w:t>(2)</w:t>
      </w:r>
      <w:r>
        <w:tab/>
      </w:r>
      <w:r w:rsidR="00B500DC">
        <w:rPr>
          <w:color w:val="000000"/>
        </w:rPr>
        <w:t>A</w:t>
      </w:r>
      <w:r>
        <w:rPr>
          <w:color w:val="000000"/>
        </w:rPr>
        <w:t xml:space="preserve"> Resource Entity </w:t>
      </w:r>
      <w:r w:rsidR="00B500DC">
        <w:rPr>
          <w:color w:val="000000"/>
        </w:rPr>
        <w:t xml:space="preserve">that </w:t>
      </w:r>
      <w:r>
        <w:rPr>
          <w:color w:val="000000"/>
        </w:rPr>
        <w:t>has a Switchable Generation Resource</w:t>
      </w:r>
      <w:r w:rsidR="00AC0153">
        <w:rPr>
          <w:color w:val="000000"/>
        </w:rPr>
        <w:t xml:space="preserve"> (SWGR)</w:t>
      </w:r>
      <w:r>
        <w:rPr>
          <w:color w:val="000000"/>
        </w:rPr>
        <w:t xml:space="preserve"> shall </w:t>
      </w:r>
      <w:r w:rsidR="00B500DC">
        <w:rPr>
          <w:color w:val="000000"/>
        </w:rPr>
        <w:t xml:space="preserve">submit a </w:t>
      </w:r>
      <w:r>
        <w:rPr>
          <w:color w:val="000000"/>
        </w:rPr>
        <w:t xml:space="preserve">report to ERCOT in writing </w:t>
      </w:r>
      <w:r w:rsidR="00B500DC">
        <w:rPr>
          <w:color w:val="000000"/>
        </w:rPr>
        <w:t xml:space="preserve">indicating whether or not it has any contractual requirement in a non-ERCOT Control Area during </w:t>
      </w:r>
      <w:r>
        <w:rPr>
          <w:color w:val="000000"/>
        </w:rPr>
        <w:t xml:space="preserve">the </w:t>
      </w:r>
      <w:r w:rsidR="00B500DC">
        <w:rPr>
          <w:color w:val="000000"/>
        </w:rPr>
        <w:t xml:space="preserve">summer or winter </w:t>
      </w:r>
      <w:r w:rsidR="00AF4A46">
        <w:rPr>
          <w:color w:val="000000"/>
        </w:rPr>
        <w:t>Peak Load Seasons which</w:t>
      </w:r>
      <w:r>
        <w:rPr>
          <w:color w:val="000000"/>
        </w:rPr>
        <w:t xml:space="preserve"> </w:t>
      </w:r>
      <w:r w:rsidR="00B500DC">
        <w:rPr>
          <w:color w:val="000000"/>
        </w:rPr>
        <w:t xml:space="preserve">may cause </w:t>
      </w:r>
      <w:r>
        <w:rPr>
          <w:color w:val="000000"/>
        </w:rPr>
        <w:t xml:space="preserve">the identified capacity </w:t>
      </w:r>
      <w:r w:rsidR="00B500DC">
        <w:rPr>
          <w:color w:val="000000"/>
        </w:rPr>
        <w:t>to</w:t>
      </w:r>
      <w:r>
        <w:rPr>
          <w:color w:val="000000"/>
        </w:rPr>
        <w:t xml:space="preserve"> not be available to the ERCOT System </w:t>
      </w:r>
      <w:r w:rsidR="007E1826">
        <w:rPr>
          <w:color w:val="000000"/>
        </w:rPr>
        <w:t>for the subsequent ten years</w:t>
      </w:r>
      <w:r>
        <w:rPr>
          <w:color w:val="000000"/>
        </w:rPr>
        <w:t>.</w:t>
      </w:r>
      <w:r w:rsidR="00FA469C">
        <w:rPr>
          <w:color w:val="000000"/>
        </w:rPr>
        <w:t xml:space="preserve">  </w:t>
      </w:r>
      <w:r w:rsidR="00AF4A46">
        <w:rPr>
          <w:color w:val="000000"/>
        </w:rPr>
        <w:t xml:space="preserve">The initial </w:t>
      </w:r>
      <w:r w:rsidR="00AF4A46" w:rsidRPr="00127F54">
        <w:t xml:space="preserve">communication </w:t>
      </w:r>
      <w:r w:rsidR="00AF4A46">
        <w:rPr>
          <w:color w:val="000000"/>
        </w:rPr>
        <w:t>and subsequent updates to previously reported unavailable capacity</w:t>
      </w:r>
      <w:r w:rsidR="00AF4A46" w:rsidRPr="00127F54">
        <w:t xml:space="preserve"> shall be </w:t>
      </w:r>
      <w:r w:rsidR="00AF4A46">
        <w:t>filed with ERCOT as soon as possible, but in no event later than ten Business Days after the information is obtained</w:t>
      </w:r>
      <w:r w:rsidR="00AF4A46" w:rsidRPr="00127F54">
        <w:t>.</w:t>
      </w:r>
      <w:r w:rsidR="00AF4A46">
        <w:t xml:space="preserve">  The communications should reflect the Resource Entity’s best estimate of the required information at the time the filing is made.</w:t>
      </w:r>
      <w:r w:rsidR="00AF4A46" w:rsidRPr="00127F54">
        <w:t xml:space="preserve"> </w:t>
      </w:r>
      <w:r w:rsidR="00AF4A46">
        <w:t xml:space="preserve"> </w:t>
      </w:r>
      <w:r w:rsidR="00AF4A46" w:rsidRPr="00127F54">
        <w:t>ERCOT</w:t>
      </w:r>
      <w:r w:rsidR="00AF4A46">
        <w:rPr>
          <w:color w:val="000000"/>
        </w:rPr>
        <w:t xml:space="preserve"> shall use the provided data for preparation of the Report on Capacity, Demand and Reserves in the ERCOT Region and other planning purposes.</w:t>
      </w:r>
    </w:p>
    <w:p w14:paraId="50D432B4" w14:textId="77777777" w:rsidR="00FC1C5F" w:rsidRDefault="00727E32">
      <w:pPr>
        <w:pStyle w:val="H2"/>
      </w:pPr>
      <w:bookmarkStart w:id="330" w:name="_Toc71369194"/>
      <w:bookmarkStart w:id="331" w:name="_Toc71539410"/>
      <w:bookmarkStart w:id="332" w:name="_Toc390438949"/>
      <w:bookmarkStart w:id="333" w:name="_Toc405897646"/>
      <w:bookmarkStart w:id="334" w:name="_Toc415055750"/>
      <w:bookmarkStart w:id="335" w:name="_Toc415055876"/>
      <w:bookmarkStart w:id="336" w:name="_Toc415055975"/>
      <w:bookmarkStart w:id="337" w:name="_Toc415056076"/>
      <w:bookmarkStart w:id="338" w:name="_Toc148960852"/>
      <w:r>
        <w:lastRenderedPageBreak/>
        <w:t>16.6</w:t>
      </w:r>
      <w:r>
        <w:tab/>
        <w:t>Registration of Municipally Owned Utilities and Electric Cooperatives in the ERCOT Region</w:t>
      </w:r>
      <w:bookmarkEnd w:id="330"/>
      <w:bookmarkEnd w:id="331"/>
      <w:bookmarkEnd w:id="332"/>
      <w:bookmarkEnd w:id="333"/>
      <w:bookmarkEnd w:id="334"/>
      <w:bookmarkEnd w:id="335"/>
      <w:bookmarkEnd w:id="336"/>
      <w:bookmarkEnd w:id="337"/>
      <w:bookmarkEnd w:id="338"/>
    </w:p>
    <w:p w14:paraId="77AA0DA3" w14:textId="77777777" w:rsidR="00FC1C5F" w:rsidRDefault="00727E32">
      <w:pPr>
        <w:pStyle w:val="BodyTextNumbered"/>
      </w:pPr>
      <w:r>
        <w:t>(1)</w:t>
      </w:r>
      <w:r>
        <w:tab/>
        <w:t>Each Municipally Owned Utility (MOU) and Electric Cooperative (EC) shall register with ERCOT and sign the Agreements that apply to the functions it performs in the ERCOT Region, regardless of whether planning to be a Non-Opt-In Entity (NOIE) or a Competitive Retailer</w:t>
      </w:r>
      <w:r w:rsidR="00364DE6">
        <w:t xml:space="preserve"> (CR)</w:t>
      </w:r>
      <w:r>
        <w:t>.</w:t>
      </w:r>
    </w:p>
    <w:p w14:paraId="51DA15C8" w14:textId="3875047A" w:rsidR="00FC1C5F" w:rsidRDefault="00727E32">
      <w:pPr>
        <w:pStyle w:val="BodyTextNumbered"/>
      </w:pPr>
      <w:r>
        <w:t>(2)</w:t>
      </w:r>
      <w:r>
        <w:tab/>
      </w:r>
      <w:r w:rsidR="00FC39BA">
        <w:t>If an MOU or EC decides to register an affiliate as a CR, it must notify ERCOT of its intentions six months prior to opting in</w:t>
      </w:r>
      <w:r>
        <w:t xml:space="preserve">.  </w:t>
      </w:r>
    </w:p>
    <w:p w14:paraId="4841C207" w14:textId="5EC7149D" w:rsidR="00FC1C5F" w:rsidRDefault="00727E32">
      <w:pPr>
        <w:pStyle w:val="BodyTextNumbered"/>
      </w:pPr>
      <w:r>
        <w:t>(</w:t>
      </w:r>
      <w:r w:rsidR="00FC39BA">
        <w:t>3</w:t>
      </w:r>
      <w:r>
        <w:t>)</w:t>
      </w:r>
      <w:r>
        <w:tab/>
      </w:r>
      <w:r w:rsidR="00364DE6">
        <w:t xml:space="preserve">Each MOU and EC </w:t>
      </w:r>
      <w:r>
        <w:t xml:space="preserve">shall assign an </w:t>
      </w:r>
      <w:r w:rsidR="00364DE6">
        <w:t>Electric Service Identifier (</w:t>
      </w:r>
      <w:r>
        <w:t>ESI ID</w:t>
      </w:r>
      <w:r w:rsidR="00364DE6">
        <w:t>)</w:t>
      </w:r>
      <w:r>
        <w:t xml:space="preserve"> to each NOIE wholesale point of delivery as specified in these Protocols.  The ESI IDs must be assigned to a</w:t>
      </w:r>
      <w:r w:rsidR="00364DE6">
        <w:t xml:space="preserve"> Load Serving Entity (</w:t>
      </w:r>
      <w:r>
        <w:t>LSE</w:t>
      </w:r>
      <w:r w:rsidR="00364DE6">
        <w:t>)</w:t>
      </w:r>
      <w:r>
        <w:t>.</w:t>
      </w:r>
    </w:p>
    <w:p w14:paraId="1DBD7092" w14:textId="77777777" w:rsidR="00FC1C5F" w:rsidRDefault="00727E32">
      <w:pPr>
        <w:pStyle w:val="H2"/>
      </w:pPr>
      <w:bookmarkStart w:id="339" w:name="_Toc71369195"/>
      <w:bookmarkStart w:id="340" w:name="_Toc71539411"/>
      <w:bookmarkStart w:id="341" w:name="_Toc390438950"/>
      <w:bookmarkStart w:id="342" w:name="_Toc405897647"/>
      <w:bookmarkStart w:id="343" w:name="_Toc415055751"/>
      <w:bookmarkStart w:id="344" w:name="_Toc415055877"/>
      <w:bookmarkStart w:id="345" w:name="_Toc415055976"/>
      <w:bookmarkStart w:id="346" w:name="_Toc415056077"/>
      <w:bookmarkStart w:id="347" w:name="_Toc148960853"/>
      <w:r>
        <w:t>16.7</w:t>
      </w:r>
      <w:r>
        <w:tab/>
        <w:t>Registration of Renewable Energy Credit Account Holders</w:t>
      </w:r>
      <w:bookmarkEnd w:id="339"/>
      <w:bookmarkEnd w:id="340"/>
      <w:bookmarkEnd w:id="341"/>
      <w:bookmarkEnd w:id="342"/>
      <w:bookmarkEnd w:id="343"/>
      <w:bookmarkEnd w:id="344"/>
      <w:bookmarkEnd w:id="345"/>
      <w:bookmarkEnd w:id="346"/>
      <w:bookmarkEnd w:id="347"/>
    </w:p>
    <w:p w14:paraId="07944558" w14:textId="7EB5341D" w:rsidR="00FC1C5F" w:rsidRDefault="00853D39" w:rsidP="009F10FE">
      <w:pPr>
        <w:pStyle w:val="BodyText"/>
        <w:ind w:left="720" w:hanging="720"/>
      </w:pPr>
      <w:r>
        <w:t>(1)</w:t>
      </w:r>
      <w:r>
        <w:tab/>
      </w:r>
      <w:r w:rsidR="00727E32">
        <w:t xml:space="preserve">Each Entity intending to participate in the Renewable Energy Credit (REC) program shall register with ERCOT and execute a </w:t>
      </w:r>
      <w:r w:rsidR="00081A43">
        <w:t xml:space="preserve">Standard Form </w:t>
      </w:r>
      <w:r w:rsidR="00727E32">
        <w:t>Market Participant Agreement (as provided in Section 22, Attachment A, Standard Form Market Participant Agreement) prior to participation in the REC program.</w:t>
      </w:r>
    </w:p>
    <w:p w14:paraId="5E34EC33" w14:textId="77777777" w:rsidR="00FC1C5F" w:rsidRDefault="00727E32">
      <w:pPr>
        <w:pStyle w:val="H2"/>
        <w:spacing w:after="120"/>
        <w:ind w:left="0" w:firstLine="0"/>
      </w:pPr>
      <w:bookmarkStart w:id="348" w:name="_Toc71369196"/>
      <w:bookmarkStart w:id="349" w:name="_Toc71539412"/>
      <w:bookmarkStart w:id="350" w:name="_Toc390438951"/>
      <w:bookmarkStart w:id="351" w:name="_Toc405897648"/>
      <w:bookmarkStart w:id="352" w:name="_Toc415055752"/>
      <w:bookmarkStart w:id="353" w:name="_Toc415055878"/>
      <w:bookmarkStart w:id="354" w:name="_Toc415055977"/>
      <w:bookmarkStart w:id="355" w:name="_Toc415056078"/>
      <w:bookmarkStart w:id="356" w:name="_Toc148960854"/>
      <w:r>
        <w:t>16.8</w:t>
      </w:r>
      <w:r>
        <w:tab/>
        <w:t>Registration and Qualification of Congestion Revenue Rights Account Holders</w:t>
      </w:r>
      <w:bookmarkEnd w:id="348"/>
      <w:bookmarkEnd w:id="349"/>
      <w:bookmarkEnd w:id="350"/>
      <w:bookmarkEnd w:id="351"/>
      <w:bookmarkEnd w:id="352"/>
      <w:bookmarkEnd w:id="353"/>
      <w:bookmarkEnd w:id="354"/>
      <w:bookmarkEnd w:id="355"/>
      <w:bookmarkEnd w:id="356"/>
    </w:p>
    <w:p w14:paraId="2F565950" w14:textId="77777777" w:rsidR="00FC1C5F" w:rsidRDefault="00727E32" w:rsidP="00FC1C5F">
      <w:pPr>
        <w:pStyle w:val="H3"/>
      </w:pPr>
      <w:bookmarkStart w:id="357" w:name="_Toc390438952"/>
      <w:bookmarkStart w:id="358" w:name="_Toc405897649"/>
      <w:bookmarkStart w:id="359" w:name="_Toc415055753"/>
      <w:bookmarkStart w:id="360" w:name="_Toc415055879"/>
      <w:bookmarkStart w:id="361" w:name="_Toc415055978"/>
      <w:bookmarkStart w:id="362" w:name="_Toc415056079"/>
      <w:bookmarkStart w:id="363" w:name="_Toc148960855"/>
      <w:r>
        <w:t>16.8.1</w:t>
      </w:r>
      <w:r>
        <w:tab/>
        <w:t>Criteria for Qualification as a CRR Account Holder</w:t>
      </w:r>
      <w:bookmarkEnd w:id="357"/>
      <w:bookmarkEnd w:id="358"/>
      <w:bookmarkEnd w:id="359"/>
      <w:bookmarkEnd w:id="360"/>
      <w:bookmarkEnd w:id="361"/>
      <w:bookmarkEnd w:id="362"/>
      <w:bookmarkEnd w:id="363"/>
      <w:r>
        <w:t xml:space="preserve"> </w:t>
      </w:r>
    </w:p>
    <w:p w14:paraId="1EAD2469" w14:textId="77777777" w:rsidR="00FC1C5F" w:rsidRDefault="00727E32">
      <w:pPr>
        <w:pStyle w:val="BodyTextNumbered"/>
      </w:pPr>
      <w:r>
        <w:t>(1)</w:t>
      </w:r>
      <w:r>
        <w:tab/>
        <w:t xml:space="preserve">To become and remain a </w:t>
      </w:r>
      <w:r w:rsidR="0097211A">
        <w:t>Congestion Revenue Right (</w:t>
      </w:r>
      <w:r>
        <w:t>CRR</w:t>
      </w:r>
      <w:r w:rsidR="0097211A">
        <w:t>)</w:t>
      </w:r>
      <w:r>
        <w:t xml:space="preserve"> Account Holder, an Entity must meet the following requirements: </w:t>
      </w:r>
    </w:p>
    <w:p w14:paraId="735A9B85" w14:textId="3D6BC6D2" w:rsidR="00FC1C5F" w:rsidRDefault="00727E32">
      <w:pPr>
        <w:pStyle w:val="List"/>
      </w:pPr>
      <w:bookmarkStart w:id="364" w:name="_Hlk90904226"/>
      <w:r>
        <w:t>(a)</w:t>
      </w:r>
      <w:r>
        <w:tab/>
      </w:r>
      <w:r w:rsidR="00400902">
        <w:t>Submit a properly completed CRR Account Holder application</w:t>
      </w:r>
      <w:r w:rsidR="00400902" w:rsidRPr="00A35A89">
        <w:t xml:space="preserve"> (</w:t>
      </w:r>
      <w:r w:rsidR="00400902">
        <w:t>Section 23, Form A, Congestion Revenue Right (CRR) Account Holder Application for Registration) for qualification, including any applicable fee, any necessary disclosures, and designation of Authorized Representatives, each of whom is responsible for administrative communications with the CRR Account Holder and each of whom has enough authority to commit and bind the CRR Account Holder;</w:t>
      </w:r>
    </w:p>
    <w:bookmarkEnd w:id="364"/>
    <w:p w14:paraId="216D5CE4" w14:textId="77777777" w:rsidR="0028005C" w:rsidRDefault="0028005C" w:rsidP="0028005C">
      <w:pPr>
        <w:pStyle w:val="List"/>
      </w:pPr>
      <w:r>
        <w:t>(b)</w:t>
      </w:r>
      <w:r>
        <w:tab/>
      </w:r>
      <w:r w:rsidRPr="00636B19">
        <w:t>Comply with ERCOT’s background check process, as described in Section 16.8.1.1, CRR Account Holder Background Check Process;</w:t>
      </w:r>
    </w:p>
    <w:p w14:paraId="7B91607B" w14:textId="5C900C8C" w:rsidR="0028005C" w:rsidRDefault="0028005C" w:rsidP="0028005C">
      <w:pPr>
        <w:pStyle w:val="List"/>
      </w:pPr>
      <w:r>
        <w:t>(c)</w:t>
      </w:r>
      <w:r>
        <w:tab/>
        <w:t xml:space="preserve">Demonstrate to ERCOT’s reasonable satisfaction that the Entity does not pose an </w:t>
      </w:r>
      <w:r w:rsidR="000475FE">
        <w:t>“</w:t>
      </w:r>
      <w:r w:rsidRPr="00904FED">
        <w:t xml:space="preserve">Unreasonable </w:t>
      </w:r>
      <w:r w:rsidRPr="00904FED">
        <w:rPr>
          <w:rFonts w:eastAsiaTheme="minorHAnsi"/>
          <w:szCs w:val="24"/>
        </w:rPr>
        <w:t xml:space="preserve">Financial </w:t>
      </w:r>
      <w:r w:rsidRPr="00904FED">
        <w:t>Risk</w:t>
      </w:r>
      <w:r w:rsidR="000475FE">
        <w:t>”</w:t>
      </w:r>
      <w:r w:rsidRPr="00904FED">
        <w:t>,</w:t>
      </w:r>
      <w:r>
        <w:t xml:space="preserve"> as described in this Section;</w:t>
      </w:r>
    </w:p>
    <w:p w14:paraId="760D332D" w14:textId="7EDA978B" w:rsidR="00FC1C5F" w:rsidRDefault="00727E32" w:rsidP="00FE610C">
      <w:pPr>
        <w:pStyle w:val="List"/>
      </w:pPr>
      <w:r>
        <w:t>(</w:t>
      </w:r>
      <w:r w:rsidR="0028005C">
        <w:t>d</w:t>
      </w:r>
      <w:r>
        <w:t>)</w:t>
      </w:r>
      <w:r>
        <w:tab/>
        <w:t xml:space="preserve">Sign a CRR Account Holder Agreement; </w:t>
      </w:r>
    </w:p>
    <w:p w14:paraId="73713AE8" w14:textId="2E8BD57C" w:rsidR="00FC1C5F" w:rsidRDefault="00727E32">
      <w:pPr>
        <w:pStyle w:val="List"/>
      </w:pPr>
      <w:r>
        <w:lastRenderedPageBreak/>
        <w:t>(</w:t>
      </w:r>
      <w:r w:rsidR="0028005C">
        <w:t>e</w:t>
      </w:r>
      <w:r>
        <w:t>)</w:t>
      </w:r>
      <w:r>
        <w:tab/>
        <w:t>Sign any required Agreements relating to use of the ERCOT network, software, and systems;</w:t>
      </w:r>
    </w:p>
    <w:p w14:paraId="59EDD655" w14:textId="41ADD0A9" w:rsidR="00FC1C5F" w:rsidRDefault="00727E32">
      <w:pPr>
        <w:pStyle w:val="List"/>
      </w:pPr>
      <w:r>
        <w:t>(</w:t>
      </w:r>
      <w:r w:rsidR="0028005C">
        <w:t>f</w:t>
      </w:r>
      <w:r>
        <w:t>)</w:t>
      </w:r>
      <w:r>
        <w:tab/>
        <w:t xml:space="preserve">Demonstrate to ERCOT’s reasonable satisfaction that the Entity is capable of performing the functions of a CRR Account Holder; </w:t>
      </w:r>
    </w:p>
    <w:p w14:paraId="1444650E" w14:textId="0C223E84" w:rsidR="00FC1C5F" w:rsidRDefault="00727E32">
      <w:pPr>
        <w:pStyle w:val="List"/>
      </w:pPr>
      <w:r>
        <w:t>(</w:t>
      </w:r>
      <w:r w:rsidR="0028005C">
        <w:t>g</w:t>
      </w:r>
      <w:r>
        <w:t>)</w:t>
      </w:r>
      <w:r>
        <w:tab/>
        <w:t xml:space="preserve">Demonstrate to ERCOT’s reasonable satisfaction that the Entity is capable of complying with the requirements of all ERCOT Protocols and Operating Guides; </w:t>
      </w:r>
    </w:p>
    <w:p w14:paraId="1EE58C53" w14:textId="0C020139" w:rsidR="00FC1C5F" w:rsidRDefault="00727E32">
      <w:pPr>
        <w:pStyle w:val="List"/>
      </w:pPr>
      <w:r>
        <w:t>(</w:t>
      </w:r>
      <w:r w:rsidR="0028005C">
        <w:t>h</w:t>
      </w:r>
      <w:r>
        <w:t>)</w:t>
      </w:r>
      <w:r>
        <w:tab/>
        <w:t>Satisfy ERCOT’s creditworthiness requirements as set forth in this Section;</w:t>
      </w:r>
    </w:p>
    <w:p w14:paraId="67451581" w14:textId="2E8AFC52" w:rsidR="00FC1C5F" w:rsidRDefault="00727E32">
      <w:pPr>
        <w:pStyle w:val="List"/>
      </w:pPr>
      <w:r>
        <w:t>(</w:t>
      </w:r>
      <w:r w:rsidR="0028005C">
        <w:t>i</w:t>
      </w:r>
      <w:r>
        <w:t>)</w:t>
      </w:r>
      <w:r>
        <w:tab/>
        <w:t>Be generally able to pay its debts as they come due; ERCOT may request evidence of compliance with this qualification only if ERCOT reasonably believes that a CRR Account Holder is failing to comply with it;</w:t>
      </w:r>
    </w:p>
    <w:p w14:paraId="6056EF65" w14:textId="2E0E7D1D" w:rsidR="00FC1C5F" w:rsidRDefault="00727E32">
      <w:pPr>
        <w:pStyle w:val="List"/>
      </w:pPr>
      <w:r>
        <w:t>(</w:t>
      </w:r>
      <w:r w:rsidR="0028005C">
        <w:t>j</w:t>
      </w:r>
      <w:r>
        <w:t>)</w:t>
      </w:r>
      <w:r>
        <w:tab/>
        <w:t xml:space="preserve">Provide all necessary bank account information and arrange for Fedwire system transfers for two-way confirmation; </w:t>
      </w:r>
    </w:p>
    <w:p w14:paraId="022AE75D" w14:textId="1FCC28FD" w:rsidR="00FC1C5F" w:rsidRDefault="00727E32">
      <w:pPr>
        <w:pStyle w:val="List"/>
      </w:pPr>
      <w:r>
        <w:t>(</w:t>
      </w:r>
      <w:r w:rsidR="0028005C">
        <w:t>k</w:t>
      </w:r>
      <w:r>
        <w:t>)</w:t>
      </w:r>
      <w:r>
        <w:tab/>
        <w:t xml:space="preserve">Be financially responsible for payment of its </w:t>
      </w:r>
      <w:r w:rsidR="00B35DA1">
        <w:t>S</w:t>
      </w:r>
      <w:r>
        <w:t>ettlement charges under these Protocols; and</w:t>
      </w:r>
    </w:p>
    <w:p w14:paraId="42FA7CF4" w14:textId="2A41D80C" w:rsidR="00FC1C5F" w:rsidRDefault="00727E32">
      <w:pPr>
        <w:pStyle w:val="List"/>
      </w:pPr>
      <w:r>
        <w:t>(</w:t>
      </w:r>
      <w:r w:rsidR="0028005C">
        <w:t>l</w:t>
      </w:r>
      <w:r>
        <w:t>)</w:t>
      </w:r>
      <w:r>
        <w:tab/>
        <w:t xml:space="preserve">Not be an unbundled </w:t>
      </w:r>
      <w:r w:rsidR="0097211A">
        <w:t>Transmission Service Provider (</w:t>
      </w:r>
      <w:r>
        <w:t>TSP</w:t>
      </w:r>
      <w:r w:rsidR="0097211A">
        <w:t>)</w:t>
      </w:r>
      <w:r>
        <w:t xml:space="preserve">, </w:t>
      </w:r>
      <w:r w:rsidR="0097211A">
        <w:t>Distribution Service Provider (</w:t>
      </w:r>
      <w:r>
        <w:t>DSP</w:t>
      </w:r>
      <w:r w:rsidR="0097211A">
        <w:t>)</w:t>
      </w:r>
      <w:r>
        <w:t>, or an ERCOT employee.</w:t>
      </w:r>
    </w:p>
    <w:p w14:paraId="3EBF4DF4" w14:textId="5F18BF1A" w:rsidR="0028005C" w:rsidRDefault="0028005C" w:rsidP="0028005C">
      <w:pPr>
        <w:pStyle w:val="BodyTextNumbered"/>
      </w:pPr>
      <w:bookmarkStart w:id="365" w:name="_Hlk90904235"/>
      <w:r>
        <w:t>(2)</w:t>
      </w:r>
      <w:r>
        <w:tab/>
        <w:t xml:space="preserve">A CRR Account Holder </w:t>
      </w:r>
      <w:r w:rsidRPr="00440DBF">
        <w:rPr>
          <w:rFonts w:eastAsiaTheme="minorHAnsi"/>
          <w:szCs w:val="24"/>
        </w:rPr>
        <w:t xml:space="preserve">must be able to demonstrate to ERCOT’s reasonable satisfaction that it does not pose an </w:t>
      </w:r>
      <w:r>
        <w:rPr>
          <w:rFonts w:eastAsiaTheme="minorHAnsi"/>
          <w:szCs w:val="24"/>
        </w:rPr>
        <w:t>U</w:t>
      </w:r>
      <w:r w:rsidRPr="00440DBF">
        <w:rPr>
          <w:rFonts w:eastAsiaTheme="minorHAnsi"/>
          <w:szCs w:val="24"/>
        </w:rPr>
        <w:t xml:space="preserve">nreasonable </w:t>
      </w:r>
      <w:r>
        <w:rPr>
          <w:rFonts w:eastAsiaTheme="minorHAnsi"/>
          <w:szCs w:val="24"/>
        </w:rPr>
        <w:t>Financial</w:t>
      </w:r>
      <w:r w:rsidRPr="00440DBF">
        <w:rPr>
          <w:rFonts w:eastAsiaTheme="minorHAnsi"/>
          <w:szCs w:val="24"/>
        </w:rPr>
        <w:t xml:space="preserve"> </w:t>
      </w:r>
      <w:r>
        <w:rPr>
          <w:rFonts w:eastAsiaTheme="minorHAnsi"/>
          <w:szCs w:val="24"/>
        </w:rPr>
        <w:t>R</w:t>
      </w:r>
      <w:r w:rsidRPr="00440DBF">
        <w:rPr>
          <w:rFonts w:eastAsiaTheme="minorHAnsi"/>
          <w:szCs w:val="24"/>
        </w:rPr>
        <w:t>isk</w:t>
      </w:r>
      <w:r>
        <w:rPr>
          <w:rFonts w:eastAsiaTheme="minorHAnsi"/>
          <w:szCs w:val="24"/>
        </w:rPr>
        <w:t>.</w:t>
      </w:r>
      <w:r w:rsidRPr="00440DBF">
        <w:rPr>
          <w:rFonts w:eastAsiaTheme="minorHAnsi"/>
          <w:szCs w:val="24"/>
        </w:rPr>
        <w:t xml:space="preserve"> </w:t>
      </w:r>
      <w:r>
        <w:rPr>
          <w:rFonts w:eastAsiaTheme="minorHAnsi"/>
          <w:szCs w:val="24"/>
        </w:rPr>
        <w:t xml:space="preserve"> </w:t>
      </w:r>
      <w:r w:rsidRPr="002C6C1A">
        <w:rPr>
          <w:rFonts w:eastAsiaTheme="minorHAnsi"/>
          <w:szCs w:val="24"/>
        </w:rPr>
        <w:t xml:space="preserve">Unreasonable </w:t>
      </w:r>
      <w:r>
        <w:rPr>
          <w:rFonts w:eastAsiaTheme="minorHAnsi"/>
          <w:szCs w:val="24"/>
        </w:rPr>
        <w:t>Financial</w:t>
      </w:r>
      <w:r w:rsidRPr="002C6C1A">
        <w:rPr>
          <w:rFonts w:eastAsiaTheme="minorHAnsi"/>
          <w:szCs w:val="24"/>
        </w:rPr>
        <w:t xml:space="preserve"> Risk</w:t>
      </w:r>
      <w:r>
        <w:rPr>
          <w:rFonts w:eastAsiaTheme="minorHAnsi"/>
          <w:szCs w:val="24"/>
        </w:rPr>
        <w:t xml:space="preserve"> </w:t>
      </w:r>
      <w:r w:rsidRPr="002C6C1A">
        <w:rPr>
          <w:rFonts w:eastAsiaTheme="minorHAnsi"/>
          <w:szCs w:val="24"/>
        </w:rPr>
        <w:t>as used in Section</w:t>
      </w:r>
      <w:r>
        <w:rPr>
          <w:rFonts w:eastAsiaTheme="minorHAnsi"/>
          <w:szCs w:val="24"/>
        </w:rPr>
        <w:t xml:space="preserve"> 16, Registration and Qualification of Market </w:t>
      </w:r>
      <w:r w:rsidRPr="00154BB0">
        <w:rPr>
          <w:rFonts w:eastAsiaTheme="minorHAnsi"/>
          <w:szCs w:val="24"/>
        </w:rPr>
        <w:t>Participants, is a risk of financial default posed</w:t>
      </w:r>
      <w:r w:rsidRPr="00154BB0">
        <w:t xml:space="preserve"> </w:t>
      </w:r>
      <w:r w:rsidRPr="00154BB0">
        <w:rPr>
          <w:rFonts w:eastAsiaTheme="minorHAnsi"/>
          <w:szCs w:val="24"/>
        </w:rPr>
        <w:t>to ERCOT or its Market Participants by participation of an Entity or its Principals in the ERCOT market.  Indicators of Unreasonable Financial Risk may include, but are not limited to: past market manipulation, trading violations, or other finance-related violations based upon a final adjudication in state or federal regulatory or legal proceedings; financial defaults in ERCOT or other energy markets resulting in lo</w:t>
      </w:r>
      <w:r>
        <w:rPr>
          <w:rFonts w:eastAsiaTheme="minorHAnsi"/>
          <w:szCs w:val="24"/>
        </w:rPr>
        <w:t>s</w:t>
      </w:r>
      <w:r w:rsidRPr="00154BB0">
        <w:rPr>
          <w:rFonts w:eastAsiaTheme="minorHAnsi"/>
          <w:szCs w:val="24"/>
        </w:rPr>
        <w:t>ses or uplifts; indications of imminent bankruptcy or insolvency</w:t>
      </w:r>
      <w:r>
        <w:rPr>
          <w:rFonts w:eastAsiaTheme="minorHAnsi"/>
          <w:szCs w:val="24"/>
        </w:rPr>
        <w:t>, or other past civil judgement or criminal conviction that reflects problematic behavior on the part of the Entity or its Principals</w:t>
      </w:r>
      <w:r w:rsidRPr="00154BB0">
        <w:rPr>
          <w:rFonts w:eastAsiaTheme="minorHAnsi"/>
          <w:szCs w:val="24"/>
        </w:rPr>
        <w:t>.</w:t>
      </w:r>
    </w:p>
    <w:p w14:paraId="2EC22FCF" w14:textId="2862F7A2" w:rsidR="00400902" w:rsidRDefault="00400902" w:rsidP="00400902">
      <w:pPr>
        <w:pStyle w:val="BodyTextNumbered"/>
      </w:pPr>
      <w:r>
        <w:t>(</w:t>
      </w:r>
      <w:r w:rsidR="0028005C">
        <w:t>3</w:t>
      </w:r>
      <w:r>
        <w:t>)</w:t>
      </w:r>
      <w:r>
        <w:tab/>
        <w:t>A CRR Account Holder or CRR Account Holder applicant must be able to demonstrate to ERCOT’s reasonable satisfaction that none of its Principals were or are Principals of any Entity with an outstanding payment obligation that remains owing to ERCOT under any Agreement or these Protocols.  For purposes of this Section, ERCOT will only consider disqualifying those Principals of the CRR Account Holder or CRR Account Holder applicant who were Principals of the other Entity at a time during which the unpaid financial obligation remained owing to ERCOT or during the 120-day period prior to the date on which the unpaid financial obligation first became due and owing to ERCOT.</w:t>
      </w:r>
    </w:p>
    <w:p w14:paraId="1F5C30A0" w14:textId="7D9CBFB8" w:rsidR="00400902" w:rsidRDefault="00400902" w:rsidP="00400902">
      <w:pPr>
        <w:pStyle w:val="BodyTextNumbered"/>
      </w:pPr>
      <w:r>
        <w:t>(</w:t>
      </w:r>
      <w:r w:rsidR="0028005C">
        <w:t>4</w:t>
      </w:r>
      <w:r>
        <w:t>)</w:t>
      </w:r>
      <w:r>
        <w:tab/>
        <w:t xml:space="preserve">If any of a CRR Account Holder’s or CRR Account Holder applicant’s Principals were or are Principals of a terminated Market Participant with an obligation for Default Uplift </w:t>
      </w:r>
      <w:r>
        <w:lastRenderedPageBreak/>
        <w:t>Ratio Share allocated under Section 9.19.1, Default Uplift Invoices, the terminated Market Participant must be current on all payment obligations for Default Uplift Invoices in order for the</w:t>
      </w:r>
      <w:r w:rsidRPr="00FF4FD4">
        <w:t xml:space="preserve"> </w:t>
      </w:r>
      <w:r>
        <w:t>CRR Account Holder to remain, or CRR Account Holder applicant to become, a registered CRR Account Holder.  For purposes of this Section, ERCOT will only consider as disqualifying those Principals of the CRR Account Holder or CRR Account Holder applicant who were Principals of the other Entity at a time during which the other Entity was not current on its payment obligation for Default Uplift Invoices or 120 days prior to the date the other Entity first failed to pay a Default Uplift Invoice.</w:t>
      </w:r>
    </w:p>
    <w:p w14:paraId="1E986FE4" w14:textId="17A9EA3E" w:rsidR="00FC1C5F" w:rsidRDefault="00727E32" w:rsidP="00FE610C">
      <w:pPr>
        <w:pStyle w:val="BodyText"/>
        <w:ind w:left="720" w:hanging="720"/>
      </w:pPr>
      <w:bookmarkStart w:id="366" w:name="_Hlk90904242"/>
      <w:bookmarkEnd w:id="365"/>
      <w:r>
        <w:t>(</w:t>
      </w:r>
      <w:r w:rsidR="0028005C">
        <w:t>5</w:t>
      </w:r>
      <w:r>
        <w:t>)</w:t>
      </w:r>
      <w:r>
        <w:tab/>
      </w:r>
      <w:r w:rsidR="00400902" w:rsidRPr="00CA66D0">
        <w:t xml:space="preserve">A CRR Account Holder shall promptly notify ERCOT of any material change that </w:t>
      </w:r>
      <w:r w:rsidR="00400902">
        <w:t>a reasonable</w:t>
      </w:r>
      <w:r w:rsidR="00400902" w:rsidRPr="00CA66D0">
        <w:t xml:space="preserve"> examiner could deem material to the </w:t>
      </w:r>
      <w:r w:rsidR="00400902">
        <w:t>CRR Account Holder’s</w:t>
      </w:r>
      <w:r w:rsidR="00400902" w:rsidRPr="00CA66D0">
        <w:t xml:space="preserve"> </w:t>
      </w:r>
      <w:r w:rsidR="00400902" w:rsidRPr="008B4413">
        <w:t>ability to continue to meet the requirements set forth in paragraph</w:t>
      </w:r>
      <w:r w:rsidR="00400902">
        <w:t>s</w:t>
      </w:r>
      <w:r w:rsidR="00400902" w:rsidRPr="008B4413">
        <w:t xml:space="preserve"> (1)</w:t>
      </w:r>
      <w:r w:rsidR="00400902">
        <w:t xml:space="preserve"> to (</w:t>
      </w:r>
      <w:r w:rsidR="00C62276">
        <w:t>4</w:t>
      </w:r>
      <w:r w:rsidR="00400902">
        <w:t>)</w:t>
      </w:r>
      <w:r w:rsidR="00400902" w:rsidRPr="008B4413">
        <w:t xml:space="preserve"> above, and any material change in the information provided by the CRR Account Holder to ERCOT that may adversely affect the financial security of </w:t>
      </w:r>
      <w:r w:rsidR="00400902" w:rsidRPr="00EC565B">
        <w:t xml:space="preserve">ERCOT. </w:t>
      </w:r>
      <w:r w:rsidR="00400902">
        <w:t xml:space="preserve"> </w:t>
      </w:r>
      <w:r w:rsidR="00400902" w:rsidRPr="00EC565B">
        <w:t>This includes any changes in the Principals of the CRR Account Holder.</w:t>
      </w:r>
      <w:r w:rsidR="00400902">
        <w:t xml:space="preserve">  </w:t>
      </w:r>
      <w:r w:rsidR="00400902" w:rsidRPr="008B4413">
        <w:t xml:space="preserve">If the CRR Account Holder fails to so notify ERCOT of the following </w:t>
      </w:r>
      <w:r w:rsidR="00400902" w:rsidRPr="000D340C">
        <w:t>within two Business</w:t>
      </w:r>
      <w:r w:rsidR="00400902" w:rsidRPr="00DF09AE">
        <w:t xml:space="preserve"> Day</w:t>
      </w:r>
      <w:r w:rsidR="00400902" w:rsidRPr="00A80614">
        <w:t>s</w:t>
      </w:r>
      <w:r w:rsidR="00400902" w:rsidRPr="000D340C">
        <w:t xml:space="preserve"> after</w:t>
      </w:r>
      <w:r w:rsidR="00400902" w:rsidRPr="008B4413">
        <w:t xml:space="preserve"> becoming aware of the change, then ERCOT may refuse to allow the CRR Account Holder to continue to perform as a CRR Account Holder and take any other action ERCOT deems appropriate, in its sole discretion, to prevent ERCOT or Market Participants from bearing potential or actual risks, financial or otherwise, arising from those changes, and in accordance with these Protocols.</w:t>
      </w:r>
      <w:r>
        <w:t xml:space="preserve"> </w:t>
      </w:r>
    </w:p>
    <w:bookmarkEnd w:id="366"/>
    <w:p w14:paraId="590940BD" w14:textId="51D4A390" w:rsidR="00FC1C5F" w:rsidRDefault="00727E32" w:rsidP="00FE610C">
      <w:pPr>
        <w:spacing w:after="240"/>
        <w:ind w:left="720" w:hanging="720"/>
      </w:pPr>
      <w:r>
        <w:t>(</w:t>
      </w:r>
      <w:r w:rsidR="0028005C">
        <w:t>6</w:t>
      </w:r>
      <w:r>
        <w:t>)</w:t>
      </w:r>
      <w:r>
        <w:tab/>
        <w:t>Continued qualification as a CRR Account Holder is contingent upon compliance with all applicable requirements in these Protocols.  ERCOT may suspend a CRR Account Holder’s rights as a Market Participant when ERCOT reasonably determines that it is an appropriate remedy for the Entity’s failure to satisfy any applicable requirement.</w:t>
      </w:r>
    </w:p>
    <w:p w14:paraId="4956763B" w14:textId="77777777" w:rsidR="0028005C" w:rsidRPr="0028005C" w:rsidRDefault="0028005C" w:rsidP="0028005C">
      <w:pPr>
        <w:pStyle w:val="BodyText"/>
        <w:ind w:left="720" w:hanging="720"/>
        <w:rPr>
          <w:b/>
        </w:rPr>
      </w:pPr>
      <w:bookmarkStart w:id="367" w:name="_Toc390438953"/>
      <w:bookmarkStart w:id="368" w:name="_Toc405897650"/>
      <w:bookmarkStart w:id="369" w:name="_Toc415055754"/>
      <w:bookmarkStart w:id="370" w:name="_Toc415055880"/>
      <w:bookmarkStart w:id="371" w:name="_Toc415055979"/>
      <w:bookmarkStart w:id="372" w:name="_Toc415056080"/>
      <w:r w:rsidRPr="0028005C">
        <w:rPr>
          <w:b/>
        </w:rPr>
        <w:t>16.8.1.1</w:t>
      </w:r>
      <w:r w:rsidRPr="0028005C">
        <w:rPr>
          <w:b/>
        </w:rPr>
        <w:tab/>
        <w:t>CRR Account Holder Background Check Process</w:t>
      </w:r>
    </w:p>
    <w:p w14:paraId="15028A55" w14:textId="77777777" w:rsidR="0028005C" w:rsidRPr="00494EB0" w:rsidRDefault="0028005C" w:rsidP="0028005C">
      <w:pPr>
        <w:spacing w:after="240"/>
        <w:ind w:left="720" w:hanging="720"/>
      </w:pPr>
      <w:r w:rsidRPr="00494EB0">
        <w:t>(1)</w:t>
      </w:r>
      <w:r w:rsidRPr="00494EB0">
        <w:tab/>
        <w:t xml:space="preserve">CRR Account Holder applicants must satisfy a background check as a part of the ERCOT registration process.  </w:t>
      </w:r>
      <w:r>
        <w:t xml:space="preserve">All background checks will be performed by a third-party acting on ERCOT’s behalf.  </w:t>
      </w:r>
      <w:r w:rsidRPr="00494EB0">
        <w:t>Upon ERCOT’s request, a registered CRR Account Holder may be required to satisfy a background check as a condition of maintaining its ERCOT registration.</w:t>
      </w:r>
    </w:p>
    <w:p w14:paraId="1D818AA4" w14:textId="765F5226" w:rsidR="0028005C" w:rsidRPr="00494EB0" w:rsidRDefault="0028005C" w:rsidP="0028005C">
      <w:pPr>
        <w:spacing w:after="240"/>
        <w:ind w:left="720" w:hanging="720"/>
      </w:pPr>
      <w:r w:rsidRPr="00494EB0">
        <w:t>(2)</w:t>
      </w:r>
      <w:r w:rsidRPr="00494EB0">
        <w:tab/>
        <w:t>A CRR Account Holder</w:t>
      </w:r>
      <w:r>
        <w:t>, CRR Account Holder applicants, and their Principals,</w:t>
      </w:r>
      <w:r w:rsidRPr="00494EB0">
        <w:t xml:space="preserve"> will provide the following disclosures to complete a CRR Account Holder background check:</w:t>
      </w:r>
    </w:p>
    <w:p w14:paraId="0DB06C0E" w14:textId="77777777" w:rsidR="0028005C" w:rsidRPr="00636B19" w:rsidRDefault="0028005C" w:rsidP="0028005C">
      <w:pPr>
        <w:spacing w:after="240"/>
        <w:ind w:left="1440" w:hanging="720"/>
      </w:pPr>
      <w:r w:rsidRPr="00494EB0">
        <w:t>(a)</w:t>
      </w:r>
      <w:r w:rsidRPr="00494EB0">
        <w:tab/>
      </w:r>
      <w:r w:rsidRPr="00636B19">
        <w:t xml:space="preserve">Any </w:t>
      </w:r>
      <w:r w:rsidRPr="00154BB0">
        <w:t>civil or criminal matters involving the applicant, its predecessors, Affiliates, or Principals within the last ten years that resulted in a conviction or finding of fraud, theft, larceny, deceit, deceptive trade practices, or a violation of securities or customer protection laws;</w:t>
      </w:r>
    </w:p>
    <w:p w14:paraId="442E0A96" w14:textId="7EEF4783" w:rsidR="0028005C" w:rsidRPr="00636B19" w:rsidRDefault="0028005C" w:rsidP="0028005C">
      <w:pPr>
        <w:spacing w:after="240"/>
        <w:ind w:left="1440" w:hanging="720"/>
      </w:pPr>
      <w:r w:rsidRPr="00636B19">
        <w:t>(b)</w:t>
      </w:r>
      <w:r w:rsidRPr="00636B19">
        <w:tab/>
        <w:t xml:space="preserve">Any </w:t>
      </w:r>
      <w:r w:rsidRPr="00154BB0">
        <w:t>complaint,</w:t>
      </w:r>
      <w:r>
        <w:t xml:space="preserve"> formal</w:t>
      </w:r>
      <w:r w:rsidRPr="00154BB0">
        <w:t xml:space="preserve"> investigation, or disciplinary action concerning </w:t>
      </w:r>
      <w:r w:rsidRPr="00154BB0">
        <w:rPr>
          <w:rFonts w:eastAsiaTheme="minorHAnsi"/>
        </w:rPr>
        <w:t xml:space="preserve">financial matters </w:t>
      </w:r>
      <w:r w:rsidRPr="00154BB0">
        <w:t xml:space="preserve">initiated by </w:t>
      </w:r>
      <w:r w:rsidRPr="00916F3E">
        <w:t>or with</w:t>
      </w:r>
      <w:r>
        <w:t xml:space="preserve"> </w:t>
      </w:r>
      <w:r w:rsidRPr="00154BB0">
        <w:t>the Securities and Exchange Commission (SEC), Commodit</w:t>
      </w:r>
      <w:r w:rsidR="006F1A53">
        <w:t>y</w:t>
      </w:r>
      <w:r w:rsidRPr="00154BB0">
        <w:t xml:space="preserve"> Futures Trading Commission (CFTC), Federal Energy Regulatory Commission (FERC), a self-regulatory organization, Independent System </w:t>
      </w:r>
      <w:r w:rsidRPr="00154BB0">
        <w:lastRenderedPageBreak/>
        <w:t xml:space="preserve">Operator or Regional Transmission Organization, or a state public utility commission or securities board </w:t>
      </w:r>
      <w:r>
        <w:t xml:space="preserve">directly </w:t>
      </w:r>
      <w:r w:rsidRPr="00154BB0">
        <w:t xml:space="preserve">involving the </w:t>
      </w:r>
      <w:r>
        <w:t xml:space="preserve">actions of the </w:t>
      </w:r>
      <w:r w:rsidRPr="00154BB0">
        <w:t>applicant, its predecessors, Affiliates, or Principals within the last ten years;</w:t>
      </w:r>
    </w:p>
    <w:p w14:paraId="3558EA7E" w14:textId="32DFADC3" w:rsidR="0028005C" w:rsidRPr="00636B19" w:rsidRDefault="0028005C" w:rsidP="0028005C">
      <w:pPr>
        <w:spacing w:after="240"/>
        <w:ind w:left="1440" w:hanging="720"/>
      </w:pPr>
      <w:r w:rsidRPr="00636B19">
        <w:t>(c)</w:t>
      </w:r>
      <w:r w:rsidRPr="00636B19">
        <w:tab/>
        <w:t xml:space="preserve">Any </w:t>
      </w:r>
      <w:r w:rsidRPr="00154BB0">
        <w:t xml:space="preserve">default involving the applicant, its predecessors, Affiliates, or Principals, </w:t>
      </w:r>
      <w:r w:rsidRPr="00E76955">
        <w:t>that impacted or revoked the</w:t>
      </w:r>
      <w:r w:rsidRPr="00BF220B">
        <w:t xml:space="preserve"> right to operate in any other energy market within the last ten years;</w:t>
      </w:r>
    </w:p>
    <w:p w14:paraId="2F28C0FC" w14:textId="4B37B154" w:rsidR="0028005C" w:rsidRPr="00636B19" w:rsidRDefault="0028005C" w:rsidP="0028005C">
      <w:pPr>
        <w:spacing w:after="240"/>
        <w:ind w:left="1440" w:hanging="720"/>
      </w:pPr>
      <w:r w:rsidRPr="00636B19">
        <w:t>(d)</w:t>
      </w:r>
      <w:r w:rsidRPr="00636B19">
        <w:tab/>
        <w:t xml:space="preserve">Any bankruptcy by </w:t>
      </w:r>
      <w:r w:rsidRPr="00154BB0">
        <w:t>the applicant, its predecessors, Affiliates, or Principals</w:t>
      </w:r>
      <w:r w:rsidRPr="00636B19">
        <w:t xml:space="preserve"> within the last ten years; and</w:t>
      </w:r>
    </w:p>
    <w:p w14:paraId="49805BE3" w14:textId="77777777" w:rsidR="0028005C" w:rsidRPr="00636B19" w:rsidRDefault="0028005C" w:rsidP="0028005C">
      <w:pPr>
        <w:spacing w:after="240"/>
        <w:ind w:left="1440" w:hanging="720"/>
      </w:pPr>
      <w:r w:rsidRPr="00636B19">
        <w:t>(e)</w:t>
      </w:r>
      <w:r w:rsidRPr="00636B19">
        <w:tab/>
        <w:t xml:space="preserve">Any other information ERCOT deems reasonably necessary to complete a background check (e.g., </w:t>
      </w:r>
      <w:r w:rsidRPr="00636B19" w:rsidDel="0094125D">
        <w:t>Social Security Number</w:t>
      </w:r>
      <w:r w:rsidRPr="00636B19">
        <w:t xml:space="preserve">(s), birth dates, </w:t>
      </w:r>
      <w:r w:rsidRPr="00636B19" w:rsidDel="0094125D">
        <w:t>home address</w:t>
      </w:r>
      <w:r w:rsidRPr="00636B19">
        <w:t>es)</w:t>
      </w:r>
      <w:r w:rsidRPr="00636B19" w:rsidDel="0094125D">
        <w:t xml:space="preserve">.  </w:t>
      </w:r>
    </w:p>
    <w:p w14:paraId="5C51F339" w14:textId="77777777" w:rsidR="0028005C" w:rsidRDefault="0028005C" w:rsidP="0028005C">
      <w:pPr>
        <w:spacing w:after="240"/>
        <w:ind w:left="810" w:hanging="810"/>
      </w:pPr>
      <w:r w:rsidRPr="00494EB0">
        <w:t>(3)</w:t>
      </w:r>
      <w:r w:rsidRPr="00494EB0">
        <w:tab/>
        <w:t>As required by paragraph</w:t>
      </w:r>
      <w:r>
        <w:t xml:space="preserve"> (5) </w:t>
      </w:r>
      <w:r w:rsidRPr="00494EB0">
        <w:t>of Section 16.8.1, Criteria for Qualification as a CRR Account Holder, a CRR Account Holder</w:t>
      </w:r>
      <w:r>
        <w:t>, CRR Account Holder applicants, and their Principals,</w:t>
      </w:r>
      <w:r w:rsidRPr="00494EB0">
        <w:t xml:space="preserve"> must</w:t>
      </w:r>
      <w:r>
        <w:t xml:space="preserve"> promptly</w:t>
      </w:r>
      <w:r w:rsidRPr="00494EB0">
        <w:t xml:space="preserve"> provide ERCOT notice of any change that a reasonable examiner could deem material to the CRR Account Holder’s ability to continue to satisfy the background check requirement, including any change to information that must be disclosed.</w:t>
      </w:r>
      <w:r>
        <w:t xml:space="preserve"> </w:t>
      </w:r>
    </w:p>
    <w:p w14:paraId="5305745E" w14:textId="77777777" w:rsidR="00FC1C5F" w:rsidRDefault="00727E32">
      <w:pPr>
        <w:pStyle w:val="H3"/>
      </w:pPr>
      <w:bookmarkStart w:id="373" w:name="_Toc148960856"/>
      <w:r>
        <w:t>16.8.2</w:t>
      </w:r>
      <w:r>
        <w:tab/>
        <w:t>CRR Account Holder Application Process</w:t>
      </w:r>
      <w:bookmarkEnd w:id="367"/>
      <w:bookmarkEnd w:id="368"/>
      <w:bookmarkEnd w:id="369"/>
      <w:bookmarkEnd w:id="370"/>
      <w:bookmarkEnd w:id="371"/>
      <w:bookmarkEnd w:id="372"/>
      <w:bookmarkEnd w:id="373"/>
      <w:r>
        <w:t xml:space="preserve">  </w:t>
      </w:r>
    </w:p>
    <w:p w14:paraId="134E0E98" w14:textId="4CA91440" w:rsidR="00FC1C5F" w:rsidRDefault="00853D39" w:rsidP="009F10FE">
      <w:pPr>
        <w:pStyle w:val="BodyText"/>
        <w:ind w:left="720" w:hanging="720"/>
      </w:pPr>
      <w:bookmarkStart w:id="374" w:name="_Hlk90904250"/>
      <w:r>
        <w:t>(1)</w:t>
      </w:r>
      <w:r>
        <w:tab/>
      </w:r>
      <w:r w:rsidR="00400902">
        <w:t>To register as a CRR Account Holder, an applicant must submit to ERCOT a completed Section 23, Form A, Congestion Revenue Right (CRR) Account Holder Application for Registration, and any applicable fee.  ERCOT shall post on the ERCOT website the form in which CRR Account Holder applications must be submitted, all materials that must be provided with the CRR Account Holder application and the fee schedule, if any, applicable to CRR Account Holder applications.  The CRR Account Holder application shall be attested to by a duly authorized officer or agent of the applicant.  The CRR Account Holder applicant shall promptly notify ERCOT of any material changes affecting a pending application using the appropriate form posted on the ERCOT website.  The application must be submitted at least 60 days before the first day of participation in the CRR Auction process or purchase of CRRs.</w:t>
      </w:r>
    </w:p>
    <w:p w14:paraId="3492ABE5" w14:textId="77777777" w:rsidR="00FC1C5F" w:rsidRPr="00D63F95" w:rsidRDefault="00727E32" w:rsidP="00FE610C">
      <w:pPr>
        <w:pStyle w:val="H4"/>
        <w:rPr>
          <w:b/>
        </w:rPr>
      </w:pPr>
      <w:bookmarkStart w:id="375" w:name="_Toc390438954"/>
      <w:bookmarkStart w:id="376" w:name="_Toc405897651"/>
      <w:bookmarkStart w:id="377" w:name="_Toc415055755"/>
      <w:bookmarkStart w:id="378" w:name="_Toc415055881"/>
      <w:bookmarkStart w:id="379" w:name="_Toc415055980"/>
      <w:bookmarkStart w:id="380" w:name="_Toc415056081"/>
      <w:bookmarkStart w:id="381" w:name="_Toc148960857"/>
      <w:bookmarkEnd w:id="374"/>
      <w:r w:rsidRPr="00D63F95">
        <w:rPr>
          <w:b/>
        </w:rPr>
        <w:t>16.8.2.1</w:t>
      </w:r>
      <w:r w:rsidRPr="00D63F95">
        <w:rPr>
          <w:b/>
        </w:rPr>
        <w:tab/>
        <w:t>Notice of Receipt of CRR Account Holder Application</w:t>
      </w:r>
      <w:bookmarkEnd w:id="375"/>
      <w:bookmarkEnd w:id="376"/>
      <w:bookmarkEnd w:id="377"/>
      <w:bookmarkEnd w:id="378"/>
      <w:bookmarkEnd w:id="379"/>
      <w:bookmarkEnd w:id="380"/>
      <w:bookmarkEnd w:id="381"/>
    </w:p>
    <w:p w14:paraId="79D93F63" w14:textId="77777777" w:rsidR="00FC1C5F" w:rsidRDefault="00853D39" w:rsidP="009F10FE">
      <w:pPr>
        <w:pStyle w:val="BodyText"/>
        <w:ind w:left="720" w:hanging="720"/>
      </w:pPr>
      <w:r>
        <w:t>(1)</w:t>
      </w:r>
      <w:r>
        <w:tab/>
      </w:r>
      <w:r w:rsidR="00727E32">
        <w:t>Within three Business Days after receiving a CRR Account Holder application, ERCOT shall issue to the applicant a written confirmation that ERCOT has received the CRR Account Holder application.  ERCOT shall return without review any CRR Account Holder application that does not include the proper application fee.  The remainder of this Section does not apply to any CRR Account Holder application returned for failure to include the proper application fee.</w:t>
      </w:r>
    </w:p>
    <w:p w14:paraId="1E61B8F2" w14:textId="68D9C8E8" w:rsidR="00FC1C5F" w:rsidRPr="00D63F95" w:rsidRDefault="00727E32">
      <w:pPr>
        <w:pStyle w:val="H4"/>
        <w:rPr>
          <w:b/>
        </w:rPr>
      </w:pPr>
      <w:bookmarkStart w:id="382" w:name="_Toc390438955"/>
      <w:bookmarkStart w:id="383" w:name="_Toc405897652"/>
      <w:bookmarkStart w:id="384" w:name="_Toc415055756"/>
      <w:bookmarkStart w:id="385" w:name="_Toc415055882"/>
      <w:bookmarkStart w:id="386" w:name="_Toc415055981"/>
      <w:bookmarkStart w:id="387" w:name="_Toc415056082"/>
      <w:bookmarkStart w:id="388" w:name="_Toc148960858"/>
      <w:bookmarkStart w:id="389" w:name="_Hlk90904258"/>
      <w:r w:rsidRPr="00D63F95">
        <w:rPr>
          <w:b/>
        </w:rPr>
        <w:lastRenderedPageBreak/>
        <w:t>16.8.2.2</w:t>
      </w:r>
      <w:r w:rsidRPr="00D63F95">
        <w:rPr>
          <w:b/>
        </w:rPr>
        <w:tab/>
        <w:t xml:space="preserve">Incomplete </w:t>
      </w:r>
      <w:r w:rsidR="00400902">
        <w:rPr>
          <w:b/>
        </w:rPr>
        <w:t xml:space="preserve">CRR Account Holder </w:t>
      </w:r>
      <w:r w:rsidRPr="00D63F95">
        <w:rPr>
          <w:b/>
        </w:rPr>
        <w:t>Applications</w:t>
      </w:r>
      <w:bookmarkEnd w:id="382"/>
      <w:bookmarkEnd w:id="383"/>
      <w:bookmarkEnd w:id="384"/>
      <w:bookmarkEnd w:id="385"/>
      <w:bookmarkEnd w:id="386"/>
      <w:bookmarkEnd w:id="387"/>
      <w:bookmarkEnd w:id="388"/>
      <w:r w:rsidRPr="00D63F95">
        <w:rPr>
          <w:b/>
        </w:rPr>
        <w:t xml:space="preserve">  </w:t>
      </w:r>
    </w:p>
    <w:p w14:paraId="26D77B5A" w14:textId="06BA3665" w:rsidR="00CF5E19" w:rsidRDefault="00CF5E19" w:rsidP="00CF5E19">
      <w:pPr>
        <w:pStyle w:val="BodyTextNumbered"/>
      </w:pPr>
      <w:r>
        <w:t>(1)</w:t>
      </w:r>
      <w:r>
        <w:tab/>
        <w:t xml:space="preserve">Within ten Business Days after receiving a CRR Account Holder application, ERCOT shall notify the applicant in writing if the application is incomplete.  An application will not be deemed complete until ERCOT has received all information necessary to conduct an evaluation of whether the applicant satisfies the requirements to be registered as a </w:t>
      </w:r>
      <w:r>
        <w:rPr>
          <w:szCs w:val="24"/>
        </w:rPr>
        <w:t>CRR Account Holder</w:t>
      </w:r>
      <w:r w:rsidR="0028005C" w:rsidRPr="00494EB0">
        <w:rPr>
          <w:szCs w:val="24"/>
        </w:rPr>
        <w:t xml:space="preserve">, </w:t>
      </w:r>
      <w:r w:rsidR="0028005C" w:rsidRPr="00494EB0">
        <w:t>including information necessary to complete any needed background checks</w:t>
      </w:r>
      <w:r>
        <w:t>.</w:t>
      </w:r>
    </w:p>
    <w:p w14:paraId="33A3FD98" w14:textId="77777777" w:rsidR="00CF5E19" w:rsidRDefault="00CF5E19" w:rsidP="00CF5E19">
      <w:pPr>
        <w:pStyle w:val="BodyTextNumbered"/>
      </w:pPr>
      <w:r>
        <w:t>(2)</w:t>
      </w:r>
      <w:r>
        <w:tab/>
        <w:t>If a CRR Account Holder application is incomplete, ERCOT’s notice of incompletion to the applicant must explain the deficiencies and describe the additional information necessary to make the CRR Account Holder application complete.  The CRR Account Holder applicant has five Business Days after it receives the notice, or a longer period if ERCOT allows, to provide the additional required information.</w:t>
      </w:r>
    </w:p>
    <w:p w14:paraId="35447827" w14:textId="77777777" w:rsidR="00CF5E19" w:rsidRDefault="00CF5E19" w:rsidP="00CF5E19">
      <w:pPr>
        <w:pStyle w:val="BodyTextNumbered"/>
      </w:pPr>
      <w:r>
        <w:t>(3)</w:t>
      </w:r>
      <w:r>
        <w:tab/>
        <w:t>If the applicant does not respond to the incompletion notice within the time allotted, ERCOT shall reject the application and shall notify the applicant using the procedures below.</w:t>
      </w:r>
    </w:p>
    <w:p w14:paraId="5F4B80D5" w14:textId="2E51B1DE" w:rsidR="00FC1C5F" w:rsidRDefault="00CF5E19">
      <w:pPr>
        <w:pStyle w:val="BodyTextNumbered"/>
      </w:pPr>
      <w:r>
        <w:t>(4)</w:t>
      </w:r>
      <w:r>
        <w:tab/>
        <w:t>ERCOT will notify the applicant of the date on which the application is deemed complete</w:t>
      </w:r>
      <w:r w:rsidR="00A01AC4">
        <w:t>.</w:t>
      </w:r>
    </w:p>
    <w:p w14:paraId="6E9A41B2" w14:textId="77777777" w:rsidR="00FC1C5F" w:rsidRPr="00D63F95" w:rsidRDefault="00727E32" w:rsidP="00FE610C">
      <w:pPr>
        <w:pStyle w:val="H4"/>
        <w:rPr>
          <w:b/>
        </w:rPr>
      </w:pPr>
      <w:bookmarkStart w:id="390" w:name="_Toc390438956"/>
      <w:bookmarkStart w:id="391" w:name="_Toc405897653"/>
      <w:bookmarkStart w:id="392" w:name="_Toc415055757"/>
      <w:bookmarkStart w:id="393" w:name="_Toc415055883"/>
      <w:bookmarkStart w:id="394" w:name="_Toc415055982"/>
      <w:bookmarkStart w:id="395" w:name="_Toc415056083"/>
      <w:bookmarkStart w:id="396" w:name="_Toc148960859"/>
      <w:bookmarkEnd w:id="389"/>
      <w:r w:rsidRPr="00D63F95">
        <w:rPr>
          <w:b/>
        </w:rPr>
        <w:t>16.8.2.3</w:t>
      </w:r>
      <w:r w:rsidRPr="00D63F95">
        <w:rPr>
          <w:b/>
        </w:rPr>
        <w:tab/>
        <w:t>ERCOT Approval or Rejection of CRR Account Holder Application</w:t>
      </w:r>
      <w:bookmarkEnd w:id="390"/>
      <w:bookmarkEnd w:id="391"/>
      <w:bookmarkEnd w:id="392"/>
      <w:bookmarkEnd w:id="393"/>
      <w:bookmarkEnd w:id="394"/>
      <w:bookmarkEnd w:id="395"/>
      <w:bookmarkEnd w:id="396"/>
    </w:p>
    <w:p w14:paraId="2ED72D18" w14:textId="6A2A95C2" w:rsidR="00FC1C5F" w:rsidRDefault="00727E32">
      <w:pPr>
        <w:pStyle w:val="BodyTextNumbered"/>
      </w:pPr>
      <w:bookmarkStart w:id="397" w:name="_Hlk90904265"/>
      <w:r>
        <w:t>(1)</w:t>
      </w:r>
      <w:r>
        <w:tab/>
      </w:r>
      <w:r w:rsidR="00CF5E19">
        <w:t>ERCOT will approve or reject a CRR Account Holder application within 60 days after the application has been deemed complete as provided for in Section 16.8.2.2, Incomplete CRR Account Holder Applications, unless ERCOT determines that additional time is needed to complete its review of the application.  ERCOT will notify the applicant when additional time is needed to complete its review and will provide a date by which ERCOT expects to complete its review.  If ERCOT’s initial evaluation indicates that there may be a basis to reject the application, ERCOT may contact the applicant prior to rendering a final decision on the application to determine if further information can be provided by the applicant to resolve the identified concern.</w:t>
      </w:r>
    </w:p>
    <w:bookmarkEnd w:id="397"/>
    <w:p w14:paraId="0FE9CD0F" w14:textId="21C34E6F" w:rsidR="00FC1C5F" w:rsidRDefault="00727E32" w:rsidP="00FE610C">
      <w:pPr>
        <w:pStyle w:val="BodyTextNumbered"/>
      </w:pPr>
      <w:r>
        <w:t>(2)</w:t>
      </w:r>
      <w:r>
        <w:tab/>
        <w:t>If ERCOT rejects a CRR Account Holder application, ERCOT shall send the applicant a rejection letter explaining the grounds upon which ERCOT rejected the CRR Account Holder application.  Appropriate grounds for rejecting a CRR Account Holder application include the following:</w:t>
      </w:r>
    </w:p>
    <w:p w14:paraId="176C7C0A" w14:textId="77777777" w:rsidR="00FC1C5F" w:rsidRDefault="00727E32">
      <w:pPr>
        <w:pStyle w:val="List"/>
      </w:pPr>
      <w:r>
        <w:t>(a)</w:t>
      </w:r>
      <w:r>
        <w:tab/>
        <w:t>Required information is not provided to ERCOT in the allotted time;</w:t>
      </w:r>
    </w:p>
    <w:p w14:paraId="37DF38F7" w14:textId="77777777" w:rsidR="00FC1C5F" w:rsidRDefault="00727E32">
      <w:pPr>
        <w:pStyle w:val="List"/>
      </w:pPr>
      <w:r>
        <w:t>(b)</w:t>
      </w:r>
      <w:r>
        <w:tab/>
        <w:t>Noncompliance with technical requirements; and</w:t>
      </w:r>
    </w:p>
    <w:p w14:paraId="09993174" w14:textId="77777777" w:rsidR="00FC1C5F" w:rsidRDefault="00727E32">
      <w:pPr>
        <w:pStyle w:val="List"/>
      </w:pPr>
      <w:r>
        <w:t>(c)</w:t>
      </w:r>
      <w:r>
        <w:tab/>
        <w:t>Noncompliance with other specific eligibility requirements in this Section or in any other Protocols.</w:t>
      </w:r>
    </w:p>
    <w:p w14:paraId="550ADAD3" w14:textId="77777777" w:rsidR="00FC1C5F" w:rsidRDefault="00727E32">
      <w:pPr>
        <w:pStyle w:val="BodyTextNumbered"/>
      </w:pPr>
      <w:r>
        <w:lastRenderedPageBreak/>
        <w:t>(3)</w:t>
      </w:r>
      <w:r>
        <w:tab/>
        <w:t>Not later than ten Business Days after receiving a rejection letter, the CRR Account Holder applicant may challenge the rejection of its CRR Account Holder application using the dispute resolution procedures set forth in Section 20, Alternative Dispute Resolution Procedure.  The applicant may submit a new CRR Account Holder application and fee at any time, and ERCOT shall process the new CRR Account Holder application under this Section.</w:t>
      </w:r>
    </w:p>
    <w:p w14:paraId="1C79A686" w14:textId="4FA68EB1" w:rsidR="00FC1C5F" w:rsidRDefault="00727E32">
      <w:pPr>
        <w:pStyle w:val="BodyTextNumbered"/>
      </w:pPr>
      <w:bookmarkStart w:id="398" w:name="_Hlk90904274"/>
      <w:r>
        <w:t>(4)</w:t>
      </w:r>
      <w:r>
        <w:tab/>
      </w:r>
      <w:r w:rsidR="00CF5E19">
        <w:t>If ERCOT approves the CRR Account Holder application, ERCOT shall send the applicant a CRR Account Holder Agreement and any other required Agreements relating to use of the ERCOT network, software, and systems for the applicant’s signature.</w:t>
      </w:r>
      <w:r w:rsidR="00CF5E19" w:rsidDel="00CF5E19">
        <w:t xml:space="preserve"> </w:t>
      </w:r>
    </w:p>
    <w:p w14:paraId="1C93EAA1" w14:textId="719CD18A" w:rsidR="00CF5E19" w:rsidRDefault="00CF5E19">
      <w:pPr>
        <w:pStyle w:val="BodyTextNumbered"/>
      </w:pPr>
      <w:r>
        <w:t>(5)</w:t>
      </w:r>
      <w:r>
        <w:tab/>
        <w:t xml:space="preserve">If ERCOT fails to approve or deny the CRR Account Holder application within 60 days after the application is deemed complete, and fails to notify the applicant that additional time is needed to complete its review, </w:t>
      </w:r>
      <w:r w:rsidRPr="00DD0220">
        <w:t>the CRR Account Holder may seek relief using the dispute resolution procedures set forth in Section 20.</w:t>
      </w:r>
    </w:p>
    <w:p w14:paraId="01F61C4E" w14:textId="77777777" w:rsidR="00FC1C5F" w:rsidRDefault="00727E32" w:rsidP="00FE610C">
      <w:pPr>
        <w:pStyle w:val="H3"/>
      </w:pPr>
      <w:bookmarkStart w:id="399" w:name="_Toc390438957"/>
      <w:bookmarkStart w:id="400" w:name="_Toc405897654"/>
      <w:bookmarkStart w:id="401" w:name="_Toc415055758"/>
      <w:bookmarkStart w:id="402" w:name="_Toc415055884"/>
      <w:bookmarkStart w:id="403" w:name="_Toc415055983"/>
      <w:bookmarkStart w:id="404" w:name="_Toc415056084"/>
      <w:bookmarkStart w:id="405" w:name="_Toc148960860"/>
      <w:bookmarkEnd w:id="398"/>
      <w:r>
        <w:t>16.8.3</w:t>
      </w:r>
      <w:r>
        <w:tab/>
        <w:t>Remaining Steps for CRR Account Holder Registration</w:t>
      </w:r>
      <w:bookmarkEnd w:id="399"/>
      <w:bookmarkEnd w:id="400"/>
      <w:bookmarkEnd w:id="401"/>
      <w:bookmarkEnd w:id="402"/>
      <w:bookmarkEnd w:id="403"/>
      <w:bookmarkEnd w:id="404"/>
      <w:bookmarkEnd w:id="405"/>
    </w:p>
    <w:p w14:paraId="59A88399" w14:textId="77777777" w:rsidR="00FC1C5F" w:rsidRDefault="00853D39" w:rsidP="009F10FE">
      <w:pPr>
        <w:pStyle w:val="ListIntroduction"/>
        <w:ind w:left="720" w:hanging="720"/>
      </w:pPr>
      <w:r>
        <w:rPr>
          <w:lang w:val="en-US"/>
        </w:rPr>
        <w:t>(1)</w:t>
      </w:r>
      <w:r>
        <w:rPr>
          <w:lang w:val="en-US"/>
        </w:rPr>
        <w:tab/>
      </w:r>
      <w:r w:rsidR="00727E32">
        <w:t>After a CRR Account Holder application is deemed approved under Section 16.8.2.3, ERCOT Approval or Rejection of CRR Account Holder Application, the applicant shall coordinate or perform the following:</w:t>
      </w:r>
    </w:p>
    <w:p w14:paraId="30CD6551" w14:textId="77777777" w:rsidR="00FC1C5F" w:rsidRDefault="00727E32">
      <w:pPr>
        <w:pStyle w:val="List"/>
      </w:pPr>
      <w:r>
        <w:t>(a)</w:t>
      </w:r>
      <w:r>
        <w:tab/>
        <w:t>Return the signed CRR Account Holder Agreement and other related agreements to ERCOT; and</w:t>
      </w:r>
    </w:p>
    <w:p w14:paraId="52B4B203" w14:textId="77777777" w:rsidR="00FC1C5F" w:rsidRDefault="00727E32">
      <w:pPr>
        <w:pStyle w:val="List"/>
      </w:pPr>
      <w:r>
        <w:t>(b)</w:t>
      </w:r>
      <w:r>
        <w:tab/>
        <w:t>Demonstrate compliance with security and financial requirements.</w:t>
      </w:r>
    </w:p>
    <w:p w14:paraId="791DF1E8" w14:textId="77777777" w:rsidR="00FC1C5F" w:rsidRDefault="00727E32">
      <w:pPr>
        <w:pStyle w:val="Heading4"/>
        <w:numPr>
          <w:ilvl w:val="0"/>
          <w:numId w:val="0"/>
        </w:numPr>
        <w:tabs>
          <w:tab w:val="left" w:pos="1620"/>
        </w:tabs>
      </w:pPr>
      <w:bookmarkStart w:id="406" w:name="_Toc390438958"/>
      <w:bookmarkStart w:id="407" w:name="_Toc405897655"/>
      <w:bookmarkStart w:id="408" w:name="_Toc415055759"/>
      <w:bookmarkStart w:id="409" w:name="_Toc415055885"/>
      <w:bookmarkStart w:id="410" w:name="_Toc415055984"/>
      <w:bookmarkStart w:id="411" w:name="_Toc415056085"/>
      <w:bookmarkStart w:id="412" w:name="_Toc148960861"/>
      <w:r>
        <w:t>16.8.3.1</w:t>
      </w:r>
      <w:r>
        <w:tab/>
        <w:t>Maintaining and Updating CRR Account Holder Information</w:t>
      </w:r>
      <w:bookmarkEnd w:id="406"/>
      <w:bookmarkEnd w:id="407"/>
      <w:bookmarkEnd w:id="408"/>
      <w:bookmarkEnd w:id="409"/>
      <w:bookmarkEnd w:id="410"/>
      <w:bookmarkEnd w:id="411"/>
      <w:bookmarkEnd w:id="412"/>
      <w:r>
        <w:t xml:space="preserve"> </w:t>
      </w:r>
    </w:p>
    <w:p w14:paraId="0CD642CD" w14:textId="77777777" w:rsidR="00FC1C5F" w:rsidRDefault="00853D39" w:rsidP="009F10FE">
      <w:pPr>
        <w:pStyle w:val="ListIntroduction"/>
        <w:ind w:left="720" w:hanging="720"/>
      </w:pPr>
      <w:r>
        <w:rPr>
          <w:lang w:val="en-US"/>
        </w:rPr>
        <w:t>(1)</w:t>
      </w:r>
      <w:r>
        <w:rPr>
          <w:lang w:val="en-US"/>
        </w:rPr>
        <w:tab/>
      </w:r>
      <w:r w:rsidR="00727E32">
        <w:t>Each CRR Account Holder must timely update information the CRR Account Holder provided to ERCOT in the application process, and a CRR Account Holder must promptly respond to any reasonable request by ERCOT for updated information regarding the CRR Account Holder or the information provided to ERCOT by the CRR Account Holder, including:</w:t>
      </w:r>
    </w:p>
    <w:p w14:paraId="12CD6D25" w14:textId="42D27DBC" w:rsidR="00FC1C5F" w:rsidRDefault="00727E32">
      <w:pPr>
        <w:pStyle w:val="List"/>
      </w:pPr>
      <w:r>
        <w:t>(a)</w:t>
      </w:r>
      <w:r>
        <w:tab/>
        <w:t>The CRR Account Holder’s addresses;</w:t>
      </w:r>
    </w:p>
    <w:p w14:paraId="202E6792" w14:textId="2F481073" w:rsidR="00CF5E19" w:rsidRDefault="00CF5E19">
      <w:pPr>
        <w:pStyle w:val="List"/>
      </w:pPr>
      <w:bookmarkStart w:id="413" w:name="_Hlk90904282"/>
      <w:r>
        <w:t>(b)</w:t>
      </w:r>
      <w:r>
        <w:tab/>
        <w:t>A list of Principals;</w:t>
      </w:r>
    </w:p>
    <w:bookmarkEnd w:id="413"/>
    <w:p w14:paraId="6DE0E088" w14:textId="06DC9870" w:rsidR="00FC1C5F" w:rsidRDefault="00727E32" w:rsidP="00FE610C">
      <w:pPr>
        <w:pStyle w:val="List"/>
      </w:pPr>
      <w:r>
        <w:t>(</w:t>
      </w:r>
      <w:r w:rsidR="00CF5E19">
        <w:t>c</w:t>
      </w:r>
      <w:r>
        <w:t>)</w:t>
      </w:r>
      <w:r>
        <w:tab/>
        <w:t>A list of Affiliates; and</w:t>
      </w:r>
    </w:p>
    <w:p w14:paraId="6712B52B" w14:textId="31EA8564" w:rsidR="00FC1C5F" w:rsidRDefault="00727E32">
      <w:pPr>
        <w:pStyle w:val="List"/>
      </w:pPr>
      <w:r>
        <w:t>(</w:t>
      </w:r>
      <w:r w:rsidR="00CF5E19">
        <w:t>d</w:t>
      </w:r>
      <w:r>
        <w:t>)</w:t>
      </w:r>
      <w:r>
        <w:tab/>
        <w:t>Designation of the CRR Account Holder’s officers, directors, Authorized Representatives, Credit Contacts, and User Security Administrator</w:t>
      </w:r>
      <w:r w:rsidR="00963894">
        <w:t xml:space="preserve"> (USA)</w:t>
      </w:r>
      <w:r>
        <w:t xml:space="preserve"> (all per the CRR Account Holder application) including the telephone and e-mail addresses for those persons. </w:t>
      </w:r>
    </w:p>
    <w:p w14:paraId="53BD24E3" w14:textId="77777777" w:rsidR="00FC1C5F" w:rsidRDefault="00727E32">
      <w:pPr>
        <w:pStyle w:val="H2"/>
      </w:pPr>
      <w:bookmarkStart w:id="414" w:name="_Toc390438959"/>
      <w:bookmarkStart w:id="415" w:name="_Toc405897656"/>
      <w:bookmarkStart w:id="416" w:name="_Toc415055760"/>
      <w:bookmarkStart w:id="417" w:name="_Toc415055886"/>
      <w:bookmarkStart w:id="418" w:name="_Toc415055985"/>
      <w:bookmarkStart w:id="419" w:name="_Toc415056086"/>
      <w:bookmarkStart w:id="420" w:name="_Toc148960862"/>
      <w:bookmarkStart w:id="421" w:name="_Toc71369199"/>
      <w:bookmarkStart w:id="422" w:name="_Toc71539414"/>
      <w:r>
        <w:lastRenderedPageBreak/>
        <w:t>16.9</w:t>
      </w:r>
      <w:r>
        <w:tab/>
        <w:t>Resources Providing Reliability Must-Run Service</w:t>
      </w:r>
      <w:bookmarkEnd w:id="414"/>
      <w:bookmarkEnd w:id="415"/>
      <w:bookmarkEnd w:id="416"/>
      <w:bookmarkEnd w:id="417"/>
      <w:bookmarkEnd w:id="418"/>
      <w:bookmarkEnd w:id="419"/>
      <w:bookmarkEnd w:id="420"/>
    </w:p>
    <w:p w14:paraId="1A3CF262" w14:textId="77777777" w:rsidR="00FC1C5F" w:rsidRDefault="00853D39" w:rsidP="009F10FE">
      <w:pPr>
        <w:pStyle w:val="BodyText"/>
        <w:ind w:left="720" w:hanging="720"/>
      </w:pPr>
      <w:r>
        <w:t>(1)</w:t>
      </w:r>
      <w:r>
        <w:tab/>
      </w:r>
      <w:r w:rsidR="00727E32">
        <w:t xml:space="preserve">Any Entity providing Reliability Must-Run (RMR) Service must comply with all the requirements to become a Resource Entity under this Section and must sign an RMR Agreement (Section 22, Attachment B, Standard Form Reliability Must-Run Agreement).  </w:t>
      </w:r>
    </w:p>
    <w:p w14:paraId="2F2B4BE1" w14:textId="77777777" w:rsidR="00FC1C5F" w:rsidRDefault="00727E32">
      <w:pPr>
        <w:pStyle w:val="H2"/>
      </w:pPr>
      <w:bookmarkStart w:id="423" w:name="_Toc390438960"/>
      <w:bookmarkStart w:id="424" w:name="_Toc405897657"/>
      <w:bookmarkStart w:id="425" w:name="_Toc415055761"/>
      <w:bookmarkStart w:id="426" w:name="_Toc415055887"/>
      <w:bookmarkStart w:id="427" w:name="_Toc415055986"/>
      <w:bookmarkStart w:id="428" w:name="_Toc415056087"/>
      <w:bookmarkStart w:id="429" w:name="_Toc148960863"/>
      <w:r>
        <w:t>16.10</w:t>
      </w:r>
      <w:r>
        <w:tab/>
        <w:t>Resources Providing Black Start Service</w:t>
      </w:r>
      <w:bookmarkEnd w:id="423"/>
      <w:bookmarkEnd w:id="424"/>
      <w:bookmarkEnd w:id="425"/>
      <w:bookmarkEnd w:id="426"/>
      <w:bookmarkEnd w:id="427"/>
      <w:bookmarkEnd w:id="428"/>
      <w:bookmarkEnd w:id="429"/>
    </w:p>
    <w:p w14:paraId="2B0ACC02" w14:textId="393134C0" w:rsidR="00FC1C5F" w:rsidRDefault="00853D39" w:rsidP="009F10FE">
      <w:pPr>
        <w:pStyle w:val="BodyText"/>
        <w:ind w:left="720" w:hanging="720"/>
      </w:pPr>
      <w:r>
        <w:t>(1)</w:t>
      </w:r>
      <w:r>
        <w:tab/>
      </w:r>
      <w:r w:rsidR="00727E32">
        <w:t xml:space="preserve">Any Entity providing Black Start Service must comply with all the requirements to become a Resource Entity under this Section and must sign a </w:t>
      </w:r>
      <w:r w:rsidR="00081A43">
        <w:t xml:space="preserve">Standard Form </w:t>
      </w:r>
      <w:r w:rsidR="00727E32">
        <w:t xml:space="preserve">Black Start Agreement (Section 22, Attachment D, Standard Form Black Start Agreement). </w:t>
      </w:r>
    </w:p>
    <w:p w14:paraId="58413753" w14:textId="77777777" w:rsidR="00AA6D6D" w:rsidRPr="0002450E" w:rsidRDefault="00AA6D6D" w:rsidP="00AA6D6D">
      <w:pPr>
        <w:pStyle w:val="H2"/>
        <w:spacing w:before="120"/>
        <w:ind w:left="907" w:hanging="907"/>
      </w:pPr>
      <w:bookmarkStart w:id="430" w:name="_Toc390438961"/>
      <w:bookmarkStart w:id="431" w:name="_Toc405897658"/>
      <w:bookmarkStart w:id="432" w:name="_Toc415055762"/>
      <w:bookmarkStart w:id="433" w:name="_Toc415055888"/>
      <w:bookmarkStart w:id="434" w:name="_Toc415055987"/>
      <w:bookmarkStart w:id="435" w:name="_Toc415056088"/>
      <w:bookmarkStart w:id="436" w:name="_Toc148960864"/>
      <w:bookmarkStart w:id="437" w:name="_Toc69636432"/>
      <w:bookmarkStart w:id="438" w:name="_Toc71369201"/>
      <w:bookmarkStart w:id="439" w:name="_Toc71539416"/>
      <w:bookmarkEnd w:id="421"/>
      <w:bookmarkEnd w:id="422"/>
      <w:r w:rsidRPr="0002450E">
        <w:t>16.11</w:t>
      </w:r>
      <w:r w:rsidRPr="0002450E">
        <w:tab/>
        <w:t>Financial Security for Counter-Parties</w:t>
      </w:r>
      <w:bookmarkEnd w:id="430"/>
      <w:bookmarkEnd w:id="431"/>
      <w:bookmarkEnd w:id="432"/>
      <w:bookmarkEnd w:id="433"/>
      <w:bookmarkEnd w:id="434"/>
      <w:bookmarkEnd w:id="435"/>
      <w:bookmarkEnd w:id="436"/>
    </w:p>
    <w:p w14:paraId="58F459BF" w14:textId="77777777" w:rsidR="00AA6D6D" w:rsidRPr="0002450E" w:rsidRDefault="00AA6D6D" w:rsidP="00AA6D6D">
      <w:pPr>
        <w:pStyle w:val="Instructions"/>
        <w:ind w:left="720" w:hanging="720"/>
        <w:rPr>
          <w:b w:val="0"/>
          <w:i w:val="0"/>
          <w:iCs/>
        </w:rPr>
      </w:pPr>
      <w:r w:rsidRPr="0002450E">
        <w:rPr>
          <w:b w:val="0"/>
          <w:i w:val="0"/>
          <w:iCs/>
        </w:rPr>
        <w:t>(1)</w:t>
      </w:r>
      <w:r w:rsidRPr="0002450E">
        <w:rPr>
          <w:b w:val="0"/>
          <w:i w:val="0"/>
          <w:iCs/>
        </w:rPr>
        <w:tab/>
        <w:t>The term “Financial Security” in this Section means the collateral amount posted with ERCOT in any of the forms listed in Section 16.11.3, Alternative Means of Satisfying ERCOT Creditworthiness Requirements.</w:t>
      </w:r>
    </w:p>
    <w:p w14:paraId="02BA70DC" w14:textId="2C24EE86" w:rsidR="00573F3C" w:rsidRDefault="00AA6D6D" w:rsidP="00FB1643">
      <w:pPr>
        <w:pStyle w:val="BodyText"/>
        <w:ind w:left="720" w:hanging="720"/>
      </w:pPr>
      <w:r w:rsidRPr="00BF5B1E">
        <w:t>(</w:t>
      </w:r>
      <w:r w:rsidR="005C04D0">
        <w:t>2</w:t>
      </w:r>
      <w:r w:rsidRPr="00BF5B1E">
        <w:t>)</w:t>
      </w:r>
      <w:r w:rsidRPr="00BF5B1E">
        <w:tab/>
      </w:r>
      <w:r w:rsidR="005C04D0" w:rsidRPr="003B38E5">
        <w:t>The term “Remainder Collateral” in this Section means the Financial Security minus Total Potential Exposure Secured (TPES) minus Net Positive Exposure of approved Congestion Revenue Right (CRR) Bilateral Trades minus Available Credit Limit (ACL) locked for CRR Auction, calculated in accordance with paragraph (3) of Section 16.11.4.6.1, Credit Requirements for CRR Auction Participation</w:t>
      </w:r>
      <w:r w:rsidRPr="00BF5B1E">
        <w:t>.</w:t>
      </w:r>
      <w:r w:rsidR="00727E32" w:rsidRPr="00AA6D6D">
        <w:t xml:space="preserve"> </w:t>
      </w:r>
    </w:p>
    <w:p w14:paraId="37A4E36E" w14:textId="5C3E2BFB" w:rsidR="00B55C27" w:rsidRDefault="00B55C27" w:rsidP="00FB1643">
      <w:pPr>
        <w:pStyle w:val="BodyText"/>
        <w:ind w:left="720" w:hanging="720"/>
      </w:pPr>
      <w:r w:rsidRPr="00723BC4">
        <w:t>(</w:t>
      </w:r>
      <w:r>
        <w:t>3</w:t>
      </w:r>
      <w:r w:rsidRPr="00723BC4">
        <w:t>)</w:t>
      </w:r>
      <w:r w:rsidRPr="00723BC4">
        <w:tab/>
        <w:t>The term “Ultimate Parent” in this Section is defined as the most distant parent that prepares consolidated financial statements within the hierarchical ownership structure.</w:t>
      </w:r>
    </w:p>
    <w:p w14:paraId="41260FD6" w14:textId="77777777" w:rsidR="00F56ABB" w:rsidRDefault="00727E32" w:rsidP="00D9080F">
      <w:pPr>
        <w:pStyle w:val="H3"/>
      </w:pPr>
      <w:bookmarkStart w:id="440" w:name="_Toc390438962"/>
      <w:bookmarkStart w:id="441" w:name="_Toc405897659"/>
      <w:bookmarkStart w:id="442" w:name="_Toc415055763"/>
      <w:bookmarkStart w:id="443" w:name="_Toc415055889"/>
      <w:bookmarkStart w:id="444" w:name="_Toc415055988"/>
      <w:bookmarkStart w:id="445" w:name="_Toc415056089"/>
      <w:bookmarkStart w:id="446" w:name="_Toc148960865"/>
      <w:r>
        <w:t>16.11.1</w:t>
      </w:r>
      <w:r>
        <w:tab/>
        <w:t>ERCOT Creditworthiness Requirements for Counter-Parties</w:t>
      </w:r>
      <w:bookmarkEnd w:id="440"/>
      <w:bookmarkEnd w:id="441"/>
      <w:bookmarkEnd w:id="442"/>
      <w:bookmarkEnd w:id="443"/>
      <w:bookmarkEnd w:id="444"/>
      <w:bookmarkEnd w:id="445"/>
      <w:bookmarkEnd w:id="446"/>
      <w:r>
        <w:t xml:space="preserve"> </w:t>
      </w:r>
    </w:p>
    <w:p w14:paraId="4C1A178F" w14:textId="345BAD2A" w:rsidR="00FE57D4" w:rsidRDefault="00853D39" w:rsidP="00FE57D4">
      <w:pPr>
        <w:spacing w:after="240"/>
        <w:ind w:left="720" w:hanging="720"/>
      </w:pPr>
      <w:r>
        <w:t>(1)</w:t>
      </w:r>
      <w:r>
        <w:tab/>
      </w:r>
      <w:r w:rsidR="005C04D0" w:rsidRPr="00593C45">
        <w:t>Each Counter-Party shall meet ERCOT’s creditworthiness standards as provided in this Section.  A Counter-Party must, at all times, maintain its Financial Security at or above the amount of its Total Potential Exposure (TPE).  Each Counter-Party shall maintain any required Financial Security in a form acceptable to ERCOT in its sole discretion.  If at any time the Counter-Party does not meet ERCOT’s creditworthiness requirements, then ERCOT may suspend the Counter-Party’s rights under these Protocols until it meets those creditworthiness requirements.  ERCOT’s failure to suspend the Counter-Party’s rights on any particular occasion does not prevent ERCOT from suspending those rights on any subsequent occasion, including a CRR Account Holder’s ability to bid on future CRRs or a Qualified Scheduling Entity’s (QSE’s) ability to bid in the Day-Ahead Market (DAM).</w:t>
      </w:r>
    </w:p>
    <w:p w14:paraId="75A626FD" w14:textId="3F93FD28" w:rsidR="00FE57D4" w:rsidRDefault="00FE57D4" w:rsidP="00FB1643">
      <w:pPr>
        <w:spacing w:after="240"/>
        <w:ind w:left="720" w:hanging="720"/>
      </w:pPr>
      <w:r>
        <w:t>(2)</w:t>
      </w:r>
      <w:r>
        <w:tab/>
      </w:r>
      <w:r w:rsidR="006004A9">
        <w:t>Notwithstanding the provisions in paragraph (1) above, ERCOT may draw on Financial Security if necessary to pay short-pays of Securitization Default Charge Invoices or Securitization Uplift Charge Initial Invoices if the respective escrow deposits are insufficient to cover the short-pays</w:t>
      </w:r>
      <w:r>
        <w:t>.</w:t>
      </w:r>
    </w:p>
    <w:p w14:paraId="4BE95412" w14:textId="16C328C0" w:rsidR="0028005C" w:rsidRPr="0028005C" w:rsidRDefault="0028005C" w:rsidP="0028005C">
      <w:pPr>
        <w:pStyle w:val="Heading4"/>
        <w:numPr>
          <w:ilvl w:val="0"/>
          <w:numId w:val="0"/>
        </w:numPr>
        <w:tabs>
          <w:tab w:val="left" w:pos="1620"/>
        </w:tabs>
      </w:pPr>
      <w:bookmarkStart w:id="447" w:name="_Toc148960866"/>
      <w:bookmarkStart w:id="448" w:name="_Toc390438963"/>
      <w:bookmarkStart w:id="449" w:name="_Toc405897660"/>
      <w:bookmarkStart w:id="450" w:name="_Toc415055764"/>
      <w:bookmarkStart w:id="451" w:name="_Toc415055890"/>
      <w:bookmarkStart w:id="452" w:name="_Toc415055989"/>
      <w:bookmarkStart w:id="453" w:name="_Toc415056090"/>
      <w:r w:rsidRPr="0028005C">
        <w:lastRenderedPageBreak/>
        <w:t>16.11.1.</w:t>
      </w:r>
      <w:r w:rsidR="00A34A95">
        <w:t>1</w:t>
      </w:r>
      <w:r w:rsidRPr="0028005C">
        <w:tab/>
        <w:t>Review of Counter-Party Eligibility</w:t>
      </w:r>
      <w:bookmarkEnd w:id="447"/>
    </w:p>
    <w:p w14:paraId="514B1446" w14:textId="77777777" w:rsidR="0028005C" w:rsidRPr="002972C6" w:rsidRDefault="0028005C" w:rsidP="0028005C">
      <w:pPr>
        <w:pStyle w:val="BodyTextNumbered"/>
      </w:pPr>
      <w:r>
        <w:t>(1)</w:t>
      </w:r>
      <w:r>
        <w:tab/>
        <w:t xml:space="preserve">At any time, ERCOT may conduct a review to determine if a </w:t>
      </w:r>
      <w:r w:rsidRPr="0098151B">
        <w:t xml:space="preserve">Counter-Party </w:t>
      </w:r>
      <w:r w:rsidRPr="00662B41">
        <w:t>continue</w:t>
      </w:r>
      <w:r>
        <w:t>s</w:t>
      </w:r>
      <w:r w:rsidRPr="00662B41">
        <w:t xml:space="preserve"> to </w:t>
      </w:r>
      <w:r>
        <w:t xml:space="preserve">satisfy all </w:t>
      </w:r>
      <w:r w:rsidRPr="00662B41">
        <w:t>requirements set forth in</w:t>
      </w:r>
      <w:r>
        <w:t xml:space="preserve"> Section 16, Registration and Qualification of Market Participants</w:t>
      </w:r>
      <w:r w:rsidRPr="00662B41">
        <w:t>.</w:t>
      </w:r>
      <w:r>
        <w:t xml:space="preserve">  </w:t>
      </w:r>
    </w:p>
    <w:p w14:paraId="4855A42F" w14:textId="77777777" w:rsidR="0028005C" w:rsidRDefault="0028005C" w:rsidP="0028005C">
      <w:pPr>
        <w:spacing w:after="240"/>
        <w:ind w:left="720" w:hanging="720"/>
      </w:pPr>
      <w:r>
        <w:t>(2)</w:t>
      </w:r>
      <w:r>
        <w:tab/>
      </w:r>
      <w:r w:rsidRPr="00880612">
        <w:t xml:space="preserve">ERCOT’s review under this Section may be triggered by notice of a change provided by the Counter-Party to ERCOT, information that ERCOT receives or discovers through other means, </w:t>
      </w:r>
      <w:r w:rsidRPr="00373358">
        <w:t>or ERCOT’s periodic review of Principals of Counter-Parties</w:t>
      </w:r>
      <w:r w:rsidRPr="00880612">
        <w:t>.</w:t>
      </w:r>
      <w:r>
        <w:t xml:space="preserve">  </w:t>
      </w:r>
    </w:p>
    <w:p w14:paraId="1888885A" w14:textId="20BC1E89" w:rsidR="0028005C" w:rsidRDefault="0028005C" w:rsidP="0028005C">
      <w:pPr>
        <w:pStyle w:val="BodyTextNumbered"/>
        <w:rPr>
          <w:szCs w:val="24"/>
        </w:rPr>
      </w:pPr>
      <w:r w:rsidRPr="00716AD0">
        <w:t>(3)</w:t>
      </w:r>
      <w:r w:rsidRPr="00716AD0">
        <w:tab/>
        <w:t>As part of ERCOT’s review</w:t>
      </w:r>
      <w:r w:rsidRPr="00716AD0">
        <w:rPr>
          <w:szCs w:val="24"/>
        </w:rPr>
        <w:t xml:space="preserve"> under this Section, ERCOT may conduct additional background checks, as described in </w:t>
      </w:r>
      <w:r w:rsidRPr="00E36B49">
        <w:rPr>
          <w:szCs w:val="24"/>
        </w:rPr>
        <w:t>Section 16.2.1.1, QSE Background Check Process</w:t>
      </w:r>
      <w:r w:rsidR="00164C18">
        <w:rPr>
          <w:szCs w:val="24"/>
        </w:rPr>
        <w:t>,</w:t>
      </w:r>
      <w:r w:rsidRPr="00E36B49">
        <w:rPr>
          <w:szCs w:val="24"/>
        </w:rPr>
        <w:t xml:space="preserve"> </w:t>
      </w:r>
      <w:r w:rsidRPr="00C42190">
        <w:rPr>
          <w:szCs w:val="24"/>
        </w:rPr>
        <w:t>and Section 16.8.1.1, CRR Account</w:t>
      </w:r>
      <w:r>
        <w:rPr>
          <w:szCs w:val="24"/>
        </w:rPr>
        <w:t xml:space="preserve"> Holder Background Check Process</w:t>
      </w:r>
      <w:r w:rsidRPr="00716AD0">
        <w:rPr>
          <w:szCs w:val="24"/>
        </w:rPr>
        <w:t xml:space="preserve">.  ERCOT will charge the Counter-Party a new background check fee for any necessary background check. </w:t>
      </w:r>
      <w:r w:rsidR="00A00163">
        <w:rPr>
          <w:szCs w:val="24"/>
        </w:rPr>
        <w:t xml:space="preserve"> </w:t>
      </w:r>
      <w:r w:rsidRPr="00716AD0">
        <w:rPr>
          <w:szCs w:val="24"/>
        </w:rPr>
        <w:t xml:space="preserve">A Counter-Party’s failure to pay a background check fee by the deadline set by ERCOT constitutes a </w:t>
      </w:r>
      <w:r w:rsidR="002C653A">
        <w:rPr>
          <w:szCs w:val="24"/>
        </w:rPr>
        <w:t>“</w:t>
      </w:r>
      <w:r w:rsidRPr="00716AD0">
        <w:rPr>
          <w:szCs w:val="24"/>
        </w:rPr>
        <w:t>Payment Breach</w:t>
      </w:r>
      <w:r w:rsidR="002C653A">
        <w:rPr>
          <w:szCs w:val="24"/>
        </w:rPr>
        <w:t>”</w:t>
      </w:r>
      <w:r w:rsidRPr="00716AD0">
        <w:rPr>
          <w:szCs w:val="24"/>
        </w:rPr>
        <w:t xml:space="preserve"> pursuant to </w:t>
      </w:r>
      <w:r w:rsidRPr="00FD0BA0">
        <w:rPr>
          <w:szCs w:val="24"/>
        </w:rPr>
        <w:t>Section 16.11.</w:t>
      </w:r>
      <w:r w:rsidR="008E4318">
        <w:rPr>
          <w:szCs w:val="24"/>
        </w:rPr>
        <w:t>6</w:t>
      </w:r>
      <w:r w:rsidRPr="00FD0BA0">
        <w:rPr>
          <w:szCs w:val="24"/>
        </w:rPr>
        <w:t>, Payment</w:t>
      </w:r>
      <w:r w:rsidRPr="00154470">
        <w:rPr>
          <w:szCs w:val="24"/>
        </w:rPr>
        <w:t xml:space="preserve"> Breach and Late Payments by Market Participants</w:t>
      </w:r>
      <w:r w:rsidRPr="00716AD0">
        <w:rPr>
          <w:szCs w:val="24"/>
        </w:rPr>
        <w:t>.</w:t>
      </w:r>
      <w:r>
        <w:rPr>
          <w:szCs w:val="24"/>
        </w:rPr>
        <w:t xml:space="preserve"> </w:t>
      </w:r>
    </w:p>
    <w:p w14:paraId="48E3A00A" w14:textId="77777777" w:rsidR="0028005C" w:rsidRDefault="0028005C" w:rsidP="0028005C">
      <w:pPr>
        <w:pStyle w:val="BodyTextNumbered"/>
        <w:rPr>
          <w:b/>
          <w:i/>
        </w:rPr>
      </w:pPr>
      <w:r>
        <w:rPr>
          <w:szCs w:val="24"/>
        </w:rPr>
        <w:t>(4)</w:t>
      </w:r>
      <w:r>
        <w:rPr>
          <w:szCs w:val="24"/>
        </w:rPr>
        <w:tab/>
      </w:r>
      <w:r>
        <w:t xml:space="preserve">If ERCOT conducts a review pursuant to this Section and determines that the </w:t>
      </w:r>
      <w:r w:rsidRPr="0098151B">
        <w:t xml:space="preserve">Counter-Party </w:t>
      </w:r>
      <w:r>
        <w:t>may no longer satisfy a requirement</w:t>
      </w:r>
      <w:r w:rsidRPr="00662B41">
        <w:t xml:space="preserve"> set forth in</w:t>
      </w:r>
      <w:r>
        <w:t xml:space="preserve"> Section 16, ERCOT, in its sole discretion, may consult with the </w:t>
      </w:r>
      <w:r w:rsidRPr="0098151B">
        <w:t xml:space="preserve">Counter-Party </w:t>
      </w:r>
      <w:r>
        <w:t>to determine if the Counter-Party can provide additional information or take remedial action that would explain or resolve the deficiencies preliminarily identified by ERCOT in its review.</w:t>
      </w:r>
    </w:p>
    <w:p w14:paraId="5F7F7413" w14:textId="6E23B120" w:rsidR="0028005C" w:rsidRPr="0028005C" w:rsidRDefault="0028005C" w:rsidP="0028005C">
      <w:pPr>
        <w:keepNext/>
        <w:tabs>
          <w:tab w:val="left" w:pos="1620"/>
        </w:tabs>
        <w:spacing w:before="240" w:after="240"/>
        <w:ind w:left="1627" w:hanging="1627"/>
        <w:outlineLvl w:val="4"/>
        <w:rPr>
          <w:b/>
          <w:bCs/>
          <w:i/>
          <w:iCs/>
          <w:szCs w:val="26"/>
        </w:rPr>
      </w:pPr>
      <w:bookmarkStart w:id="454" w:name="_Toc148960867"/>
      <w:r w:rsidRPr="0028005C">
        <w:rPr>
          <w:b/>
          <w:bCs/>
          <w:i/>
          <w:iCs/>
          <w:szCs w:val="26"/>
        </w:rPr>
        <w:t>16.11.1.</w:t>
      </w:r>
      <w:r w:rsidR="00A34A95">
        <w:rPr>
          <w:b/>
          <w:bCs/>
          <w:i/>
          <w:iCs/>
          <w:szCs w:val="26"/>
        </w:rPr>
        <w:t>1</w:t>
      </w:r>
      <w:r w:rsidRPr="0028005C">
        <w:rPr>
          <w:b/>
          <w:bCs/>
          <w:i/>
          <w:iCs/>
          <w:szCs w:val="26"/>
        </w:rPr>
        <w:t>.1</w:t>
      </w:r>
      <w:r w:rsidRPr="0028005C">
        <w:rPr>
          <w:b/>
          <w:bCs/>
          <w:i/>
          <w:iCs/>
          <w:szCs w:val="26"/>
        </w:rPr>
        <w:tab/>
        <w:t>Failure to Maintain Eligibility</w:t>
      </w:r>
      <w:bookmarkEnd w:id="454"/>
    </w:p>
    <w:p w14:paraId="3794F1F1" w14:textId="42D6EB17" w:rsidR="0028005C" w:rsidRDefault="0028005C" w:rsidP="0028005C">
      <w:pPr>
        <w:pStyle w:val="BodyTextNumbered"/>
      </w:pPr>
      <w:r>
        <w:t>(1)</w:t>
      </w:r>
      <w:r>
        <w:tab/>
        <w:t xml:space="preserve">If ERCOT’s review of a Counter-Party pursuant to Section </w:t>
      </w:r>
      <w:r w:rsidRPr="00E36B49">
        <w:t xml:space="preserve">16.2.1.1, QSE Background Check Process, </w:t>
      </w:r>
      <w:r>
        <w:t xml:space="preserve">or </w:t>
      </w:r>
      <w:r w:rsidRPr="00C42190">
        <w:t xml:space="preserve">Section 16.8.1.1, CRR Account Holder Background Check Process, </w:t>
      </w:r>
      <w:r>
        <w:t>results in ERCOT determining that the Counter-Party no longer satisfies a requirement</w:t>
      </w:r>
      <w:r w:rsidRPr="00662B41">
        <w:t xml:space="preserve"> set forth in</w:t>
      </w:r>
      <w:r>
        <w:t xml:space="preserve"> Section 16, </w:t>
      </w:r>
      <w:r w:rsidR="00BA61CA" w:rsidRPr="00BA61CA">
        <w:t>Registration and Qualification of Market Participants</w:t>
      </w:r>
      <w:r w:rsidR="00BA61CA">
        <w:t>,</w:t>
      </w:r>
      <w:r w:rsidR="00BA61CA" w:rsidRPr="00BA61CA">
        <w:t xml:space="preserve"> </w:t>
      </w:r>
      <w:r>
        <w:t>then ERCOT will notify the</w:t>
      </w:r>
      <w:r w:rsidRPr="0097362B">
        <w:t xml:space="preserve"> </w:t>
      </w:r>
      <w:r>
        <w:t xml:space="preserve">Counter-Party that such failure to comply with the ERCOT Protocols is a material breach under Section </w:t>
      </w:r>
      <w:r w:rsidRPr="00FD0BA0">
        <w:t>(8)(A)(2)</w:t>
      </w:r>
      <w:r>
        <w:t xml:space="preserve"> of the Standard Form Market Participant Agreement (Section 22, Attachment A).  ERCOT will provide the Counter-Party with specific information concerning what is required to cure the material breach. </w:t>
      </w:r>
    </w:p>
    <w:p w14:paraId="681279BF" w14:textId="77777777" w:rsidR="0028005C" w:rsidRDefault="0028005C" w:rsidP="0028005C">
      <w:pPr>
        <w:pStyle w:val="BodyTextNumbered"/>
        <w:rPr>
          <w:szCs w:val="24"/>
        </w:rPr>
      </w:pPr>
      <w:r>
        <w:t>(2)</w:t>
      </w:r>
      <w:r>
        <w:tab/>
        <w:t xml:space="preserve">If ERCOT determines, in its sole discretion, that continued participation of the </w:t>
      </w:r>
      <w:r w:rsidRPr="0097362B">
        <w:t xml:space="preserve">Counter-Party </w:t>
      </w:r>
      <w:r>
        <w:t xml:space="preserve">would pose a risk that could immediately compromise the integrity of the ERCOT market during the 14-day cure period described in </w:t>
      </w:r>
      <w:r w:rsidRPr="00FD0BA0">
        <w:t>Section (8)(A)(2) of the Standard Form Market Participant Agreement, ERCOT may suspend the Counter</w:t>
      </w:r>
      <w:r w:rsidRPr="0097362B">
        <w:t>-Party</w:t>
      </w:r>
      <w:r>
        <w:t>’s</w:t>
      </w:r>
      <w:r w:rsidRPr="0097362B">
        <w:t xml:space="preserve"> </w:t>
      </w:r>
      <w:r>
        <w:t>rights as a Market Participant upon the notification of the material breach</w:t>
      </w:r>
      <w:r w:rsidRPr="002972C6">
        <w:rPr>
          <w:szCs w:val="24"/>
        </w:rPr>
        <w:t>.</w:t>
      </w:r>
    </w:p>
    <w:p w14:paraId="14B31E2B" w14:textId="020B21E4" w:rsidR="00FC1C5F" w:rsidRDefault="00727E32" w:rsidP="001D3EB6">
      <w:pPr>
        <w:pStyle w:val="H3"/>
      </w:pPr>
      <w:bookmarkStart w:id="455" w:name="_Toc148960868"/>
      <w:r>
        <w:lastRenderedPageBreak/>
        <w:t>16.11.2</w:t>
      </w:r>
      <w:r>
        <w:tab/>
      </w:r>
      <w:r w:rsidR="005C04D0">
        <w:t>[RESERVED]</w:t>
      </w:r>
      <w:bookmarkEnd w:id="448"/>
      <w:bookmarkEnd w:id="449"/>
      <w:bookmarkEnd w:id="450"/>
      <w:bookmarkEnd w:id="451"/>
      <w:bookmarkEnd w:id="452"/>
      <w:bookmarkEnd w:id="453"/>
      <w:bookmarkEnd w:id="455"/>
    </w:p>
    <w:p w14:paraId="065D1685" w14:textId="77777777" w:rsidR="00FC1C5F" w:rsidRDefault="00727E32" w:rsidP="00FB1643">
      <w:pPr>
        <w:pStyle w:val="H3"/>
        <w:ind w:left="0" w:firstLine="0"/>
      </w:pPr>
      <w:bookmarkStart w:id="456" w:name="_Toc390438964"/>
      <w:bookmarkStart w:id="457" w:name="_Toc405897661"/>
      <w:bookmarkStart w:id="458" w:name="_Toc415055765"/>
      <w:bookmarkStart w:id="459" w:name="_Toc415055891"/>
      <w:bookmarkStart w:id="460" w:name="_Toc415055990"/>
      <w:bookmarkStart w:id="461" w:name="_Toc415056091"/>
      <w:bookmarkStart w:id="462" w:name="_Toc148960869"/>
      <w:r>
        <w:t>16.11.3</w:t>
      </w:r>
      <w:r>
        <w:tab/>
        <w:t>Alternative Means of Satisfying ERCOT Creditworthiness Requirements</w:t>
      </w:r>
      <w:bookmarkEnd w:id="456"/>
      <w:bookmarkEnd w:id="457"/>
      <w:bookmarkEnd w:id="458"/>
      <w:bookmarkEnd w:id="459"/>
      <w:bookmarkEnd w:id="460"/>
      <w:bookmarkEnd w:id="461"/>
      <w:bookmarkEnd w:id="462"/>
    </w:p>
    <w:p w14:paraId="3B24A6D8" w14:textId="77777777" w:rsidR="005C04D0" w:rsidRPr="00CC731E" w:rsidRDefault="005C04D0" w:rsidP="005C04D0">
      <w:pPr>
        <w:pStyle w:val="List"/>
        <w:ind w:left="702" w:hanging="702"/>
      </w:pPr>
      <w:r w:rsidRPr="00CC731E">
        <w:t>(1)</w:t>
      </w:r>
      <w:r w:rsidRPr="00CC731E">
        <w:tab/>
      </w:r>
      <w:r>
        <w:t>A</w:t>
      </w:r>
      <w:r w:rsidRPr="00CC731E">
        <w:t xml:space="preserve"> Counter-Party required to provide Financial Security under these Protocols may do so through one or more of the following means:</w:t>
      </w:r>
    </w:p>
    <w:p w14:paraId="08218184" w14:textId="77777777" w:rsidR="005C04D0" w:rsidRPr="00CC731E" w:rsidRDefault="005C04D0" w:rsidP="005C04D0">
      <w:pPr>
        <w:pStyle w:val="List"/>
      </w:pPr>
      <w:r w:rsidRPr="00CC731E">
        <w:t>(</w:t>
      </w:r>
      <w:r>
        <w:t>a</w:t>
      </w:r>
      <w:r w:rsidRPr="00CC731E">
        <w:t>)</w:t>
      </w:r>
      <w:r w:rsidRPr="00CC731E">
        <w:tab/>
        <w:t xml:space="preserve">The Counter-Party may give an unconditional, irrevocable letter of credit naming ERCOT as the beneficiary.  ERCOT may, in its sole discretion, reject the letter of credit if the issuer is unacceptable to ERCOT or if the conditions under which ERCOT may draw against the letter of credit are unacceptable to ERCOT.  </w:t>
      </w:r>
    </w:p>
    <w:p w14:paraId="08725EA7" w14:textId="77777777" w:rsidR="005C04D0" w:rsidRDefault="005C04D0" w:rsidP="005C04D0">
      <w:pPr>
        <w:pStyle w:val="List"/>
        <w:numPr>
          <w:ilvl w:val="0"/>
          <w:numId w:val="23"/>
        </w:numPr>
      </w:pPr>
      <w:r w:rsidRPr="00CC731E">
        <w:t>The letter of credit must be given using the ERCOT Board-approved standard letter of credit form.</w:t>
      </w:r>
    </w:p>
    <w:p w14:paraId="26A5DAE7" w14:textId="77777777" w:rsidR="005C04D0" w:rsidRPr="00CC731E" w:rsidRDefault="005C04D0" w:rsidP="005C04D0">
      <w:pPr>
        <w:pStyle w:val="List"/>
        <w:numPr>
          <w:ilvl w:val="0"/>
          <w:numId w:val="23"/>
        </w:numPr>
      </w:pPr>
      <w:r>
        <w:t>All letters of credit must be drawn on a U.S. domestic bank or a U.S. domestic office of a foreign bank.</w:t>
      </w:r>
    </w:p>
    <w:p w14:paraId="43CB862B" w14:textId="77777777" w:rsidR="005C04D0" w:rsidRDefault="005C04D0" w:rsidP="005C04D0">
      <w:pPr>
        <w:pStyle w:val="List"/>
        <w:ind w:left="2160"/>
      </w:pPr>
      <w:r w:rsidRPr="00CC731E">
        <w:t>(ii</w:t>
      </w:r>
      <w:r>
        <w:t>i</w:t>
      </w:r>
      <w:r w:rsidRPr="00CC731E">
        <w:t>)</w:t>
      </w:r>
      <w:r w:rsidRPr="00CC731E">
        <w:tab/>
        <w:t xml:space="preserve">Letters of credit must be issued by a bank </w:t>
      </w:r>
      <w:r>
        <w:t xml:space="preserve">or other financial institution that is acceptable to ERCOT, </w:t>
      </w:r>
      <w:r w:rsidRPr="00CC731E">
        <w:t>with a minimum rating of A- with S&amp;P or Fitch or A3 with Moody’s.</w:t>
      </w:r>
    </w:p>
    <w:p w14:paraId="71E6E693" w14:textId="77777777" w:rsidR="005C04D0" w:rsidRPr="00CC731E" w:rsidRDefault="005C04D0" w:rsidP="005C04D0">
      <w:pPr>
        <w:pStyle w:val="List"/>
        <w:ind w:left="2160"/>
      </w:pPr>
      <w:r w:rsidRPr="00CC731E">
        <w:t>(i</w:t>
      </w:r>
      <w:r>
        <w:t>v</w:t>
      </w:r>
      <w:r w:rsidRPr="00CC731E">
        <w:t>)</w:t>
      </w:r>
      <w:r w:rsidRPr="00CC731E">
        <w:tab/>
        <w:t xml:space="preserve">Letters of credit are subject to an overall limit per </w:t>
      </w:r>
      <w:r>
        <w:t>letter of credit</w:t>
      </w:r>
      <w:r w:rsidRPr="00CC731E">
        <w:t xml:space="preserve"> issuer for all ERCOT Counter-Parties as determined below: </w:t>
      </w:r>
    </w:p>
    <w:tbl>
      <w:tblPr>
        <w:tblW w:w="5305" w:type="dxa"/>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1440"/>
        <w:gridCol w:w="2335"/>
      </w:tblGrid>
      <w:tr w:rsidR="005C04D0" w:rsidRPr="00CC731E" w14:paraId="67BD178C" w14:textId="77777777" w:rsidTr="00A3430F">
        <w:trPr>
          <w:tblHeader/>
        </w:trPr>
        <w:tc>
          <w:tcPr>
            <w:tcW w:w="2970" w:type="dxa"/>
            <w:gridSpan w:val="2"/>
            <w:shd w:val="clear" w:color="auto" w:fill="BFBFBF"/>
            <w:vAlign w:val="center"/>
          </w:tcPr>
          <w:p w14:paraId="42289621" w14:textId="77777777" w:rsidR="005C04D0" w:rsidRPr="00CC731E" w:rsidRDefault="005C04D0" w:rsidP="00A3430F">
            <w:pPr>
              <w:pStyle w:val="List"/>
              <w:ind w:left="0" w:firstLine="0"/>
              <w:jc w:val="center"/>
              <w:rPr>
                <w:sz w:val="20"/>
              </w:rPr>
            </w:pPr>
            <w:r w:rsidRPr="00CC731E">
              <w:rPr>
                <w:sz w:val="20"/>
              </w:rPr>
              <w:t>If the issuing entity has</w:t>
            </w:r>
          </w:p>
        </w:tc>
        <w:tc>
          <w:tcPr>
            <w:tcW w:w="2335" w:type="dxa"/>
            <w:shd w:val="clear" w:color="auto" w:fill="BFBFBF"/>
            <w:vAlign w:val="center"/>
          </w:tcPr>
          <w:p w14:paraId="2A144C3A" w14:textId="77777777" w:rsidR="005C04D0" w:rsidRPr="00CC731E" w:rsidRDefault="005C04D0" w:rsidP="00A3430F">
            <w:pPr>
              <w:pStyle w:val="List"/>
              <w:ind w:left="0" w:firstLine="0"/>
              <w:jc w:val="center"/>
              <w:rPr>
                <w:sz w:val="20"/>
              </w:rPr>
            </w:pPr>
            <w:r w:rsidRPr="00CC731E">
              <w:rPr>
                <w:sz w:val="20"/>
              </w:rPr>
              <w:t>Then</w:t>
            </w:r>
          </w:p>
        </w:tc>
      </w:tr>
      <w:tr w:rsidR="005C04D0" w:rsidRPr="00CC731E" w14:paraId="7D33CC95" w14:textId="77777777" w:rsidTr="00A3430F">
        <w:trPr>
          <w:tblHeader/>
        </w:trPr>
        <w:tc>
          <w:tcPr>
            <w:tcW w:w="2970" w:type="dxa"/>
            <w:gridSpan w:val="2"/>
            <w:shd w:val="clear" w:color="auto" w:fill="BFBFBF"/>
            <w:vAlign w:val="center"/>
          </w:tcPr>
          <w:p w14:paraId="5C3D44D4" w14:textId="77777777" w:rsidR="005C04D0" w:rsidRPr="00CC731E" w:rsidRDefault="005C04D0" w:rsidP="00A3430F">
            <w:pPr>
              <w:pStyle w:val="List"/>
              <w:ind w:left="0" w:firstLine="0"/>
              <w:jc w:val="center"/>
              <w:rPr>
                <w:sz w:val="20"/>
              </w:rPr>
            </w:pPr>
            <w:r w:rsidRPr="00CC731E">
              <w:rPr>
                <w:sz w:val="20"/>
              </w:rPr>
              <w:t>Long-Term or Issuer Rating</w:t>
            </w:r>
          </w:p>
        </w:tc>
        <w:tc>
          <w:tcPr>
            <w:tcW w:w="2335" w:type="dxa"/>
            <w:vMerge w:val="restart"/>
            <w:shd w:val="clear" w:color="auto" w:fill="BFBFBF"/>
            <w:vAlign w:val="center"/>
          </w:tcPr>
          <w:p w14:paraId="3586533B" w14:textId="77777777" w:rsidR="005C04D0" w:rsidRPr="00CC731E" w:rsidRDefault="005C04D0" w:rsidP="00A3430F">
            <w:pPr>
              <w:pStyle w:val="List"/>
              <w:ind w:left="0" w:firstLine="0"/>
              <w:jc w:val="center"/>
              <w:rPr>
                <w:sz w:val="20"/>
              </w:rPr>
            </w:pPr>
            <w:r w:rsidRPr="00CC731E">
              <w:rPr>
                <w:sz w:val="20"/>
              </w:rPr>
              <w:t xml:space="preserve">Maximum </w:t>
            </w:r>
            <w:r>
              <w:rPr>
                <w:sz w:val="20"/>
              </w:rPr>
              <w:t>letter of credit</w:t>
            </w:r>
            <w:r w:rsidRPr="00CC731E">
              <w:rPr>
                <w:sz w:val="20"/>
              </w:rPr>
              <w:t xml:space="preserve"> issuer limit as a percentage of Tangible Net Worth of issuer</w:t>
            </w:r>
          </w:p>
        </w:tc>
      </w:tr>
      <w:tr w:rsidR="005C04D0" w:rsidRPr="00CC731E" w14:paraId="41F5A037" w14:textId="77777777" w:rsidTr="00A3430F">
        <w:tc>
          <w:tcPr>
            <w:tcW w:w="1530" w:type="dxa"/>
            <w:shd w:val="clear" w:color="auto" w:fill="BFBFBF"/>
            <w:vAlign w:val="center"/>
          </w:tcPr>
          <w:p w14:paraId="473C5B47" w14:textId="77777777" w:rsidR="005C04D0" w:rsidRPr="00CC731E" w:rsidRDefault="005C04D0" w:rsidP="00A3430F">
            <w:pPr>
              <w:pStyle w:val="List"/>
              <w:ind w:left="0" w:firstLine="0"/>
              <w:jc w:val="center"/>
              <w:rPr>
                <w:sz w:val="20"/>
              </w:rPr>
            </w:pPr>
            <w:r w:rsidRPr="00CC731E">
              <w:rPr>
                <w:sz w:val="20"/>
              </w:rPr>
              <w:t>S&amp;P or Fitch</w:t>
            </w:r>
          </w:p>
        </w:tc>
        <w:tc>
          <w:tcPr>
            <w:tcW w:w="1440" w:type="dxa"/>
            <w:shd w:val="clear" w:color="auto" w:fill="BFBFBF"/>
            <w:vAlign w:val="center"/>
          </w:tcPr>
          <w:p w14:paraId="7186830A" w14:textId="77777777" w:rsidR="005C04D0" w:rsidRPr="00CC731E" w:rsidRDefault="005C04D0" w:rsidP="00A3430F">
            <w:pPr>
              <w:pStyle w:val="List"/>
              <w:ind w:left="0" w:firstLine="0"/>
              <w:jc w:val="center"/>
              <w:rPr>
                <w:sz w:val="20"/>
              </w:rPr>
            </w:pPr>
            <w:r w:rsidRPr="00CC731E">
              <w:rPr>
                <w:sz w:val="20"/>
              </w:rPr>
              <w:t>Moody’s</w:t>
            </w:r>
          </w:p>
        </w:tc>
        <w:tc>
          <w:tcPr>
            <w:tcW w:w="2335" w:type="dxa"/>
            <w:vMerge/>
            <w:shd w:val="clear" w:color="auto" w:fill="auto"/>
            <w:vAlign w:val="center"/>
          </w:tcPr>
          <w:p w14:paraId="505E0514" w14:textId="77777777" w:rsidR="005C04D0" w:rsidRPr="00CC731E" w:rsidRDefault="005C04D0" w:rsidP="00A3430F">
            <w:pPr>
              <w:pStyle w:val="List"/>
              <w:ind w:left="0" w:firstLine="0"/>
              <w:jc w:val="center"/>
              <w:rPr>
                <w:sz w:val="20"/>
              </w:rPr>
            </w:pPr>
          </w:p>
        </w:tc>
      </w:tr>
      <w:tr w:rsidR="005C04D0" w:rsidRPr="00CC731E" w14:paraId="3F45FF09" w14:textId="77777777" w:rsidTr="00A3430F">
        <w:tc>
          <w:tcPr>
            <w:tcW w:w="1530" w:type="dxa"/>
            <w:shd w:val="clear" w:color="auto" w:fill="auto"/>
            <w:vAlign w:val="center"/>
          </w:tcPr>
          <w:p w14:paraId="0710308E" w14:textId="77777777" w:rsidR="005C04D0" w:rsidRPr="00CC731E" w:rsidRDefault="005C04D0" w:rsidP="00A3430F">
            <w:pPr>
              <w:pStyle w:val="List"/>
              <w:ind w:left="0" w:firstLine="0"/>
              <w:jc w:val="center"/>
              <w:rPr>
                <w:sz w:val="20"/>
              </w:rPr>
            </w:pPr>
            <w:r w:rsidRPr="00CC731E">
              <w:rPr>
                <w:sz w:val="20"/>
              </w:rPr>
              <w:t>AAA</w:t>
            </w:r>
          </w:p>
        </w:tc>
        <w:tc>
          <w:tcPr>
            <w:tcW w:w="1440" w:type="dxa"/>
            <w:shd w:val="clear" w:color="auto" w:fill="auto"/>
            <w:vAlign w:val="center"/>
          </w:tcPr>
          <w:p w14:paraId="13237182" w14:textId="77777777" w:rsidR="005C04D0" w:rsidRPr="00CC731E" w:rsidRDefault="005C04D0" w:rsidP="00A3430F">
            <w:pPr>
              <w:pStyle w:val="List"/>
              <w:ind w:left="0" w:firstLine="0"/>
              <w:jc w:val="center"/>
              <w:rPr>
                <w:sz w:val="20"/>
              </w:rPr>
            </w:pPr>
            <w:proofErr w:type="spellStart"/>
            <w:r w:rsidRPr="00CC731E">
              <w:rPr>
                <w:sz w:val="20"/>
              </w:rPr>
              <w:t>Aaa</w:t>
            </w:r>
            <w:proofErr w:type="spellEnd"/>
          </w:p>
        </w:tc>
        <w:tc>
          <w:tcPr>
            <w:tcW w:w="2335" w:type="dxa"/>
            <w:shd w:val="clear" w:color="auto" w:fill="auto"/>
            <w:vAlign w:val="center"/>
          </w:tcPr>
          <w:p w14:paraId="51C64B5D" w14:textId="77777777" w:rsidR="005C04D0" w:rsidRPr="00CC731E" w:rsidRDefault="005C04D0" w:rsidP="00A3430F">
            <w:pPr>
              <w:pStyle w:val="List"/>
              <w:ind w:left="0" w:firstLine="0"/>
              <w:jc w:val="center"/>
              <w:rPr>
                <w:sz w:val="20"/>
              </w:rPr>
            </w:pPr>
            <w:r w:rsidRPr="00CC731E">
              <w:rPr>
                <w:sz w:val="20"/>
              </w:rPr>
              <w:t>1.00%</w:t>
            </w:r>
          </w:p>
        </w:tc>
      </w:tr>
      <w:tr w:rsidR="005C04D0" w:rsidRPr="00CC731E" w14:paraId="0990E9F7" w14:textId="77777777" w:rsidTr="00A3430F">
        <w:tc>
          <w:tcPr>
            <w:tcW w:w="1530" w:type="dxa"/>
            <w:shd w:val="clear" w:color="auto" w:fill="auto"/>
            <w:vAlign w:val="center"/>
          </w:tcPr>
          <w:p w14:paraId="7B55C459" w14:textId="77777777" w:rsidR="005C04D0" w:rsidRPr="00CC731E" w:rsidRDefault="005C04D0" w:rsidP="00A3430F">
            <w:pPr>
              <w:pStyle w:val="List"/>
              <w:ind w:left="0" w:firstLine="0"/>
              <w:jc w:val="center"/>
              <w:rPr>
                <w:sz w:val="20"/>
              </w:rPr>
            </w:pPr>
            <w:r w:rsidRPr="00CC731E">
              <w:rPr>
                <w:sz w:val="20"/>
              </w:rPr>
              <w:t>AA+</w:t>
            </w:r>
          </w:p>
        </w:tc>
        <w:tc>
          <w:tcPr>
            <w:tcW w:w="1440" w:type="dxa"/>
            <w:shd w:val="clear" w:color="auto" w:fill="auto"/>
            <w:vAlign w:val="center"/>
          </w:tcPr>
          <w:p w14:paraId="245A807F" w14:textId="77777777" w:rsidR="005C04D0" w:rsidRPr="00CC731E" w:rsidRDefault="005C04D0" w:rsidP="00A3430F">
            <w:pPr>
              <w:pStyle w:val="List"/>
              <w:ind w:left="0" w:firstLine="0"/>
              <w:jc w:val="center"/>
              <w:rPr>
                <w:sz w:val="20"/>
              </w:rPr>
            </w:pPr>
            <w:r w:rsidRPr="00CC731E">
              <w:rPr>
                <w:sz w:val="20"/>
              </w:rPr>
              <w:t>Aa1</w:t>
            </w:r>
          </w:p>
        </w:tc>
        <w:tc>
          <w:tcPr>
            <w:tcW w:w="2335" w:type="dxa"/>
            <w:shd w:val="clear" w:color="auto" w:fill="auto"/>
            <w:vAlign w:val="center"/>
          </w:tcPr>
          <w:p w14:paraId="3F004CD9" w14:textId="77777777" w:rsidR="005C04D0" w:rsidRPr="00CC731E" w:rsidRDefault="005C04D0" w:rsidP="00A3430F">
            <w:pPr>
              <w:pStyle w:val="List"/>
              <w:ind w:left="0" w:firstLine="0"/>
              <w:jc w:val="center"/>
              <w:rPr>
                <w:sz w:val="20"/>
              </w:rPr>
            </w:pPr>
            <w:r w:rsidRPr="00CC731E">
              <w:rPr>
                <w:sz w:val="20"/>
              </w:rPr>
              <w:t>0.95%</w:t>
            </w:r>
          </w:p>
        </w:tc>
      </w:tr>
      <w:tr w:rsidR="005C04D0" w:rsidRPr="00CC731E" w14:paraId="49F08DD5" w14:textId="77777777" w:rsidTr="00A3430F">
        <w:tc>
          <w:tcPr>
            <w:tcW w:w="1530" w:type="dxa"/>
            <w:shd w:val="clear" w:color="auto" w:fill="auto"/>
            <w:vAlign w:val="center"/>
          </w:tcPr>
          <w:p w14:paraId="176C6700" w14:textId="77777777" w:rsidR="005C04D0" w:rsidRPr="00CC731E" w:rsidRDefault="005C04D0" w:rsidP="00A3430F">
            <w:pPr>
              <w:pStyle w:val="List"/>
              <w:ind w:left="0" w:firstLine="0"/>
              <w:jc w:val="center"/>
              <w:rPr>
                <w:sz w:val="20"/>
              </w:rPr>
            </w:pPr>
            <w:r w:rsidRPr="00CC731E">
              <w:rPr>
                <w:sz w:val="20"/>
              </w:rPr>
              <w:t>AA</w:t>
            </w:r>
          </w:p>
        </w:tc>
        <w:tc>
          <w:tcPr>
            <w:tcW w:w="1440" w:type="dxa"/>
            <w:shd w:val="clear" w:color="auto" w:fill="auto"/>
            <w:vAlign w:val="center"/>
          </w:tcPr>
          <w:p w14:paraId="34B81C4E" w14:textId="77777777" w:rsidR="005C04D0" w:rsidRPr="00CC731E" w:rsidRDefault="005C04D0" w:rsidP="00A3430F">
            <w:pPr>
              <w:pStyle w:val="List"/>
              <w:ind w:left="0" w:firstLine="0"/>
              <w:jc w:val="center"/>
              <w:rPr>
                <w:sz w:val="20"/>
              </w:rPr>
            </w:pPr>
            <w:r w:rsidRPr="00CC731E">
              <w:rPr>
                <w:sz w:val="20"/>
              </w:rPr>
              <w:t>Aa2</w:t>
            </w:r>
          </w:p>
        </w:tc>
        <w:tc>
          <w:tcPr>
            <w:tcW w:w="2335" w:type="dxa"/>
            <w:shd w:val="clear" w:color="auto" w:fill="auto"/>
            <w:vAlign w:val="center"/>
          </w:tcPr>
          <w:p w14:paraId="1622A3BF" w14:textId="77777777" w:rsidR="005C04D0" w:rsidRPr="00CC731E" w:rsidRDefault="005C04D0" w:rsidP="00A3430F">
            <w:pPr>
              <w:pStyle w:val="List"/>
              <w:ind w:left="0" w:firstLine="0"/>
              <w:jc w:val="center"/>
              <w:rPr>
                <w:sz w:val="20"/>
              </w:rPr>
            </w:pPr>
            <w:r w:rsidRPr="00CC731E">
              <w:rPr>
                <w:sz w:val="20"/>
              </w:rPr>
              <w:t>0.90%</w:t>
            </w:r>
          </w:p>
        </w:tc>
      </w:tr>
      <w:tr w:rsidR="005C04D0" w:rsidRPr="00CC731E" w14:paraId="06995DC2" w14:textId="77777777" w:rsidTr="00A3430F">
        <w:tc>
          <w:tcPr>
            <w:tcW w:w="1530" w:type="dxa"/>
            <w:shd w:val="clear" w:color="auto" w:fill="auto"/>
            <w:vAlign w:val="center"/>
          </w:tcPr>
          <w:p w14:paraId="2C7E0E1B" w14:textId="77777777" w:rsidR="005C04D0" w:rsidRPr="00CC731E" w:rsidRDefault="005C04D0" w:rsidP="00A3430F">
            <w:pPr>
              <w:pStyle w:val="List"/>
              <w:ind w:left="0" w:firstLine="0"/>
              <w:jc w:val="center"/>
              <w:rPr>
                <w:sz w:val="20"/>
              </w:rPr>
            </w:pPr>
            <w:r w:rsidRPr="00CC731E">
              <w:rPr>
                <w:sz w:val="20"/>
              </w:rPr>
              <w:t>AA-</w:t>
            </w:r>
          </w:p>
        </w:tc>
        <w:tc>
          <w:tcPr>
            <w:tcW w:w="1440" w:type="dxa"/>
            <w:shd w:val="clear" w:color="auto" w:fill="auto"/>
            <w:vAlign w:val="center"/>
          </w:tcPr>
          <w:p w14:paraId="7AEFE098" w14:textId="77777777" w:rsidR="005C04D0" w:rsidRPr="00CC731E" w:rsidRDefault="005C04D0" w:rsidP="00A3430F">
            <w:pPr>
              <w:pStyle w:val="List"/>
              <w:ind w:left="0" w:firstLine="0"/>
              <w:jc w:val="center"/>
              <w:rPr>
                <w:sz w:val="20"/>
              </w:rPr>
            </w:pPr>
            <w:r w:rsidRPr="00CC731E">
              <w:rPr>
                <w:sz w:val="20"/>
              </w:rPr>
              <w:t>Aa3</w:t>
            </w:r>
          </w:p>
        </w:tc>
        <w:tc>
          <w:tcPr>
            <w:tcW w:w="2335" w:type="dxa"/>
            <w:shd w:val="clear" w:color="auto" w:fill="auto"/>
            <w:vAlign w:val="center"/>
          </w:tcPr>
          <w:p w14:paraId="5F882FA9" w14:textId="77777777" w:rsidR="005C04D0" w:rsidRPr="00CC731E" w:rsidRDefault="005C04D0" w:rsidP="00A3430F">
            <w:pPr>
              <w:pStyle w:val="List"/>
              <w:ind w:left="0" w:firstLine="0"/>
              <w:jc w:val="center"/>
              <w:rPr>
                <w:sz w:val="20"/>
              </w:rPr>
            </w:pPr>
            <w:r w:rsidRPr="00CC731E">
              <w:rPr>
                <w:sz w:val="20"/>
              </w:rPr>
              <w:t>0.85%</w:t>
            </w:r>
          </w:p>
        </w:tc>
      </w:tr>
      <w:tr w:rsidR="005C04D0" w:rsidRPr="00CC731E" w14:paraId="25555B38" w14:textId="77777777" w:rsidTr="00A3430F">
        <w:tc>
          <w:tcPr>
            <w:tcW w:w="1530" w:type="dxa"/>
            <w:shd w:val="clear" w:color="auto" w:fill="auto"/>
            <w:vAlign w:val="center"/>
          </w:tcPr>
          <w:p w14:paraId="44AE9C84" w14:textId="77777777" w:rsidR="005C04D0" w:rsidRPr="00CC731E" w:rsidRDefault="005C04D0" w:rsidP="00A3430F">
            <w:pPr>
              <w:pStyle w:val="List"/>
              <w:ind w:left="0" w:firstLine="0"/>
              <w:jc w:val="center"/>
              <w:rPr>
                <w:sz w:val="20"/>
              </w:rPr>
            </w:pPr>
            <w:r w:rsidRPr="00CC731E">
              <w:rPr>
                <w:sz w:val="20"/>
              </w:rPr>
              <w:t>A+</w:t>
            </w:r>
          </w:p>
        </w:tc>
        <w:tc>
          <w:tcPr>
            <w:tcW w:w="1440" w:type="dxa"/>
            <w:shd w:val="clear" w:color="auto" w:fill="auto"/>
            <w:vAlign w:val="center"/>
          </w:tcPr>
          <w:p w14:paraId="79B740E7" w14:textId="77777777" w:rsidR="005C04D0" w:rsidRPr="00CC731E" w:rsidRDefault="005C04D0" w:rsidP="00A3430F">
            <w:pPr>
              <w:pStyle w:val="List"/>
              <w:ind w:left="0" w:firstLine="0"/>
              <w:jc w:val="center"/>
              <w:rPr>
                <w:sz w:val="20"/>
              </w:rPr>
            </w:pPr>
            <w:r w:rsidRPr="00CC731E">
              <w:rPr>
                <w:sz w:val="20"/>
              </w:rPr>
              <w:t>A1</w:t>
            </w:r>
          </w:p>
        </w:tc>
        <w:tc>
          <w:tcPr>
            <w:tcW w:w="2335" w:type="dxa"/>
            <w:shd w:val="clear" w:color="auto" w:fill="auto"/>
            <w:vAlign w:val="center"/>
          </w:tcPr>
          <w:p w14:paraId="0641CCAA" w14:textId="77777777" w:rsidR="005C04D0" w:rsidRPr="00CC731E" w:rsidRDefault="005C04D0" w:rsidP="00A3430F">
            <w:pPr>
              <w:pStyle w:val="List"/>
              <w:ind w:left="0" w:firstLine="0"/>
              <w:jc w:val="center"/>
              <w:rPr>
                <w:sz w:val="20"/>
              </w:rPr>
            </w:pPr>
            <w:r w:rsidRPr="00CC731E">
              <w:rPr>
                <w:sz w:val="20"/>
              </w:rPr>
              <w:t>0.80%</w:t>
            </w:r>
          </w:p>
        </w:tc>
      </w:tr>
      <w:tr w:rsidR="005C04D0" w:rsidRPr="00CC731E" w14:paraId="07B6253F" w14:textId="77777777" w:rsidTr="00A3430F">
        <w:tc>
          <w:tcPr>
            <w:tcW w:w="1530" w:type="dxa"/>
            <w:shd w:val="clear" w:color="auto" w:fill="auto"/>
            <w:vAlign w:val="center"/>
          </w:tcPr>
          <w:p w14:paraId="5699356E" w14:textId="77777777" w:rsidR="005C04D0" w:rsidRPr="00CC731E" w:rsidRDefault="005C04D0" w:rsidP="00A3430F">
            <w:pPr>
              <w:pStyle w:val="List"/>
              <w:ind w:left="0" w:firstLine="0"/>
              <w:jc w:val="center"/>
              <w:rPr>
                <w:sz w:val="20"/>
              </w:rPr>
            </w:pPr>
            <w:r w:rsidRPr="00CC731E">
              <w:rPr>
                <w:sz w:val="20"/>
              </w:rPr>
              <w:t>A</w:t>
            </w:r>
          </w:p>
        </w:tc>
        <w:tc>
          <w:tcPr>
            <w:tcW w:w="1440" w:type="dxa"/>
            <w:shd w:val="clear" w:color="auto" w:fill="auto"/>
            <w:vAlign w:val="center"/>
          </w:tcPr>
          <w:p w14:paraId="4EA39EBE" w14:textId="77777777" w:rsidR="005C04D0" w:rsidRPr="00CC731E" w:rsidRDefault="005C04D0" w:rsidP="00A3430F">
            <w:pPr>
              <w:pStyle w:val="List"/>
              <w:ind w:left="0" w:firstLine="0"/>
              <w:jc w:val="center"/>
              <w:rPr>
                <w:sz w:val="20"/>
              </w:rPr>
            </w:pPr>
            <w:r w:rsidRPr="00CC731E">
              <w:rPr>
                <w:sz w:val="20"/>
              </w:rPr>
              <w:t>A2</w:t>
            </w:r>
          </w:p>
        </w:tc>
        <w:tc>
          <w:tcPr>
            <w:tcW w:w="2335" w:type="dxa"/>
            <w:shd w:val="clear" w:color="auto" w:fill="auto"/>
            <w:vAlign w:val="center"/>
          </w:tcPr>
          <w:p w14:paraId="760DBA6F" w14:textId="77777777" w:rsidR="005C04D0" w:rsidRPr="00CC731E" w:rsidRDefault="005C04D0" w:rsidP="00A3430F">
            <w:pPr>
              <w:pStyle w:val="List"/>
              <w:ind w:left="0" w:firstLine="0"/>
              <w:jc w:val="center"/>
              <w:rPr>
                <w:sz w:val="20"/>
              </w:rPr>
            </w:pPr>
            <w:r w:rsidRPr="00CC731E">
              <w:rPr>
                <w:sz w:val="20"/>
              </w:rPr>
              <w:t>0.75%</w:t>
            </w:r>
          </w:p>
        </w:tc>
      </w:tr>
      <w:tr w:rsidR="005C04D0" w:rsidRPr="00CC731E" w14:paraId="72BDF294" w14:textId="77777777" w:rsidTr="00A3430F">
        <w:tc>
          <w:tcPr>
            <w:tcW w:w="1530" w:type="dxa"/>
            <w:shd w:val="clear" w:color="auto" w:fill="auto"/>
            <w:vAlign w:val="center"/>
          </w:tcPr>
          <w:p w14:paraId="71BF8B2B" w14:textId="77777777" w:rsidR="005C04D0" w:rsidRPr="00CC731E" w:rsidRDefault="005C04D0" w:rsidP="00A3430F">
            <w:pPr>
              <w:pStyle w:val="List"/>
              <w:ind w:left="0" w:firstLine="0"/>
              <w:jc w:val="center"/>
              <w:rPr>
                <w:sz w:val="20"/>
              </w:rPr>
            </w:pPr>
            <w:r w:rsidRPr="00CC731E">
              <w:rPr>
                <w:sz w:val="20"/>
              </w:rPr>
              <w:t>A-</w:t>
            </w:r>
          </w:p>
        </w:tc>
        <w:tc>
          <w:tcPr>
            <w:tcW w:w="1440" w:type="dxa"/>
            <w:shd w:val="clear" w:color="auto" w:fill="auto"/>
            <w:vAlign w:val="center"/>
          </w:tcPr>
          <w:p w14:paraId="5C4AF40B" w14:textId="77777777" w:rsidR="005C04D0" w:rsidRPr="00CC731E" w:rsidRDefault="005C04D0" w:rsidP="00A3430F">
            <w:pPr>
              <w:pStyle w:val="List"/>
              <w:ind w:left="0" w:firstLine="0"/>
              <w:jc w:val="center"/>
              <w:rPr>
                <w:sz w:val="20"/>
              </w:rPr>
            </w:pPr>
            <w:r w:rsidRPr="00CC731E">
              <w:rPr>
                <w:sz w:val="20"/>
              </w:rPr>
              <w:t>A3</w:t>
            </w:r>
          </w:p>
        </w:tc>
        <w:tc>
          <w:tcPr>
            <w:tcW w:w="2335" w:type="dxa"/>
            <w:shd w:val="clear" w:color="auto" w:fill="auto"/>
            <w:vAlign w:val="center"/>
          </w:tcPr>
          <w:p w14:paraId="42813AEA" w14:textId="77777777" w:rsidR="005C04D0" w:rsidRPr="00CC731E" w:rsidRDefault="005C04D0" w:rsidP="00A3430F">
            <w:pPr>
              <w:pStyle w:val="List"/>
              <w:ind w:left="0" w:firstLine="0"/>
              <w:jc w:val="center"/>
              <w:rPr>
                <w:sz w:val="20"/>
              </w:rPr>
            </w:pPr>
            <w:r w:rsidRPr="00CC731E">
              <w:rPr>
                <w:sz w:val="20"/>
              </w:rPr>
              <w:t>0.70%</w:t>
            </w:r>
          </w:p>
        </w:tc>
      </w:tr>
      <w:tr w:rsidR="005C04D0" w:rsidRPr="00CC731E" w14:paraId="00011312" w14:textId="77777777" w:rsidTr="00A3430F">
        <w:tc>
          <w:tcPr>
            <w:tcW w:w="1530" w:type="dxa"/>
            <w:shd w:val="clear" w:color="auto" w:fill="auto"/>
            <w:vAlign w:val="center"/>
          </w:tcPr>
          <w:p w14:paraId="7C101438" w14:textId="77777777" w:rsidR="005C04D0" w:rsidRPr="00CC731E" w:rsidRDefault="005C04D0" w:rsidP="00A3430F">
            <w:pPr>
              <w:pStyle w:val="List"/>
              <w:ind w:left="0" w:firstLine="0"/>
              <w:jc w:val="center"/>
              <w:rPr>
                <w:sz w:val="20"/>
              </w:rPr>
            </w:pPr>
            <w:r w:rsidRPr="00CC731E">
              <w:rPr>
                <w:sz w:val="20"/>
              </w:rPr>
              <w:t>Below A-</w:t>
            </w:r>
          </w:p>
        </w:tc>
        <w:tc>
          <w:tcPr>
            <w:tcW w:w="1440" w:type="dxa"/>
            <w:shd w:val="clear" w:color="auto" w:fill="auto"/>
            <w:vAlign w:val="center"/>
          </w:tcPr>
          <w:p w14:paraId="0FE49D4F" w14:textId="77777777" w:rsidR="005C04D0" w:rsidRPr="00CC731E" w:rsidRDefault="005C04D0" w:rsidP="00A3430F">
            <w:pPr>
              <w:pStyle w:val="List"/>
              <w:ind w:left="0" w:firstLine="0"/>
              <w:jc w:val="center"/>
              <w:rPr>
                <w:sz w:val="20"/>
              </w:rPr>
            </w:pPr>
            <w:r w:rsidRPr="00CC731E">
              <w:rPr>
                <w:sz w:val="20"/>
              </w:rPr>
              <w:t>Below A3</w:t>
            </w:r>
          </w:p>
        </w:tc>
        <w:tc>
          <w:tcPr>
            <w:tcW w:w="2335" w:type="dxa"/>
            <w:shd w:val="clear" w:color="auto" w:fill="auto"/>
            <w:vAlign w:val="center"/>
          </w:tcPr>
          <w:p w14:paraId="5073A801" w14:textId="77777777" w:rsidR="005C04D0" w:rsidRPr="00CC731E" w:rsidRDefault="005C04D0" w:rsidP="00A3430F">
            <w:pPr>
              <w:pStyle w:val="List"/>
              <w:ind w:left="0" w:firstLine="0"/>
              <w:jc w:val="center"/>
              <w:rPr>
                <w:sz w:val="20"/>
              </w:rPr>
            </w:pPr>
            <w:r w:rsidRPr="00CC731E">
              <w:rPr>
                <w:sz w:val="20"/>
              </w:rPr>
              <w:t>Not accepted</w:t>
            </w:r>
          </w:p>
        </w:tc>
      </w:tr>
    </w:tbl>
    <w:p w14:paraId="444551CF" w14:textId="77777777" w:rsidR="005C04D0" w:rsidRPr="00CC731E" w:rsidRDefault="005C04D0" w:rsidP="005C04D0">
      <w:pPr>
        <w:pStyle w:val="List"/>
        <w:spacing w:before="240"/>
        <w:ind w:left="2880"/>
      </w:pPr>
      <w:r w:rsidRPr="00CC731E">
        <w:lastRenderedPageBreak/>
        <w:t>(A)</w:t>
      </w:r>
      <w:r w:rsidRPr="00CC731E">
        <w:tab/>
        <w:t xml:space="preserve">Each </w:t>
      </w:r>
      <w:r>
        <w:t>letter of credit</w:t>
      </w:r>
      <w:r w:rsidRPr="00CC731E">
        <w:t xml:space="preserve"> issuer limit is also subject to an overall limit of $750 million per issuer.</w:t>
      </w:r>
    </w:p>
    <w:p w14:paraId="32605BDA" w14:textId="77777777" w:rsidR="005C04D0" w:rsidRPr="00CC731E" w:rsidRDefault="005C04D0" w:rsidP="005C04D0">
      <w:pPr>
        <w:pStyle w:val="List"/>
        <w:ind w:left="2880"/>
      </w:pPr>
      <w:r w:rsidRPr="00CC731E">
        <w:t>(</w:t>
      </w:r>
      <w:r>
        <w:t>B</w:t>
      </w:r>
      <w:r w:rsidRPr="00CC731E">
        <w:t>)</w:t>
      </w:r>
      <w:r w:rsidRPr="00CC731E">
        <w:tab/>
        <w:t xml:space="preserve">Each Bank Business Day, ERCOT will issue a report of each </w:t>
      </w:r>
      <w:r>
        <w:t>letter of credit</w:t>
      </w:r>
      <w:r w:rsidRPr="00CC731E">
        <w:t xml:space="preserve"> issuer detailing the issuer’s dollar amount of the </w:t>
      </w:r>
      <w:r>
        <w:t>letters of credit</w:t>
      </w:r>
      <w:r w:rsidRPr="00CC731E">
        <w:t xml:space="preserve"> currently issued to ERCOT, the issuer’s computed aggregate concentration limit, and the unused capacity under that limit.  Market Participants may inquire of ERCOT about intra-day changes to the amount of posted </w:t>
      </w:r>
      <w:r>
        <w:t>letters of credit</w:t>
      </w:r>
      <w:r w:rsidRPr="00CC731E">
        <w:t>.</w:t>
      </w:r>
    </w:p>
    <w:p w14:paraId="35B07FE1" w14:textId="77777777" w:rsidR="005C04D0" w:rsidRPr="00CC731E" w:rsidRDefault="005C04D0" w:rsidP="005C04D0">
      <w:pPr>
        <w:pStyle w:val="List"/>
        <w:ind w:left="2880"/>
      </w:pPr>
      <w:r w:rsidRPr="00CC731E">
        <w:t>(</w:t>
      </w:r>
      <w:r>
        <w:t>C</w:t>
      </w:r>
      <w:r w:rsidRPr="00CC731E">
        <w:t>)</w:t>
      </w:r>
      <w:r w:rsidRPr="00CC731E">
        <w:tab/>
        <w:t xml:space="preserve">If a letter of credit issuer limit is breached, Counter-Parties utilizing that issuer will be notified and no new </w:t>
      </w:r>
      <w:r>
        <w:t>letters of credit</w:t>
      </w:r>
      <w:r w:rsidRPr="00CC731E">
        <w:t xml:space="preserve"> from the issuer will be accepted while the limit remains breached.</w:t>
      </w:r>
    </w:p>
    <w:p w14:paraId="4F26B1BB" w14:textId="77777777" w:rsidR="005C04D0" w:rsidRPr="00CC731E" w:rsidRDefault="005C04D0" w:rsidP="005C04D0">
      <w:pPr>
        <w:pStyle w:val="List"/>
        <w:ind w:left="2880"/>
      </w:pPr>
      <w:r w:rsidRPr="00CC731E">
        <w:t>(</w:t>
      </w:r>
      <w:r>
        <w:t>D</w:t>
      </w:r>
      <w:r w:rsidRPr="00CC731E">
        <w:t>)</w:t>
      </w:r>
      <w:r w:rsidRPr="00CC731E">
        <w:tab/>
        <w:t xml:space="preserve">After four months of the limit in breach, ERCOT will no longer accept new </w:t>
      </w:r>
      <w:r>
        <w:t>letters of credit</w:t>
      </w:r>
      <w:r w:rsidRPr="00CC731E">
        <w:t xml:space="preserve"> or amendments to existing </w:t>
      </w:r>
      <w:r>
        <w:t>letters of credit</w:t>
      </w:r>
      <w:r w:rsidRPr="00CC731E">
        <w:t xml:space="preserve"> from that issuer.</w:t>
      </w:r>
    </w:p>
    <w:p w14:paraId="1A7D285B" w14:textId="77777777" w:rsidR="005C04D0" w:rsidRPr="00CC731E" w:rsidRDefault="005C04D0" w:rsidP="005C04D0">
      <w:pPr>
        <w:pStyle w:val="List"/>
        <w:ind w:left="2880"/>
      </w:pPr>
      <w:r w:rsidRPr="00CC731E">
        <w:t>(</w:t>
      </w:r>
      <w:r>
        <w:t>E</w:t>
      </w:r>
      <w:r w:rsidRPr="00CC731E">
        <w:t>)</w:t>
      </w:r>
      <w:r w:rsidRPr="00CC731E">
        <w:tab/>
      </w:r>
      <w:r>
        <w:t>Letters of credit</w:t>
      </w:r>
      <w:r w:rsidRPr="00CC731E">
        <w:t xml:space="preserve"> held as collateral at the time of an issuer limit breach will not be rejected.</w:t>
      </w:r>
    </w:p>
    <w:p w14:paraId="4E81E13B" w14:textId="77777777" w:rsidR="005C04D0" w:rsidRDefault="005C04D0" w:rsidP="005C04D0">
      <w:pPr>
        <w:pStyle w:val="List"/>
        <w:ind w:left="2880"/>
      </w:pPr>
      <w:r w:rsidRPr="00CC731E">
        <w:t>(</w:t>
      </w:r>
      <w:r>
        <w:t>F</w:t>
      </w:r>
      <w:r w:rsidRPr="00CC731E">
        <w:t>)</w:t>
      </w:r>
      <w:r w:rsidRPr="00CC731E">
        <w:tab/>
        <w:t xml:space="preserve">ERCOT in its sole discretion may authorize exceptions to these limits. </w:t>
      </w:r>
      <w:r>
        <w:t xml:space="preserve"> </w:t>
      </w:r>
    </w:p>
    <w:p w14:paraId="67AA7AC9" w14:textId="77777777" w:rsidR="005C04D0" w:rsidRPr="00CC731E" w:rsidRDefault="005C04D0" w:rsidP="005C04D0">
      <w:pPr>
        <w:pStyle w:val="List"/>
        <w:ind w:left="2880"/>
      </w:pPr>
      <w:r>
        <w:t>(G)</w:t>
      </w:r>
      <w:r>
        <w:tab/>
      </w:r>
      <w:r w:rsidRPr="00CC731E">
        <w:t xml:space="preserve">Revisions to the issuer limit calculation in this Section will be recommended by </w:t>
      </w:r>
      <w:r>
        <w:t>the Technical Advisory Committee (</w:t>
      </w:r>
      <w:r w:rsidRPr="00CC731E">
        <w:t>TAC</w:t>
      </w:r>
      <w:r>
        <w:t>)</w:t>
      </w:r>
      <w:r w:rsidRPr="00CC731E">
        <w:t xml:space="preserve"> and approved by the ERCOT Board.  ERCOT shall update parameter values on the first day of the month following ERCOT Board approval unless otherwise directed by the ERCOT Board.  ERCOT shall provide a Market Notice prior to implementation of a revised parameter value.</w:t>
      </w:r>
    </w:p>
    <w:p w14:paraId="12354F82" w14:textId="77777777" w:rsidR="005C04D0" w:rsidRPr="00CC731E" w:rsidRDefault="005C04D0" w:rsidP="005C04D0">
      <w:pPr>
        <w:pStyle w:val="List"/>
      </w:pPr>
      <w:r w:rsidRPr="00CC731E">
        <w:t>(</w:t>
      </w:r>
      <w:r>
        <w:t>b</w:t>
      </w:r>
      <w:r w:rsidRPr="00CC731E">
        <w:t>)</w:t>
      </w:r>
      <w:r w:rsidRPr="00CC731E">
        <w:tab/>
        <w:t xml:space="preserve">The Counter-Party may give a surety bond naming ERCOT as the beneficiary.  </w:t>
      </w:r>
    </w:p>
    <w:p w14:paraId="2237E394" w14:textId="77777777" w:rsidR="005C04D0" w:rsidRPr="00CC731E" w:rsidRDefault="005C04D0" w:rsidP="005C04D0">
      <w:pPr>
        <w:pStyle w:val="List"/>
        <w:ind w:left="2160"/>
      </w:pPr>
      <w:r w:rsidRPr="00CC731E">
        <w:t>(i)</w:t>
      </w:r>
      <w:r w:rsidRPr="00CC731E">
        <w:tab/>
        <w:t>The surety bond must be signed by a surety acceptable to ERCOT, in its sole discretion and must be in the form of ERCOT’s standard surety bond form approved by the ERCOT Board.  No modifications to the form are permitted.</w:t>
      </w:r>
    </w:p>
    <w:p w14:paraId="552264D4" w14:textId="77777777" w:rsidR="005C04D0" w:rsidRPr="00CC731E" w:rsidRDefault="005C04D0" w:rsidP="005C04D0">
      <w:pPr>
        <w:pStyle w:val="List"/>
        <w:ind w:left="2160"/>
      </w:pPr>
      <w:r w:rsidRPr="00CC731E">
        <w:t>(ii)</w:t>
      </w:r>
      <w:r w:rsidRPr="00CC731E">
        <w:tab/>
        <w:t>The surety bond must be issued by an insurance company with a minimum rating of A- with S&amp;P or Fitch or A3 with Moody’s.</w:t>
      </w:r>
    </w:p>
    <w:p w14:paraId="2382FE78" w14:textId="77777777" w:rsidR="005C04D0" w:rsidRPr="00CC731E" w:rsidRDefault="005C04D0" w:rsidP="005C04D0">
      <w:pPr>
        <w:pStyle w:val="List"/>
        <w:ind w:left="2160"/>
      </w:pPr>
      <w:r w:rsidRPr="00CC731E">
        <w:t>(iii)</w:t>
      </w:r>
      <w:r w:rsidRPr="00CC731E">
        <w:tab/>
        <w:t>Surety bonds are subject to a limit of $10 million per Counter-Party per insurer and an overall limit of $100 million per insurer for all ERCOT Counter-Parties.</w:t>
      </w:r>
    </w:p>
    <w:p w14:paraId="7369192F" w14:textId="281382C9" w:rsidR="005C04D0" w:rsidRDefault="005C04D0" w:rsidP="005C04D0">
      <w:pPr>
        <w:spacing w:after="240"/>
        <w:ind w:left="1440" w:hanging="720"/>
      </w:pPr>
      <w:r w:rsidRPr="00AF4A46">
        <w:t>(</w:t>
      </w:r>
      <w:r>
        <w:t>c</w:t>
      </w:r>
      <w:r w:rsidRPr="00AF4A46">
        <w:t>)</w:t>
      </w:r>
      <w:r w:rsidRPr="00AF4A46">
        <w:tab/>
        <w:t xml:space="preserve">The Counter-Party may deposit Cash Collateral with ERCOT with the understanding that ERCOT may draw part or all of the deposited cash to satisfy </w:t>
      </w:r>
      <w:r w:rsidRPr="00AF4A46">
        <w:lastRenderedPageBreak/>
        <w:t xml:space="preserve">any overdue payments owed by the Counter-Party to ERCOT.  The Cash Collateral </w:t>
      </w:r>
      <w:r w:rsidR="001D1905">
        <w:t>shall</w:t>
      </w:r>
      <w:r w:rsidR="001D1905" w:rsidRPr="001D1905">
        <w:t xml:space="preserve"> </w:t>
      </w:r>
      <w:r w:rsidR="001D1905" w:rsidRPr="002A0C70">
        <w:t>be invested pursuant to the ERCOT Investment Corporate Standard and all</w:t>
      </w:r>
      <w:r w:rsidRPr="00AF4A46">
        <w:t xml:space="preserve"> interest </w:t>
      </w:r>
      <w:r w:rsidR="001D1905" w:rsidRPr="002A0C70">
        <w:t xml:space="preserve">received on Cash Collateral will be </w:t>
      </w:r>
      <w:r w:rsidRPr="00AF4A46">
        <w:t>payable directly to the Counter-Party</w:t>
      </w:r>
      <w:r w:rsidR="001D1905">
        <w:t>;</w:t>
      </w:r>
      <w:r w:rsidR="001D1905" w:rsidRPr="001D1905">
        <w:t xml:space="preserve"> </w:t>
      </w:r>
      <w:r w:rsidR="001D1905" w:rsidRPr="002A0C70">
        <w:t>provided, however</w:t>
      </w:r>
      <w:r w:rsidRPr="00AF4A46">
        <w:t xml:space="preserve">, </w:t>
      </w:r>
      <w:r w:rsidR="001D1905">
        <w:t>that</w:t>
      </w:r>
      <w:r w:rsidRPr="00AF4A46">
        <w:t xml:space="preserve"> any such arrangements may not restrict ERCOT’s immediate access to the cash.  </w:t>
      </w:r>
    </w:p>
    <w:p w14:paraId="21F806E1" w14:textId="32A194DA" w:rsidR="005C04D0" w:rsidRDefault="005C04D0" w:rsidP="005C04D0">
      <w:pPr>
        <w:spacing w:after="240"/>
        <w:ind w:left="2160" w:hanging="720"/>
      </w:pPr>
      <w:r>
        <w:t>(i)</w:t>
      </w:r>
      <w:r>
        <w:tab/>
        <w:t xml:space="preserve">Interest on Cash Collateral will be calculated </w:t>
      </w:r>
      <w:r w:rsidR="001D1905" w:rsidRPr="002A0C70">
        <w:t xml:space="preserve">on a monthly basis, </w:t>
      </w:r>
      <w:r>
        <w:t xml:space="preserve">based on </w:t>
      </w:r>
      <w:r w:rsidR="001D1905" w:rsidRPr="002A0C70">
        <w:t>average daily balances of the</w:t>
      </w:r>
      <w:r w:rsidR="001D1905">
        <w:t xml:space="preserve"> </w:t>
      </w:r>
      <w:r>
        <w:t>Counter-Party Cash Collateral.  Interest is not paid on Cash Collateral balances held by ERCOT where, in accordance with paragraph (4) of Section 16.11.7, Release of Market Participant’s Financial Security Requirement, the Counter-Party’s Standard Form Market Participant Agreement has been terminated and ERCOT has determined that no obligations remain owing or will become due and payable.</w:t>
      </w:r>
    </w:p>
    <w:p w14:paraId="69B4203F" w14:textId="5F899C0E" w:rsidR="005C04D0" w:rsidRDefault="005C04D0" w:rsidP="00FE4B56">
      <w:pPr>
        <w:pStyle w:val="List"/>
        <w:ind w:left="2160"/>
      </w:pPr>
      <w:r>
        <w:t>(ii)</w:t>
      </w:r>
      <w:r>
        <w:tab/>
      </w:r>
      <w:r w:rsidR="001D1905" w:rsidRPr="002A0C70">
        <w:t>On or before the 15th Bank Business Day of each month</w:t>
      </w:r>
      <w:r w:rsidRPr="00AF4A46">
        <w:t>, ERCOT will</w:t>
      </w:r>
      <w:r w:rsidR="001D1905" w:rsidRPr="002A0C70" w:rsidDel="00B71774">
        <w:t xml:space="preserve"> </w:t>
      </w:r>
      <w:r w:rsidR="001D1905" w:rsidRPr="002A0C70">
        <w:t>credit each Counter-Party’s Cash Collateral account for the amount of interest calculated for Cash Collateral held by ERCOT for the prior month</w:t>
      </w:r>
      <w:r w:rsidR="001D1905">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1D1905" w14:paraId="45EA6EC1" w14:textId="77777777" w:rsidTr="00E36168">
        <w:tc>
          <w:tcPr>
            <w:tcW w:w="9332" w:type="dxa"/>
            <w:shd w:val="pct12" w:color="auto" w:fill="auto"/>
          </w:tcPr>
          <w:p w14:paraId="649CFFA0" w14:textId="0358F1F4" w:rsidR="001D1905" w:rsidRPr="0002450E" w:rsidRDefault="001D1905" w:rsidP="00E36168">
            <w:pPr>
              <w:pStyle w:val="Instructions"/>
              <w:spacing w:before="120"/>
              <w:rPr>
                <w:iCs/>
              </w:rPr>
            </w:pPr>
            <w:r>
              <w:rPr>
                <w:iCs/>
              </w:rPr>
              <w:t>[NPRR1184</w:t>
            </w:r>
            <w:r w:rsidRPr="0002450E">
              <w:rPr>
                <w:iCs/>
              </w:rPr>
              <w:t xml:space="preserve">:  </w:t>
            </w:r>
            <w:r>
              <w:rPr>
                <w:iCs/>
              </w:rPr>
              <w:t>Insert paragraph (iii) below</w:t>
            </w:r>
            <w:r w:rsidRPr="0002450E">
              <w:rPr>
                <w:iCs/>
              </w:rPr>
              <w:t xml:space="preserve"> upon system implementation</w:t>
            </w:r>
            <w:r>
              <w:rPr>
                <w:iCs/>
              </w:rPr>
              <w:t xml:space="preserve"> and renumber accordingly</w:t>
            </w:r>
            <w:r w:rsidRPr="0002450E">
              <w:rPr>
                <w:iCs/>
              </w:rPr>
              <w:t xml:space="preserve">:] </w:t>
            </w:r>
          </w:p>
          <w:p w14:paraId="37C61A44" w14:textId="0D22CB15" w:rsidR="001D1905" w:rsidRPr="002D6ABD" w:rsidRDefault="001D1905" w:rsidP="001D1905">
            <w:pPr>
              <w:spacing w:after="240"/>
              <w:ind w:left="2160" w:hanging="720"/>
            </w:pPr>
            <w:r>
              <w:t xml:space="preserve">(iii)      </w:t>
            </w:r>
            <w:r w:rsidRPr="002A0C70">
              <w:t>In addition, ERCOT will provide a report containing details on how the interest amount was calculated for that month, which shall include, at a minimum, the daily principal amount of the Cash Collateral held from the Counter-Party and the imputed yield.</w:t>
            </w:r>
          </w:p>
        </w:tc>
      </w:tr>
    </w:tbl>
    <w:p w14:paraId="147657AA" w14:textId="18B09C23" w:rsidR="002D6ABD" w:rsidRDefault="005C04D0" w:rsidP="00FE4B56">
      <w:pPr>
        <w:spacing w:before="240" w:after="240"/>
        <w:ind w:left="2160" w:hanging="720"/>
      </w:pPr>
      <w:r>
        <w:t>(iii)</w:t>
      </w:r>
      <w:r>
        <w:tab/>
      </w:r>
      <w:r w:rsidRPr="00AF4A46">
        <w:t>ERCOT has a</w:t>
      </w:r>
      <w:r w:rsidR="001D1905">
        <w:t xml:space="preserve"> first priority</w:t>
      </w:r>
      <w:r w:rsidRPr="00AF4A46">
        <w:t xml:space="preserve"> security interest in all property delivered by the Counter-Party to ERCOT from time to tim</w:t>
      </w:r>
      <w:r>
        <w:t xml:space="preserve">e to meet the creditworthiness </w:t>
      </w:r>
      <w:r w:rsidRPr="00AF4A46">
        <w:t>requirements, and that property secures all amounts owed by the Counter-Party to ERCOT.</w:t>
      </w:r>
    </w:p>
    <w:p w14:paraId="7FD6B095" w14:textId="77777777" w:rsidR="00FC1C5F" w:rsidRDefault="00727E32" w:rsidP="00FE4B56">
      <w:pPr>
        <w:pStyle w:val="H3"/>
      </w:pPr>
      <w:bookmarkStart w:id="463" w:name="_Toc390438965"/>
      <w:bookmarkStart w:id="464" w:name="_Toc405897662"/>
      <w:bookmarkStart w:id="465" w:name="_Toc415055766"/>
      <w:bookmarkStart w:id="466" w:name="_Toc415055892"/>
      <w:bookmarkStart w:id="467" w:name="_Toc415055991"/>
      <w:bookmarkStart w:id="468" w:name="_Toc415056092"/>
      <w:bookmarkStart w:id="469" w:name="_Toc148960870"/>
      <w:r>
        <w:t>16.11.4</w:t>
      </w:r>
      <w:r>
        <w:tab/>
        <w:t>Determination and Monitoring of Counter-Party Credit Exposure</w:t>
      </w:r>
      <w:bookmarkEnd w:id="463"/>
      <w:bookmarkEnd w:id="464"/>
      <w:bookmarkEnd w:id="465"/>
      <w:bookmarkEnd w:id="466"/>
      <w:bookmarkEnd w:id="467"/>
      <w:bookmarkEnd w:id="468"/>
      <w:bookmarkEnd w:id="469"/>
    </w:p>
    <w:p w14:paraId="6A413844" w14:textId="77777777" w:rsidR="00856F40" w:rsidRPr="0002450E" w:rsidRDefault="00856F40" w:rsidP="00856F40">
      <w:pPr>
        <w:pStyle w:val="H4"/>
        <w:spacing w:before="120"/>
        <w:ind w:left="1267" w:hanging="1267"/>
        <w:rPr>
          <w:b/>
          <w:bCs/>
        </w:rPr>
      </w:pPr>
      <w:bookmarkStart w:id="470" w:name="_Toc390438966"/>
      <w:bookmarkStart w:id="471" w:name="_Toc405897663"/>
      <w:bookmarkStart w:id="472" w:name="_Toc415055767"/>
      <w:bookmarkStart w:id="473" w:name="_Toc415055893"/>
      <w:bookmarkStart w:id="474" w:name="_Toc415055992"/>
      <w:bookmarkStart w:id="475" w:name="_Toc415056093"/>
      <w:bookmarkStart w:id="476" w:name="_Toc148960871"/>
      <w:r w:rsidRPr="0002450E">
        <w:rPr>
          <w:b/>
          <w:bCs/>
        </w:rPr>
        <w:t>16.11.4.1</w:t>
      </w:r>
      <w:r w:rsidRPr="0002450E">
        <w:rPr>
          <w:b/>
          <w:bCs/>
        </w:rPr>
        <w:tab/>
        <w:t>Determination of Total Potential Exposure for a Counter-Party</w:t>
      </w:r>
      <w:bookmarkEnd w:id="470"/>
      <w:bookmarkEnd w:id="471"/>
      <w:bookmarkEnd w:id="472"/>
      <w:bookmarkEnd w:id="473"/>
      <w:bookmarkEnd w:id="474"/>
      <w:bookmarkEnd w:id="475"/>
      <w:bookmarkEnd w:id="476"/>
    </w:p>
    <w:p w14:paraId="2812848F" w14:textId="77777777" w:rsidR="005C04D0" w:rsidRDefault="005C04D0" w:rsidP="005C04D0">
      <w:pPr>
        <w:pStyle w:val="BodyTextNumbered"/>
      </w:pPr>
      <w:r>
        <w:t>(1)</w:t>
      </w:r>
      <w:r>
        <w:tab/>
        <w:t>A Counter-Party’s TPE is the sum of its “Total Potential Exposure Any” (TPEA) and TPES:</w:t>
      </w:r>
    </w:p>
    <w:p w14:paraId="69743CAF" w14:textId="77777777" w:rsidR="005C04D0" w:rsidRDefault="005C04D0" w:rsidP="005C04D0">
      <w:pPr>
        <w:pStyle w:val="BodyTextNumbered"/>
        <w:ind w:left="1440"/>
      </w:pPr>
      <w:r>
        <w:t>(a)</w:t>
      </w:r>
      <w:r>
        <w:tab/>
        <w:t>TPEA is the positive net exposure of the Counter-Party not included in TPES.</w:t>
      </w:r>
    </w:p>
    <w:p w14:paraId="6A58A4CF" w14:textId="77777777" w:rsidR="005C04D0" w:rsidRDefault="005C04D0" w:rsidP="005C04D0">
      <w:pPr>
        <w:pStyle w:val="BodyTextNumbered"/>
        <w:ind w:left="1440"/>
      </w:pPr>
      <w:r>
        <w:t>(b)</w:t>
      </w:r>
      <w:r>
        <w:tab/>
        <w:t>TPES is the positive net exposure of the Counter-Party for Future Credit Exposure (FCE) and the Independent Amount (IA).</w:t>
      </w:r>
    </w:p>
    <w:p w14:paraId="2AAC7917" w14:textId="2DEB56A4" w:rsidR="002D0D49" w:rsidRDefault="002D0D49" w:rsidP="00FB1643">
      <w:pPr>
        <w:pStyle w:val="BodyTextNumbered"/>
      </w:pPr>
      <w:r>
        <w:t>(2)</w:t>
      </w:r>
      <w:r>
        <w:tab/>
        <w:t>For all Counter-Parties:</w:t>
      </w:r>
    </w:p>
    <w:p w14:paraId="35AE3E7F" w14:textId="77777777" w:rsidR="002D0D49" w:rsidRDefault="002D0D49" w:rsidP="002D0D49">
      <w:pPr>
        <w:pStyle w:val="BodyText"/>
        <w:tabs>
          <w:tab w:val="left" w:pos="1440"/>
        </w:tabs>
        <w:ind w:left="2160" w:hanging="1440"/>
      </w:pPr>
      <w:r w:rsidRPr="002C0418">
        <w:lastRenderedPageBreak/>
        <w:t xml:space="preserve">TPEA </w:t>
      </w:r>
      <w:r w:rsidRPr="002C0418">
        <w:tab/>
        <w:t xml:space="preserve">= </w:t>
      </w:r>
      <w:r w:rsidRPr="002C0418">
        <w:tab/>
        <w:t xml:space="preserve">Max [0, MCE, Max [0, </w:t>
      </w:r>
      <w:r w:rsidRPr="00FF36D0">
        <w:t xml:space="preserve">((1-TOA) * EAL </w:t>
      </w:r>
      <w:r w:rsidRPr="00FF36D0">
        <w:rPr>
          <w:i/>
          <w:vertAlign w:val="subscript"/>
        </w:rPr>
        <w:t>q</w:t>
      </w:r>
      <w:r w:rsidRPr="00FF36D0">
        <w:t xml:space="preserve"> + TOA * EAL</w:t>
      </w:r>
      <w:r>
        <w:t xml:space="preserve"> </w:t>
      </w:r>
      <w:r w:rsidRPr="00B3490C">
        <w:rPr>
          <w:i/>
          <w:vertAlign w:val="subscript"/>
        </w:rPr>
        <w:t>t</w:t>
      </w:r>
      <w:r w:rsidRPr="00D77426">
        <w:t xml:space="preserve"> +</w:t>
      </w:r>
      <w:r w:rsidRPr="002C0418">
        <w:rPr>
          <w:vertAlign w:val="subscript"/>
        </w:rPr>
        <w:t xml:space="preserve"> </w:t>
      </w:r>
      <w:r>
        <w:t xml:space="preserve">EAL </w:t>
      </w:r>
      <w:r w:rsidRPr="00D77426">
        <w:rPr>
          <w:i/>
          <w:vertAlign w:val="subscript"/>
        </w:rPr>
        <w:t>a</w:t>
      </w:r>
      <w:r>
        <w:t>)]] + PUL</w:t>
      </w:r>
    </w:p>
    <w:p w14:paraId="78A0717D" w14:textId="77777777" w:rsidR="002D0D49" w:rsidRDefault="002D0D49" w:rsidP="002D0D49">
      <w:pPr>
        <w:pStyle w:val="BodyTextNumbered"/>
        <w:ind w:left="1440"/>
      </w:pPr>
      <w:r>
        <w:t>TPES</w:t>
      </w:r>
      <w:r>
        <w:tab/>
        <w:t>=</w:t>
      </w:r>
      <w:r>
        <w:tab/>
        <w:t xml:space="preserve">Max [0, FCE </w:t>
      </w:r>
      <w:r w:rsidRPr="00D77426">
        <w:rPr>
          <w:i/>
          <w:vertAlign w:val="subscript"/>
        </w:rPr>
        <w:t>a</w:t>
      </w:r>
      <w:r>
        <w:t>] + IA</w:t>
      </w:r>
    </w:p>
    <w:p w14:paraId="3E2EC311" w14:textId="77777777" w:rsidR="002D0D49" w:rsidRDefault="002D0D49" w:rsidP="002D0D49">
      <w:pPr>
        <w:pStyle w:val="BodyText"/>
        <w:spacing w:after="0"/>
      </w:pPr>
      <w:r>
        <w:rPr>
          <w:iCs w:val="0"/>
        </w:rPr>
        <w:t>The above variables are defined as follows:</w:t>
      </w:r>
    </w:p>
    <w:tbl>
      <w:tblPr>
        <w:tblW w:w="933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45"/>
        <w:gridCol w:w="1021"/>
        <w:gridCol w:w="6666"/>
      </w:tblGrid>
      <w:tr w:rsidR="002D0D49" w14:paraId="6A2B50C5" w14:textId="77777777" w:rsidTr="009F2C2F">
        <w:trPr>
          <w:trHeight w:val="351"/>
          <w:tblHeader/>
        </w:trPr>
        <w:tc>
          <w:tcPr>
            <w:tcW w:w="1652" w:type="dxa"/>
          </w:tcPr>
          <w:p w14:paraId="22FE4A5B" w14:textId="77777777" w:rsidR="002D0D49" w:rsidRDefault="002D0D49" w:rsidP="0031595F">
            <w:pPr>
              <w:pStyle w:val="TableHead"/>
            </w:pPr>
            <w:r>
              <w:t>Variable</w:t>
            </w:r>
          </w:p>
        </w:tc>
        <w:tc>
          <w:tcPr>
            <w:tcW w:w="986" w:type="dxa"/>
          </w:tcPr>
          <w:p w14:paraId="10773D1C" w14:textId="77777777" w:rsidR="002D0D49" w:rsidRDefault="002D0D49" w:rsidP="0031595F">
            <w:pPr>
              <w:pStyle w:val="TableHead"/>
            </w:pPr>
            <w:r>
              <w:t>Unit</w:t>
            </w:r>
          </w:p>
        </w:tc>
        <w:tc>
          <w:tcPr>
            <w:tcW w:w="6694" w:type="dxa"/>
          </w:tcPr>
          <w:p w14:paraId="4970098D" w14:textId="77777777" w:rsidR="002D0D49" w:rsidRDefault="002D0D49" w:rsidP="0031595F">
            <w:pPr>
              <w:pStyle w:val="TableHead"/>
            </w:pPr>
            <w:r>
              <w:t>Description</w:t>
            </w:r>
          </w:p>
        </w:tc>
      </w:tr>
      <w:tr w:rsidR="002D0D49" w14:paraId="0485A70D" w14:textId="77777777" w:rsidTr="009F2C2F">
        <w:trPr>
          <w:trHeight w:val="519"/>
        </w:trPr>
        <w:tc>
          <w:tcPr>
            <w:tcW w:w="1652" w:type="dxa"/>
          </w:tcPr>
          <w:p w14:paraId="1AC67AA6" w14:textId="77777777" w:rsidR="002D0D49" w:rsidRPr="00FF36D0" w:rsidRDefault="002D0D49" w:rsidP="0031595F">
            <w:pPr>
              <w:pStyle w:val="TableBody"/>
            </w:pPr>
            <w:r w:rsidRPr="00FF36D0">
              <w:t xml:space="preserve">EAL </w:t>
            </w:r>
            <w:r w:rsidRPr="00FF36D0">
              <w:rPr>
                <w:i/>
                <w:vertAlign w:val="subscript"/>
              </w:rPr>
              <w:t>q</w:t>
            </w:r>
          </w:p>
        </w:tc>
        <w:tc>
          <w:tcPr>
            <w:tcW w:w="986" w:type="dxa"/>
          </w:tcPr>
          <w:p w14:paraId="4B5BE70E" w14:textId="77777777" w:rsidR="002D0D49" w:rsidRPr="00906156" w:rsidRDefault="002D0D49" w:rsidP="0031595F">
            <w:pPr>
              <w:pStyle w:val="TableBody"/>
            </w:pPr>
            <w:r w:rsidRPr="00906156">
              <w:t>$</w:t>
            </w:r>
          </w:p>
        </w:tc>
        <w:tc>
          <w:tcPr>
            <w:tcW w:w="6694" w:type="dxa"/>
          </w:tcPr>
          <w:p w14:paraId="1FBBD922" w14:textId="77777777" w:rsidR="002D0D49" w:rsidRPr="00484E48" w:rsidRDefault="002D0D49" w:rsidP="0031595F">
            <w:pPr>
              <w:pStyle w:val="TableBody"/>
            </w:pPr>
            <w:r w:rsidRPr="004F59D3">
              <w:rPr>
                <w:i/>
              </w:rPr>
              <w:t>Estimated Aggregate Liability for all QSEs that represents Load or generation</w:t>
            </w:r>
            <w:r w:rsidRPr="004F59D3">
              <w:t>—EAL for all QSEs represented by the Counter-Party if at least one QSE represented by the Counter-Party represents either Load or generation</w:t>
            </w:r>
            <w:r w:rsidRPr="00484E48">
              <w:t>.</w:t>
            </w:r>
          </w:p>
        </w:tc>
      </w:tr>
      <w:tr w:rsidR="002D0D49" w14:paraId="1FC7BB7B" w14:textId="77777777" w:rsidTr="009F2C2F">
        <w:trPr>
          <w:trHeight w:val="519"/>
        </w:trPr>
        <w:tc>
          <w:tcPr>
            <w:tcW w:w="1652" w:type="dxa"/>
          </w:tcPr>
          <w:p w14:paraId="16664BF5" w14:textId="77777777" w:rsidR="002D0D49" w:rsidRDefault="002D0D49" w:rsidP="0031595F">
            <w:pPr>
              <w:pStyle w:val="TableBody"/>
            </w:pPr>
            <w:r>
              <w:t xml:space="preserve">EAL </w:t>
            </w:r>
            <w:r w:rsidRPr="00D857C2">
              <w:rPr>
                <w:i/>
                <w:vertAlign w:val="subscript"/>
              </w:rPr>
              <w:t>t</w:t>
            </w:r>
          </w:p>
        </w:tc>
        <w:tc>
          <w:tcPr>
            <w:tcW w:w="986" w:type="dxa"/>
          </w:tcPr>
          <w:p w14:paraId="6D7CAC40" w14:textId="77777777" w:rsidR="002D0D49" w:rsidRDefault="002D0D49" w:rsidP="0031595F">
            <w:pPr>
              <w:pStyle w:val="TableBody"/>
            </w:pPr>
            <w:r>
              <w:t>$</w:t>
            </w:r>
          </w:p>
        </w:tc>
        <w:tc>
          <w:tcPr>
            <w:tcW w:w="6694" w:type="dxa"/>
          </w:tcPr>
          <w:p w14:paraId="62E90092" w14:textId="77777777" w:rsidR="002D0D49" w:rsidRPr="00B67540" w:rsidRDefault="002D0D49" w:rsidP="0031595F">
            <w:pPr>
              <w:pStyle w:val="TableBody"/>
              <w:rPr>
                <w:i/>
              </w:rPr>
            </w:pPr>
            <w:r>
              <w:rPr>
                <w:i/>
              </w:rPr>
              <w:t xml:space="preserve">Estimated Aggregate Liability for all QSEs </w:t>
            </w:r>
            <w:r>
              <w:t xml:space="preserve">—EAL for all QSEs represented by the Counter-Party </w:t>
            </w:r>
            <w:r w:rsidRPr="00FF36D0">
              <w:t>if none of the QSEs represented by the Counter-Party represent either Load or generation.</w:t>
            </w:r>
          </w:p>
        </w:tc>
      </w:tr>
      <w:tr w:rsidR="002D0D49" w14:paraId="083B2258" w14:textId="77777777" w:rsidTr="009F2C2F">
        <w:trPr>
          <w:trHeight w:val="519"/>
        </w:trPr>
        <w:tc>
          <w:tcPr>
            <w:tcW w:w="1652" w:type="dxa"/>
          </w:tcPr>
          <w:p w14:paraId="4C701A60" w14:textId="77777777" w:rsidR="002D0D49" w:rsidRDefault="002D0D49" w:rsidP="0031595F">
            <w:pPr>
              <w:pStyle w:val="TableBody"/>
            </w:pPr>
            <w:r>
              <w:t xml:space="preserve">EAL </w:t>
            </w:r>
            <w:r w:rsidRPr="00D77426">
              <w:rPr>
                <w:i/>
                <w:vertAlign w:val="subscript"/>
              </w:rPr>
              <w:t>a</w:t>
            </w:r>
          </w:p>
        </w:tc>
        <w:tc>
          <w:tcPr>
            <w:tcW w:w="986" w:type="dxa"/>
          </w:tcPr>
          <w:p w14:paraId="03B0B3AA" w14:textId="77777777" w:rsidR="002D0D49" w:rsidRDefault="002D0D49" w:rsidP="0031595F">
            <w:pPr>
              <w:pStyle w:val="TableBody"/>
            </w:pPr>
            <w:r>
              <w:t>$</w:t>
            </w:r>
          </w:p>
        </w:tc>
        <w:tc>
          <w:tcPr>
            <w:tcW w:w="6694" w:type="dxa"/>
          </w:tcPr>
          <w:p w14:paraId="2CE92B9E" w14:textId="77777777" w:rsidR="002D0D49" w:rsidRPr="00B67540" w:rsidRDefault="002D0D49" w:rsidP="0031595F">
            <w:pPr>
              <w:pStyle w:val="TableBody"/>
              <w:rPr>
                <w:i/>
              </w:rPr>
            </w:pPr>
            <w:r w:rsidRPr="00B67540">
              <w:rPr>
                <w:i/>
              </w:rPr>
              <w:t>Estimated Aggregate Liability</w:t>
            </w:r>
            <w:r>
              <w:rPr>
                <w:i/>
              </w:rPr>
              <w:t xml:space="preserve"> for all CRR Account Holders</w:t>
            </w:r>
            <w:r>
              <w:t>—EAL for all CRR Account Holders represented by the Counter-Party.</w:t>
            </w:r>
          </w:p>
        </w:tc>
      </w:tr>
      <w:tr w:rsidR="002D0D49" w14:paraId="6A75524F" w14:textId="77777777" w:rsidTr="009F2C2F">
        <w:trPr>
          <w:trHeight w:val="519"/>
        </w:trPr>
        <w:tc>
          <w:tcPr>
            <w:tcW w:w="1652" w:type="dxa"/>
          </w:tcPr>
          <w:p w14:paraId="5FA14A8E" w14:textId="77777777" w:rsidR="002D0D49" w:rsidRDefault="002D0D49" w:rsidP="0031595F">
            <w:pPr>
              <w:pStyle w:val="TableBody"/>
            </w:pPr>
            <w:r w:rsidRPr="005D51CF">
              <w:t>PUL</w:t>
            </w:r>
          </w:p>
        </w:tc>
        <w:tc>
          <w:tcPr>
            <w:tcW w:w="986" w:type="dxa"/>
          </w:tcPr>
          <w:p w14:paraId="49B61974" w14:textId="77777777" w:rsidR="002D0D49" w:rsidRDefault="002D0D49" w:rsidP="0031595F">
            <w:pPr>
              <w:pStyle w:val="TableBody"/>
            </w:pPr>
            <w:r w:rsidRPr="005D51CF">
              <w:t>$</w:t>
            </w:r>
          </w:p>
        </w:tc>
        <w:tc>
          <w:tcPr>
            <w:tcW w:w="6694" w:type="dxa"/>
          </w:tcPr>
          <w:p w14:paraId="69FB583F" w14:textId="20752A12" w:rsidR="002D0D49" w:rsidRPr="00B67540" w:rsidRDefault="002D0D49" w:rsidP="0031595F">
            <w:pPr>
              <w:pStyle w:val="TableBody"/>
              <w:rPr>
                <w:i/>
              </w:rPr>
            </w:pPr>
            <w:r w:rsidRPr="00BD7386">
              <w:rPr>
                <w:i/>
              </w:rPr>
              <w:t>Potential Uplift</w:t>
            </w:r>
            <w:r w:rsidRPr="005D51CF">
              <w:t xml:space="preserve">—Potential uplift to the Counter-Party, to the extent and in the proportion that the Counter-Party represents Entities to which an uplift of a short payment will be made pursuant to Section 9.19, Partial Payments by Invoice Recipients.  It is calculated as the sum of: (a) Amounts expected to be uplifted within one year of the date of the calculation; and (b) </w:t>
            </w:r>
            <w:r w:rsidR="0088125F">
              <w:t>the lesser of: (</w:t>
            </w:r>
            <w:r w:rsidR="003A5AEB">
              <w:t>i</w:t>
            </w:r>
            <w:r w:rsidR="0088125F">
              <w:t xml:space="preserve">) </w:t>
            </w:r>
            <w:r w:rsidR="0088125F" w:rsidRPr="00413D4A">
              <w:t>25%</w:t>
            </w:r>
            <w:r w:rsidR="0088125F">
              <w:t xml:space="preserve"> </w:t>
            </w:r>
            <w:r w:rsidR="0088125F" w:rsidRPr="007C65AD">
              <w:t>of amounts expected to be uplifted beyond one year of the date of the calculation</w:t>
            </w:r>
            <w:r w:rsidR="0088125F">
              <w:t>; or (</w:t>
            </w:r>
            <w:r w:rsidR="003A5AEB">
              <w:t>ii</w:t>
            </w:r>
            <w:r w:rsidR="0088125F">
              <w:t>)</w:t>
            </w:r>
            <w:r w:rsidR="0088125F" w:rsidRPr="007C65AD">
              <w:t xml:space="preserve"> </w:t>
            </w:r>
            <w:r w:rsidR="0088125F">
              <w:t>five</w:t>
            </w:r>
            <w:r w:rsidR="0088125F" w:rsidRPr="007C65AD">
              <w:t xml:space="preserve"> years’ worth of uplift charges</w:t>
            </w:r>
            <w:r w:rsidRPr="005D51CF">
              <w:t xml:space="preserve">. </w:t>
            </w:r>
          </w:p>
        </w:tc>
      </w:tr>
      <w:tr w:rsidR="002D0D49" w14:paraId="3ED79B4E" w14:textId="77777777" w:rsidTr="009F2C2F">
        <w:trPr>
          <w:trHeight w:val="519"/>
        </w:trPr>
        <w:tc>
          <w:tcPr>
            <w:tcW w:w="1652" w:type="dxa"/>
          </w:tcPr>
          <w:p w14:paraId="31E39058" w14:textId="77777777" w:rsidR="002D0D49" w:rsidRDefault="002D0D49" w:rsidP="0031595F">
            <w:pPr>
              <w:pStyle w:val="TableBody"/>
            </w:pPr>
            <w:r>
              <w:t xml:space="preserve">FCE </w:t>
            </w:r>
            <w:r w:rsidRPr="00D77426">
              <w:rPr>
                <w:i/>
                <w:vertAlign w:val="subscript"/>
              </w:rPr>
              <w:t>a</w:t>
            </w:r>
          </w:p>
        </w:tc>
        <w:tc>
          <w:tcPr>
            <w:tcW w:w="986" w:type="dxa"/>
          </w:tcPr>
          <w:p w14:paraId="02254C2D" w14:textId="77777777" w:rsidR="002D0D49" w:rsidRDefault="002D0D49" w:rsidP="0031595F">
            <w:pPr>
              <w:pStyle w:val="TableBody"/>
            </w:pPr>
            <w:r>
              <w:t>$</w:t>
            </w:r>
          </w:p>
        </w:tc>
        <w:tc>
          <w:tcPr>
            <w:tcW w:w="6694" w:type="dxa"/>
          </w:tcPr>
          <w:p w14:paraId="6BE80368" w14:textId="77777777" w:rsidR="002D0D49" w:rsidRPr="00B67540" w:rsidRDefault="002D0D49" w:rsidP="0031595F">
            <w:pPr>
              <w:pStyle w:val="TableBody"/>
              <w:rPr>
                <w:i/>
              </w:rPr>
            </w:pPr>
            <w:r>
              <w:rPr>
                <w:i/>
              </w:rPr>
              <w:t>Future Credit Exposure for all CRR Account Holders</w:t>
            </w:r>
            <w:r>
              <w:t>—FCE for all CRR Account Holders represented by the Counter-Party.</w:t>
            </w:r>
          </w:p>
        </w:tc>
      </w:tr>
      <w:tr w:rsidR="002D0D49" w14:paraId="0845AF43" w14:textId="77777777" w:rsidTr="009F2C2F">
        <w:trPr>
          <w:trHeight w:val="519"/>
        </w:trPr>
        <w:tc>
          <w:tcPr>
            <w:tcW w:w="1652" w:type="dxa"/>
          </w:tcPr>
          <w:p w14:paraId="706DC6BD" w14:textId="77777777" w:rsidR="002D0D49" w:rsidRDefault="002D0D49" w:rsidP="0031595F">
            <w:pPr>
              <w:pStyle w:val="TableBody"/>
            </w:pPr>
            <w:r>
              <w:t>MCE</w:t>
            </w:r>
          </w:p>
        </w:tc>
        <w:tc>
          <w:tcPr>
            <w:tcW w:w="986" w:type="dxa"/>
          </w:tcPr>
          <w:p w14:paraId="3E6E44D6" w14:textId="77777777" w:rsidR="002D0D49" w:rsidRDefault="002D0D49" w:rsidP="0031595F">
            <w:pPr>
              <w:pStyle w:val="TableBody"/>
            </w:pPr>
            <w:r>
              <w:t>$</w:t>
            </w:r>
          </w:p>
        </w:tc>
        <w:tc>
          <w:tcPr>
            <w:tcW w:w="6694" w:type="dxa"/>
          </w:tcPr>
          <w:p w14:paraId="2753891B" w14:textId="77777777" w:rsidR="002D0D49" w:rsidRPr="00BE4766" w:rsidRDefault="002D0D49" w:rsidP="0031595F">
            <w:pPr>
              <w:pStyle w:val="TableBody"/>
            </w:pPr>
            <w:r w:rsidRPr="00BE4766">
              <w:rPr>
                <w:i/>
              </w:rPr>
              <w:t>Minimum</w:t>
            </w:r>
            <w:r>
              <w:rPr>
                <w:i/>
              </w:rPr>
              <w:t xml:space="preserve"> Current</w:t>
            </w:r>
            <w:r w:rsidRPr="00BE4766">
              <w:rPr>
                <w:i/>
              </w:rPr>
              <w:t xml:space="preserve"> Exposure</w:t>
            </w:r>
            <w:r>
              <w:t>—</w:t>
            </w:r>
            <w:r w:rsidRPr="00BE4766">
              <w:t>For each Counter-Party, ERCOT shall determine a Minimum C</w:t>
            </w:r>
            <w:r>
              <w:t xml:space="preserve">urrent </w:t>
            </w:r>
            <w:r w:rsidRPr="00BE4766">
              <w:t xml:space="preserve">Exposure (MCE) as follows:  </w:t>
            </w:r>
          </w:p>
          <w:p w14:paraId="4ABF8F99" w14:textId="77777777" w:rsidR="002D0D49" w:rsidRPr="00BE4766" w:rsidRDefault="002D0D49" w:rsidP="0031595F">
            <w:pPr>
              <w:pStyle w:val="TableBody"/>
            </w:pPr>
          </w:p>
          <w:p w14:paraId="31F4C2AA" w14:textId="087CEC9C" w:rsidR="002D0D49" w:rsidRPr="00FF36D0" w:rsidRDefault="002D0D49" w:rsidP="0031595F">
            <w:pPr>
              <w:pStyle w:val="TableBody"/>
              <w:ind w:left="1643" w:hanging="1411"/>
            </w:pPr>
            <w:r w:rsidRPr="00FF36D0">
              <w:t>MCE = Max[RFAF * MAF * Max[{</w:t>
            </w:r>
            <m:oMath>
              <m:nary>
                <m:naryPr>
                  <m:chr m:val="∑"/>
                  <m:grow m:val="1"/>
                  <m:ctrlPr>
                    <w:rPr>
                      <w:rFonts w:ascii="Cambria Math" w:hAnsi="Cambria Math"/>
                    </w:rPr>
                  </m:ctrlPr>
                </m:naryPr>
                <m:sub>
                  <m:r>
                    <w:rPr>
                      <w:rFonts w:ascii="Cambria Math" w:hAnsi="Cambria Math"/>
                    </w:rPr>
                    <m:t>e</m:t>
                  </m:r>
                </m:sub>
                <m:sup>
                  <m:r>
                    <w:rPr>
                      <w:rFonts w:ascii="Cambria Math" w:hAnsi="Cambria Math"/>
                    </w:rPr>
                    <m:t xml:space="preserve"> </m:t>
                  </m:r>
                </m:sup>
                <m:e>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96</m:t>
                      </m:r>
                    </m:sup>
                    <m:e>
                      <m:r>
                        <w:rPr>
                          <w:rFonts w:ascii="Cambria Math" w:hAnsi="Cambria Math"/>
                        </w:rPr>
                        <m:t xml:space="preserve"> </m:t>
                      </m:r>
                    </m:e>
                  </m:nary>
                  <m:nary>
                    <m:naryPr>
                      <m:chr m:val="∑"/>
                      <m:grow m:val="1"/>
                      <m:ctrlPr>
                        <w:rPr>
                          <w:rFonts w:ascii="Cambria Math" w:hAnsi="Cambria Math"/>
                        </w:rPr>
                      </m:ctrlPr>
                    </m:naryPr>
                    <m:sub>
                      <m:r>
                        <w:rPr>
                          <w:rFonts w:ascii="Cambria Math" w:hAnsi="Cambria Math"/>
                        </w:rPr>
                        <m:t>p</m:t>
                      </m:r>
                    </m:sub>
                    <m:sup>
                      <m:r>
                        <w:rPr>
                          <w:rFonts w:ascii="Cambria Math" w:hAnsi="Cambria Math"/>
                        </w:rPr>
                        <m:t xml:space="preserve"> </m:t>
                      </m:r>
                    </m:sup>
                    <m:e>
                      <m:r>
                        <w:rPr>
                          <w:rFonts w:ascii="Cambria Math" w:hAnsi="Cambria Math"/>
                        </w:rPr>
                        <m:t xml:space="preserve"> </m:t>
                      </m:r>
                    </m:e>
                  </m:nary>
                </m:e>
              </m:nary>
            </m:oMath>
            <w:r w:rsidRPr="00FF36D0">
              <w:rPr>
                <w:b/>
                <w:bCs/>
              </w:rPr>
              <w:t>[</w:t>
            </w:r>
            <w:r w:rsidRPr="00FF36D0">
              <w:t xml:space="preserve">L </w:t>
            </w:r>
            <w:r w:rsidRPr="00FF36D0">
              <w:rPr>
                <w:i/>
                <w:vertAlign w:val="subscript"/>
              </w:rPr>
              <w:t>i, od, p</w:t>
            </w:r>
            <w:r w:rsidRPr="00FF36D0">
              <w:t xml:space="preserve"> * RTSPP </w:t>
            </w:r>
            <w:r w:rsidRPr="00FF36D0">
              <w:rPr>
                <w:i/>
                <w:vertAlign w:val="subscript"/>
              </w:rPr>
              <w:t>i, od, p</w:t>
            </w:r>
            <w:r w:rsidRPr="00FF36D0">
              <w:t>]/</w:t>
            </w:r>
            <w:r w:rsidRPr="00FF36D0">
              <w:rPr>
                <w:i/>
              </w:rPr>
              <w:t>n</w:t>
            </w:r>
            <w:r w:rsidRPr="00FF36D0">
              <w:t>}, {</w:t>
            </w:r>
            <m:oMath>
              <m:nary>
                <m:naryPr>
                  <m:chr m:val="∑"/>
                  <m:grow m:val="1"/>
                  <m:ctrlPr>
                    <w:rPr>
                      <w:rFonts w:ascii="Cambria Math" w:hAnsi="Cambria Math"/>
                    </w:rPr>
                  </m:ctrlPr>
                </m:naryPr>
                <m:sub>
                  <m:r>
                    <w:rPr>
                      <w:rFonts w:ascii="Cambria Math" w:hAnsi="Cambria Math"/>
                    </w:rPr>
                    <m:t>e</m:t>
                  </m:r>
                </m:sub>
                <m:sup>
                  <m:r>
                    <w:rPr>
                      <w:rFonts w:ascii="Cambria Math" w:hAnsi="Cambria Math"/>
                    </w:rPr>
                    <m:t xml:space="preserve"> </m:t>
                  </m:r>
                </m:sup>
                <m:e>
                  <m:r>
                    <w:rPr>
                      <w:rFonts w:ascii="Cambria Math" w:hAnsi="Cambria Math"/>
                    </w:rPr>
                    <m:t xml:space="preserve"> </m:t>
                  </m:r>
                </m:e>
              </m:nary>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96</m:t>
                  </m:r>
                </m:sup>
                <m:e>
                  <m:r>
                    <w:rPr>
                      <w:rFonts w:ascii="Cambria Math" w:hAnsi="Cambria Math"/>
                    </w:rPr>
                    <m:t xml:space="preserve"> </m:t>
                  </m:r>
                </m:e>
              </m:nary>
              <m:nary>
                <m:naryPr>
                  <m:chr m:val="∑"/>
                  <m:grow m:val="1"/>
                  <m:ctrlPr>
                    <w:rPr>
                      <w:rFonts w:ascii="Cambria Math" w:hAnsi="Cambria Math"/>
                    </w:rPr>
                  </m:ctrlPr>
                </m:naryPr>
                <m:sub>
                  <m:r>
                    <w:rPr>
                      <w:rFonts w:ascii="Cambria Math" w:hAnsi="Cambria Math"/>
                    </w:rPr>
                    <m:t>p</m:t>
                  </m:r>
                </m:sub>
                <m:sup>
                  <m:r>
                    <w:rPr>
                      <w:rFonts w:ascii="Cambria Math" w:hAnsi="Cambria Math"/>
                    </w:rPr>
                    <m:t xml:space="preserve"> </m:t>
                  </m:r>
                </m:sup>
                <m:e>
                  <m:r>
                    <w:rPr>
                      <w:rFonts w:ascii="Cambria Math" w:hAnsi="Cambria Math"/>
                    </w:rPr>
                    <m:t xml:space="preserve"> </m:t>
                  </m:r>
                </m:e>
              </m:nary>
            </m:oMath>
            <w:r w:rsidRPr="00FF36D0">
              <w:rPr>
                <w:b/>
                <w:bCs/>
              </w:rPr>
              <w:t>[[[</w:t>
            </w:r>
            <w:r w:rsidRPr="00FF36D0">
              <w:t xml:space="preserve">L </w:t>
            </w:r>
            <w:r w:rsidRPr="00FF36D0">
              <w:rPr>
                <w:i/>
                <w:vertAlign w:val="subscript"/>
              </w:rPr>
              <w:t>i, od, p</w:t>
            </w:r>
            <w:r w:rsidRPr="00FF36D0">
              <w:t xml:space="preserve"> * </w:t>
            </w:r>
            <w:r w:rsidRPr="00FF36D0">
              <w:rPr>
                <w:i/>
              </w:rPr>
              <w:t>T2</w:t>
            </w:r>
            <w:r w:rsidRPr="00FF36D0">
              <w:rPr>
                <w:vertAlign w:val="subscript"/>
              </w:rPr>
              <w:t xml:space="preserve">  </w:t>
            </w:r>
            <w:r w:rsidRPr="00FF36D0">
              <w:rPr>
                <w:b/>
                <w:bCs/>
              </w:rPr>
              <w:t xml:space="preserve">- </w:t>
            </w:r>
            <w:r w:rsidRPr="00FF36D0">
              <w:t xml:space="preserve">G </w:t>
            </w:r>
            <w:r w:rsidRPr="00FF36D0">
              <w:rPr>
                <w:i/>
                <w:vertAlign w:val="subscript"/>
              </w:rPr>
              <w:t>i, od, p</w:t>
            </w:r>
            <w:r w:rsidRPr="00FF36D0">
              <w:t xml:space="preserve"> * (1-</w:t>
            </w:r>
            <w:r w:rsidRPr="00FF36D0">
              <w:rPr>
                <w:i/>
              </w:rPr>
              <w:t>NUCADJ</w:t>
            </w:r>
            <w:r w:rsidRPr="00FF36D0">
              <w:t xml:space="preserve">) * </w:t>
            </w:r>
            <w:r w:rsidRPr="00FF36D0">
              <w:rPr>
                <w:i/>
              </w:rPr>
              <w:t>T3</w:t>
            </w:r>
            <w:r w:rsidRPr="00FF36D0">
              <w:t xml:space="preserve">] * RTSPP </w:t>
            </w:r>
            <w:r w:rsidRPr="00FF36D0">
              <w:rPr>
                <w:i/>
                <w:vertAlign w:val="subscript"/>
              </w:rPr>
              <w:t>i, od, p</w:t>
            </w:r>
            <w:r w:rsidRPr="00FF36D0">
              <w:t xml:space="preserve">] + [RTQQNET </w:t>
            </w:r>
            <w:r w:rsidRPr="00FF36D0">
              <w:rPr>
                <w:i/>
                <w:vertAlign w:val="subscript"/>
              </w:rPr>
              <w:t>i, od, p</w:t>
            </w:r>
            <w:r w:rsidRPr="00FF36D0">
              <w:rPr>
                <w:b/>
                <w:bCs/>
              </w:rPr>
              <w:t xml:space="preserve"> </w:t>
            </w:r>
            <w:r w:rsidRPr="00FF36D0">
              <w:t xml:space="preserve">* </w:t>
            </w:r>
            <w:r w:rsidRPr="00FF36D0">
              <w:rPr>
                <w:i/>
              </w:rPr>
              <w:t>T5</w:t>
            </w:r>
            <w:r w:rsidRPr="00FF36D0">
              <w:t>]]</w:t>
            </w:r>
            <w:r w:rsidRPr="00FF36D0">
              <w:rPr>
                <w:b/>
                <w:bCs/>
              </w:rPr>
              <w:t>/</w:t>
            </w:r>
            <w:r w:rsidRPr="00FF36D0">
              <w:rPr>
                <w:i/>
              </w:rPr>
              <w:t>n</w:t>
            </w:r>
            <w:r w:rsidRPr="00FF36D0">
              <w:t xml:space="preserve">}, </w:t>
            </w:r>
          </w:p>
          <w:p w14:paraId="15DCC4AF" w14:textId="390ABB9C" w:rsidR="002D0D49" w:rsidRPr="00FF36D0" w:rsidRDefault="002D0D49" w:rsidP="0031595F">
            <w:pPr>
              <w:pStyle w:val="TableBody"/>
              <w:ind w:left="1643" w:hanging="1373"/>
            </w:pPr>
            <w:r w:rsidRPr="00FF36D0">
              <w:t xml:space="preserve">                      {</w:t>
            </w:r>
            <m:oMath>
              <m:nary>
                <m:naryPr>
                  <m:chr m:val="∑"/>
                  <m:grow m:val="1"/>
                  <m:ctrlPr>
                    <w:rPr>
                      <w:rFonts w:ascii="Cambria Math" w:hAnsi="Cambria Math"/>
                    </w:rPr>
                  </m:ctrlPr>
                </m:naryPr>
                <m:sub>
                  <m:r>
                    <w:rPr>
                      <w:rFonts w:ascii="Cambria Math" w:hAnsi="Cambria Math"/>
                    </w:rPr>
                    <m:t>e</m:t>
                  </m:r>
                </m:sub>
                <m:sup>
                  <m:r>
                    <w:rPr>
                      <w:rFonts w:ascii="Cambria Math" w:hAnsi="Cambria Math"/>
                    </w:rPr>
                    <m:t xml:space="preserve"> </m:t>
                  </m:r>
                </m:sup>
                <m:e>
                  <m:r>
                    <w:rPr>
                      <w:rFonts w:ascii="Cambria Math" w:hAnsi="Cambria Math"/>
                    </w:rPr>
                    <m:t xml:space="preserve"> </m:t>
                  </m:r>
                </m:e>
              </m:nary>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96</m:t>
                  </m:r>
                </m:sup>
                <m:e>
                  <m:r>
                    <w:rPr>
                      <w:rFonts w:ascii="Cambria Math" w:hAnsi="Cambria Math"/>
                    </w:rPr>
                    <m:t xml:space="preserve"> </m:t>
                  </m:r>
                </m:e>
              </m:nary>
              <m:nary>
                <m:naryPr>
                  <m:chr m:val="∑"/>
                  <m:grow m:val="1"/>
                  <m:ctrlPr>
                    <w:rPr>
                      <w:rFonts w:ascii="Cambria Math" w:hAnsi="Cambria Math"/>
                    </w:rPr>
                  </m:ctrlPr>
                </m:naryPr>
                <m:sub>
                  <m:r>
                    <w:rPr>
                      <w:rFonts w:ascii="Cambria Math" w:hAnsi="Cambria Math"/>
                    </w:rPr>
                    <m:t>p</m:t>
                  </m:r>
                </m:sub>
                <m:sup>
                  <m:r>
                    <w:rPr>
                      <w:rFonts w:ascii="Cambria Math" w:hAnsi="Cambria Math"/>
                    </w:rPr>
                    <m:t xml:space="preserve"> </m:t>
                  </m:r>
                </m:sup>
                <m:e>
                  <m:r>
                    <w:rPr>
                      <w:rFonts w:ascii="Cambria Math" w:hAnsi="Cambria Math"/>
                    </w:rPr>
                    <m:t xml:space="preserve"> </m:t>
                  </m:r>
                </m:e>
              </m:nary>
            </m:oMath>
            <w:r w:rsidRPr="00FF36D0">
              <w:rPr>
                <w:b/>
                <w:bCs/>
              </w:rPr>
              <w:t>[</w:t>
            </w:r>
            <w:r w:rsidRPr="00FF36D0">
              <w:t xml:space="preserve">G </w:t>
            </w:r>
            <w:r w:rsidRPr="00FF36D0">
              <w:rPr>
                <w:i/>
                <w:vertAlign w:val="subscript"/>
              </w:rPr>
              <w:t>i, od, p</w:t>
            </w:r>
            <w:r w:rsidRPr="00FF36D0">
              <w:t xml:space="preserve"> * </w:t>
            </w:r>
            <w:r w:rsidRPr="00FF36D0">
              <w:rPr>
                <w:i/>
              </w:rPr>
              <w:t>NUCADJ</w:t>
            </w:r>
            <w:r w:rsidRPr="00FF36D0">
              <w:t xml:space="preserve"> * </w:t>
            </w:r>
            <w:r w:rsidRPr="00FF36D0">
              <w:rPr>
                <w:i/>
              </w:rPr>
              <w:t>T1</w:t>
            </w:r>
            <w:r w:rsidRPr="00FF36D0">
              <w:t xml:space="preserve"> * RTSPP </w:t>
            </w:r>
            <w:r w:rsidRPr="00FF36D0">
              <w:rPr>
                <w:i/>
                <w:vertAlign w:val="subscript"/>
              </w:rPr>
              <w:t>i, od, p</w:t>
            </w:r>
            <w:r w:rsidRPr="00FF36D0">
              <w:rPr>
                <w:b/>
                <w:bCs/>
              </w:rPr>
              <w:t>]/</w:t>
            </w:r>
            <w:r w:rsidRPr="00FF36D0">
              <w:t>n},</w:t>
            </w:r>
          </w:p>
          <w:p w14:paraId="517227A5" w14:textId="201AE3E8" w:rsidR="002D0D49" w:rsidRPr="00FF36D0" w:rsidRDefault="002D0D49" w:rsidP="0031595F">
            <w:pPr>
              <w:pStyle w:val="TableBody"/>
              <w:ind w:left="1643" w:hanging="1373"/>
            </w:pPr>
            <w:r w:rsidRPr="00FF36D0">
              <w:t xml:space="preserve">                      {</w:t>
            </w:r>
            <m:oMath>
              <m:nary>
                <m:naryPr>
                  <m:chr m:val="∑"/>
                  <m:grow m:val="1"/>
                  <m:ctrlPr>
                    <w:rPr>
                      <w:rFonts w:ascii="Cambria Math" w:hAnsi="Cambria Math"/>
                    </w:rPr>
                  </m:ctrlPr>
                </m:naryPr>
                <m:sub>
                  <m:r>
                    <w:rPr>
                      <w:rFonts w:ascii="Cambria Math" w:hAnsi="Cambria Math"/>
                    </w:rPr>
                    <m:t>e</m:t>
                  </m:r>
                </m:sub>
                <m:sup>
                  <m:r>
                    <w:rPr>
                      <w:rFonts w:ascii="Cambria Math" w:hAnsi="Cambria Math"/>
                    </w:rPr>
                    <m:t xml:space="preserve"> </m:t>
                  </m:r>
                </m:sup>
                <m:e>
                  <m:r>
                    <w:rPr>
                      <w:rFonts w:ascii="Cambria Math" w:hAnsi="Cambria Math"/>
                    </w:rPr>
                    <m:t xml:space="preserve"> </m:t>
                  </m:r>
                </m:e>
              </m:nary>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96</m:t>
                  </m:r>
                </m:sup>
                <m:e>
                  <m:r>
                    <w:rPr>
                      <w:rFonts w:ascii="Cambria Math" w:hAnsi="Cambria Math"/>
                    </w:rPr>
                    <m:t xml:space="preserve"> </m:t>
                  </m:r>
                </m:e>
              </m:nary>
              <m:nary>
                <m:naryPr>
                  <m:chr m:val="∑"/>
                  <m:grow m:val="1"/>
                  <m:ctrlPr>
                    <w:rPr>
                      <w:rFonts w:ascii="Cambria Math" w:hAnsi="Cambria Math"/>
                    </w:rPr>
                  </m:ctrlPr>
                </m:naryPr>
                <m:sub>
                  <m:r>
                    <w:rPr>
                      <w:rFonts w:ascii="Cambria Math" w:hAnsi="Cambria Math"/>
                    </w:rPr>
                    <m:t>p</m:t>
                  </m:r>
                </m:sub>
                <m:sup>
                  <m:r>
                    <w:rPr>
                      <w:rFonts w:ascii="Cambria Math" w:hAnsi="Cambria Math"/>
                    </w:rPr>
                    <m:t xml:space="preserve"> </m:t>
                  </m:r>
                </m:sup>
                <m:e>
                  <m:r>
                    <w:rPr>
                      <w:rFonts w:ascii="Cambria Math" w:hAnsi="Cambria Math"/>
                    </w:rPr>
                    <m:t xml:space="preserve"> </m:t>
                  </m:r>
                </m:e>
              </m:nary>
            </m:oMath>
            <w:r w:rsidRPr="00FF36D0">
              <w:t>DARTNET</w:t>
            </w:r>
            <w:r w:rsidRPr="00FF36D0">
              <w:rPr>
                <w:sz w:val="16"/>
                <w:vertAlign w:val="subscript"/>
              </w:rPr>
              <w:t xml:space="preserve"> </w:t>
            </w:r>
            <w:r w:rsidRPr="00FF36D0">
              <w:rPr>
                <w:i/>
                <w:vertAlign w:val="subscript"/>
              </w:rPr>
              <w:t>i, od, p</w:t>
            </w:r>
            <w:r w:rsidRPr="00FF36D0">
              <w:t xml:space="preserve"> </w:t>
            </w:r>
            <w:r w:rsidRPr="00FF36D0">
              <w:rPr>
                <w:sz w:val="16"/>
              </w:rPr>
              <w:t xml:space="preserve">* </w:t>
            </w:r>
            <w:r w:rsidRPr="00FF36D0">
              <w:rPr>
                <w:i/>
              </w:rPr>
              <w:t>T4</w:t>
            </w:r>
            <w:r w:rsidRPr="00FF36D0">
              <w:t>/</w:t>
            </w:r>
            <w:r w:rsidRPr="00FF36D0">
              <w:rPr>
                <w:i/>
              </w:rPr>
              <w:t>n</w:t>
            </w:r>
            <w:r w:rsidRPr="00FF36D0">
              <w:t>}],</w:t>
            </w:r>
          </w:p>
          <w:p w14:paraId="2367B604" w14:textId="77777777" w:rsidR="002D0D49" w:rsidRPr="00BE4766" w:rsidRDefault="002D0D49" w:rsidP="0031595F">
            <w:pPr>
              <w:pStyle w:val="TableBody"/>
              <w:ind w:left="1643" w:hanging="1373"/>
            </w:pPr>
            <w:r w:rsidRPr="00FF36D0">
              <w:t xml:space="preserve">                      MAF * IMCE]</w:t>
            </w:r>
          </w:p>
          <w:p w14:paraId="5CBE7F75" w14:textId="77777777" w:rsidR="002D0D49" w:rsidRPr="00142152" w:rsidRDefault="002D0D49" w:rsidP="0031595F">
            <w:pPr>
              <w:pStyle w:val="TableBody"/>
              <w:ind w:left="1643" w:hanging="1373"/>
            </w:pPr>
          </w:p>
          <w:p w14:paraId="132C9AB3" w14:textId="42A6059C" w:rsidR="002D0D49" w:rsidRPr="00142152" w:rsidRDefault="002D0D49" w:rsidP="0031595F">
            <w:pPr>
              <w:pStyle w:val="TableBody"/>
              <w:ind w:left="1402" w:hanging="1170"/>
              <w:rPr>
                <w:b/>
              </w:rPr>
            </w:pPr>
            <w:r w:rsidRPr="00142152">
              <w:t xml:space="preserve">RTQQNET </w:t>
            </w:r>
            <w:r w:rsidRPr="00D77426">
              <w:rPr>
                <w:i/>
                <w:vertAlign w:val="subscript"/>
              </w:rPr>
              <w:t>i</w:t>
            </w:r>
            <w:r>
              <w:rPr>
                <w:i/>
                <w:vertAlign w:val="subscript"/>
              </w:rPr>
              <w:t>, o</w:t>
            </w:r>
            <w:r w:rsidRPr="00D77426">
              <w:rPr>
                <w:i/>
                <w:vertAlign w:val="subscript"/>
              </w:rPr>
              <w:t>d</w:t>
            </w:r>
            <w:r>
              <w:rPr>
                <w:i/>
                <w:vertAlign w:val="subscript"/>
              </w:rPr>
              <w:t>, p</w:t>
            </w:r>
            <w:r w:rsidRPr="00142152">
              <w:rPr>
                <w:i/>
              </w:rPr>
              <w:t xml:space="preserve"> </w:t>
            </w:r>
            <w:r w:rsidRPr="00142152">
              <w:t>= Max</w:t>
            </w:r>
            <w:r w:rsidRPr="00142152">
              <w:rPr>
                <w:b/>
              </w:rPr>
              <w:t>[</w:t>
            </w:r>
            <w:r w:rsidRPr="00BE4766">
              <w:rPr>
                <w:b/>
                <w:position w:val="-20"/>
              </w:rPr>
              <w:object w:dxaOrig="225" w:dyaOrig="420" w14:anchorId="4C3AB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22.8pt" o:ole="">
                  <v:imagedata r:id="rId17" o:title=""/>
                </v:shape>
                <o:OLEObject Type="Embed" ProgID="Equation.3" ShapeID="_x0000_i1025" DrawAspect="Content" ObjectID="_1775294571" r:id="rId18"/>
              </w:object>
            </w:r>
            <w:r w:rsidRPr="00142152">
              <w:rPr>
                <w:b/>
              </w:rPr>
              <w:t>(</w:t>
            </w:r>
            <w:r w:rsidRPr="00142152">
              <w:t xml:space="preserve">RTQQES </w:t>
            </w:r>
            <w:r>
              <w:rPr>
                <w:i/>
                <w:vertAlign w:val="subscript"/>
              </w:rPr>
              <w:t>i, o</w:t>
            </w:r>
            <w:r w:rsidRPr="00D77426">
              <w:rPr>
                <w:i/>
                <w:vertAlign w:val="subscript"/>
              </w:rPr>
              <w:t>d</w:t>
            </w:r>
            <w:r>
              <w:rPr>
                <w:i/>
                <w:vertAlign w:val="subscript"/>
              </w:rPr>
              <w:t xml:space="preserve">, p, </w:t>
            </w:r>
            <w:r w:rsidRPr="00D77426">
              <w:rPr>
                <w:i/>
                <w:vertAlign w:val="subscript"/>
              </w:rPr>
              <w:t>c</w:t>
            </w:r>
            <w:r>
              <w:rPr>
                <w:i/>
                <w:vertAlign w:val="subscript"/>
              </w:rPr>
              <w:t xml:space="preserve"> </w:t>
            </w:r>
            <w:r w:rsidRPr="00900F8C">
              <w:rPr>
                <w:i/>
              </w:rPr>
              <w:t>-</w:t>
            </w:r>
            <w:r>
              <w:rPr>
                <w:i/>
                <w:vertAlign w:val="subscript"/>
              </w:rPr>
              <w:t xml:space="preserve"> </w:t>
            </w:r>
            <w:r>
              <w:t xml:space="preserve">RTQQEP </w:t>
            </w:r>
            <w:r>
              <w:rPr>
                <w:i/>
                <w:vertAlign w:val="subscript"/>
              </w:rPr>
              <w:t>i</w:t>
            </w:r>
            <w:r w:rsidRPr="00921C84">
              <w:rPr>
                <w:i/>
                <w:vertAlign w:val="subscript"/>
              </w:rPr>
              <w:t>,</w:t>
            </w:r>
            <w:r w:rsidRPr="00F41A7B">
              <w:rPr>
                <w:i/>
                <w:vertAlign w:val="subscript"/>
              </w:rPr>
              <w:t xml:space="preserve"> </w:t>
            </w:r>
            <w:r>
              <w:rPr>
                <w:i/>
                <w:vertAlign w:val="subscript"/>
              </w:rPr>
              <w:t>o</w:t>
            </w:r>
            <w:r w:rsidRPr="00921C84">
              <w:rPr>
                <w:i/>
                <w:vertAlign w:val="subscript"/>
              </w:rPr>
              <w:t>d</w:t>
            </w:r>
            <w:r>
              <w:rPr>
                <w:i/>
                <w:vertAlign w:val="subscript"/>
              </w:rPr>
              <w:t>, p, c</w:t>
            </w:r>
            <w:r w:rsidRPr="00921C84">
              <w:t>)</w:t>
            </w:r>
            <w:r>
              <w:t xml:space="preserve">, </w:t>
            </w:r>
            <w:r>
              <w:rPr>
                <w:i/>
              </w:rPr>
              <w:t>BTCF</w:t>
            </w:r>
            <w:r>
              <w:t xml:space="preserve"> *   </w:t>
            </w:r>
            <w:r w:rsidR="00122AC9">
              <w:t xml:space="preserve"> </w:t>
            </w:r>
            <w:r>
              <w:t xml:space="preserve">  </w:t>
            </w:r>
            <w:r w:rsidRPr="00BE4766">
              <w:rPr>
                <w:b/>
                <w:position w:val="-20"/>
              </w:rPr>
              <w:object w:dxaOrig="225" w:dyaOrig="420" w14:anchorId="047E37C8">
                <v:shape id="_x0000_i1026" type="#_x0000_t75" style="width:14.4pt;height:22.8pt" o:ole="">
                  <v:imagedata r:id="rId17" o:title=""/>
                </v:shape>
                <o:OLEObject Type="Embed" ProgID="Equation.3" ShapeID="_x0000_i1026" DrawAspect="Content" ObjectID="_1775294572" r:id="rId19"/>
              </w:object>
            </w:r>
            <w:r>
              <w:t xml:space="preserve">(RTQQES </w:t>
            </w:r>
            <w:r>
              <w:rPr>
                <w:i/>
                <w:vertAlign w:val="subscript"/>
              </w:rPr>
              <w:t>i, od, p, c</w:t>
            </w:r>
            <w:r>
              <w:t xml:space="preserve"> – RTQQEP </w:t>
            </w:r>
            <w:r>
              <w:rPr>
                <w:i/>
                <w:vertAlign w:val="subscript"/>
              </w:rPr>
              <w:t>i, od, p, c</w:t>
            </w:r>
            <w:r>
              <w:t>)]</w:t>
            </w:r>
            <w:r w:rsidRPr="00142152">
              <w:t xml:space="preserve"> * RTSPP </w:t>
            </w:r>
            <w:r w:rsidRPr="00D77426">
              <w:rPr>
                <w:i/>
                <w:vertAlign w:val="subscript"/>
              </w:rPr>
              <w:t>i</w:t>
            </w:r>
            <w:r>
              <w:rPr>
                <w:i/>
                <w:vertAlign w:val="subscript"/>
              </w:rPr>
              <w:t>, o</w:t>
            </w:r>
            <w:r w:rsidRPr="00D77426">
              <w:rPr>
                <w:i/>
                <w:vertAlign w:val="subscript"/>
              </w:rPr>
              <w:t>d</w:t>
            </w:r>
            <w:r>
              <w:rPr>
                <w:i/>
                <w:vertAlign w:val="subscript"/>
              </w:rPr>
              <w:t>, p</w:t>
            </w:r>
          </w:p>
          <w:p w14:paraId="31378DC9" w14:textId="77777777" w:rsidR="002D0D49" w:rsidRPr="00142152" w:rsidRDefault="002D0D49" w:rsidP="0031595F">
            <w:pPr>
              <w:pStyle w:val="TableBody"/>
              <w:ind w:left="293"/>
              <w:rPr>
                <w:b/>
              </w:rPr>
            </w:pPr>
          </w:p>
          <w:p w14:paraId="3B4719CF" w14:textId="77777777" w:rsidR="002D0D49" w:rsidRPr="00142152" w:rsidRDefault="002D0D49" w:rsidP="0031595F">
            <w:pPr>
              <w:pStyle w:val="TableBody"/>
              <w:ind w:left="1402" w:hanging="1170"/>
              <w:rPr>
                <w:color w:val="000000"/>
              </w:rPr>
            </w:pPr>
            <w:r w:rsidRPr="00142152">
              <w:rPr>
                <w:color w:val="000000"/>
              </w:rPr>
              <w:t>DARTNET</w:t>
            </w:r>
            <w:r w:rsidRPr="00B0223E">
              <w:rPr>
                <w:i/>
                <w:vertAlign w:val="subscript"/>
              </w:rPr>
              <w:t xml:space="preserve"> i</w:t>
            </w:r>
            <w:r>
              <w:rPr>
                <w:i/>
                <w:vertAlign w:val="subscript"/>
              </w:rPr>
              <w:t>, o</w:t>
            </w:r>
            <w:r w:rsidRPr="00B0223E">
              <w:rPr>
                <w:i/>
                <w:vertAlign w:val="subscript"/>
              </w:rPr>
              <w:t>d</w:t>
            </w:r>
            <w:r>
              <w:rPr>
                <w:i/>
                <w:vertAlign w:val="subscript"/>
              </w:rPr>
              <w:t xml:space="preserve">, p </w:t>
            </w:r>
            <w:r w:rsidRPr="00142152">
              <w:rPr>
                <w:color w:val="000000"/>
              </w:rPr>
              <w:t xml:space="preserve"> = DAM EOO </w:t>
            </w:r>
            <w:r w:rsidRPr="001E41FD">
              <w:rPr>
                <w:color w:val="000000"/>
              </w:rPr>
              <w:t>Cleared</w:t>
            </w:r>
            <w:r w:rsidRPr="00B0223E">
              <w:rPr>
                <w:i/>
                <w:vertAlign w:val="subscript"/>
              </w:rPr>
              <w:t xml:space="preserve"> i</w:t>
            </w:r>
            <w:r>
              <w:rPr>
                <w:i/>
                <w:vertAlign w:val="subscript"/>
              </w:rPr>
              <w:t>, o</w:t>
            </w:r>
            <w:r w:rsidRPr="00B0223E">
              <w:rPr>
                <w:i/>
                <w:vertAlign w:val="subscript"/>
              </w:rPr>
              <w:t>d</w:t>
            </w:r>
            <w:r>
              <w:rPr>
                <w:i/>
                <w:vertAlign w:val="subscript"/>
              </w:rPr>
              <w:t>, p</w:t>
            </w:r>
            <w:r w:rsidRPr="00142152">
              <w:rPr>
                <w:i/>
              </w:rPr>
              <w:t xml:space="preserve"> </w:t>
            </w:r>
            <w:r w:rsidRPr="00142152">
              <w:rPr>
                <w:color w:val="000000"/>
              </w:rPr>
              <w:t>* DART</w:t>
            </w:r>
            <w:r w:rsidRPr="00B0223E">
              <w:rPr>
                <w:i/>
                <w:vertAlign w:val="subscript"/>
              </w:rPr>
              <w:t xml:space="preserve"> i</w:t>
            </w:r>
            <w:r>
              <w:rPr>
                <w:i/>
                <w:vertAlign w:val="subscript"/>
              </w:rPr>
              <w:t>, o</w:t>
            </w:r>
            <w:r w:rsidRPr="00B0223E">
              <w:rPr>
                <w:i/>
                <w:vertAlign w:val="subscript"/>
              </w:rPr>
              <w:t>d</w:t>
            </w:r>
            <w:r>
              <w:rPr>
                <w:i/>
                <w:vertAlign w:val="subscript"/>
              </w:rPr>
              <w:t>, p</w:t>
            </w:r>
            <w:r w:rsidRPr="00142152">
              <w:rPr>
                <w:vertAlign w:val="subscript"/>
              </w:rPr>
              <w:t xml:space="preserve"> </w:t>
            </w:r>
            <w:r w:rsidRPr="00142152">
              <w:rPr>
                <w:color w:val="000000"/>
              </w:rPr>
              <w:t xml:space="preserve">+ DAM TPO </w:t>
            </w:r>
            <w:r w:rsidRPr="001E41FD">
              <w:rPr>
                <w:color w:val="000000"/>
              </w:rPr>
              <w:t>Cleared</w:t>
            </w:r>
            <w:r w:rsidRPr="00B0223E">
              <w:rPr>
                <w:i/>
                <w:vertAlign w:val="subscript"/>
              </w:rPr>
              <w:t xml:space="preserve"> i</w:t>
            </w:r>
            <w:r>
              <w:rPr>
                <w:i/>
                <w:vertAlign w:val="subscript"/>
              </w:rPr>
              <w:t>, o</w:t>
            </w:r>
            <w:r w:rsidRPr="00B0223E">
              <w:rPr>
                <w:i/>
                <w:vertAlign w:val="subscript"/>
              </w:rPr>
              <w:t>d</w:t>
            </w:r>
            <w:r>
              <w:rPr>
                <w:i/>
                <w:vertAlign w:val="subscript"/>
              </w:rPr>
              <w:t>, p</w:t>
            </w:r>
            <w:r w:rsidRPr="00142152">
              <w:rPr>
                <w:i/>
              </w:rPr>
              <w:t xml:space="preserve"> </w:t>
            </w:r>
            <w:r w:rsidRPr="00142152">
              <w:rPr>
                <w:color w:val="000000"/>
              </w:rPr>
              <w:t>* DART</w:t>
            </w:r>
            <w:r w:rsidRPr="00B0223E">
              <w:rPr>
                <w:i/>
                <w:vertAlign w:val="subscript"/>
              </w:rPr>
              <w:t xml:space="preserve"> i</w:t>
            </w:r>
            <w:r>
              <w:rPr>
                <w:i/>
                <w:vertAlign w:val="subscript"/>
              </w:rPr>
              <w:t>, o</w:t>
            </w:r>
            <w:r w:rsidRPr="00B0223E">
              <w:rPr>
                <w:i/>
                <w:vertAlign w:val="subscript"/>
              </w:rPr>
              <w:t>d</w:t>
            </w:r>
            <w:r>
              <w:rPr>
                <w:i/>
                <w:vertAlign w:val="subscript"/>
              </w:rPr>
              <w:t>, p</w:t>
            </w:r>
            <w:r w:rsidRPr="00142152">
              <w:rPr>
                <w:color w:val="000000"/>
              </w:rPr>
              <w:t xml:space="preserve"> + DAM PTP </w:t>
            </w:r>
            <w:r w:rsidRPr="001E41FD">
              <w:rPr>
                <w:color w:val="000000"/>
              </w:rPr>
              <w:t>Cleared</w:t>
            </w:r>
            <w:r w:rsidRPr="00B0223E">
              <w:rPr>
                <w:i/>
                <w:vertAlign w:val="subscript"/>
              </w:rPr>
              <w:t xml:space="preserve"> i</w:t>
            </w:r>
            <w:r>
              <w:rPr>
                <w:i/>
                <w:vertAlign w:val="subscript"/>
              </w:rPr>
              <w:t>, o</w:t>
            </w:r>
            <w:r w:rsidRPr="00B0223E">
              <w:rPr>
                <w:i/>
                <w:vertAlign w:val="subscript"/>
              </w:rPr>
              <w:t>d</w:t>
            </w:r>
            <w:r>
              <w:rPr>
                <w:i/>
                <w:vertAlign w:val="subscript"/>
              </w:rPr>
              <w:t>, p</w:t>
            </w:r>
            <w:r w:rsidRPr="00142152">
              <w:rPr>
                <w:i/>
              </w:rPr>
              <w:t xml:space="preserve"> </w:t>
            </w:r>
            <w:r w:rsidRPr="00142152">
              <w:rPr>
                <w:color w:val="000000"/>
              </w:rPr>
              <w:t>* DARTPTP</w:t>
            </w:r>
            <w:r w:rsidRPr="00B0223E">
              <w:rPr>
                <w:i/>
                <w:vertAlign w:val="subscript"/>
              </w:rPr>
              <w:t xml:space="preserve"> i</w:t>
            </w:r>
            <w:r>
              <w:rPr>
                <w:i/>
                <w:vertAlign w:val="subscript"/>
              </w:rPr>
              <w:t>, o</w:t>
            </w:r>
            <w:r w:rsidRPr="00B0223E">
              <w:rPr>
                <w:i/>
                <w:vertAlign w:val="subscript"/>
              </w:rPr>
              <w:t>d</w:t>
            </w:r>
            <w:r>
              <w:rPr>
                <w:i/>
                <w:vertAlign w:val="subscript"/>
              </w:rPr>
              <w:t>, p</w:t>
            </w:r>
            <w:r w:rsidRPr="00142152">
              <w:rPr>
                <w:vertAlign w:val="subscript"/>
              </w:rPr>
              <w:t xml:space="preserve"> </w:t>
            </w:r>
            <w:r w:rsidRPr="00142152">
              <w:rPr>
                <w:color w:val="000000"/>
              </w:rPr>
              <w:t xml:space="preserve">– DAM EOB </w:t>
            </w:r>
            <w:r w:rsidRPr="001E41FD">
              <w:rPr>
                <w:color w:val="000000"/>
              </w:rPr>
              <w:t>Cleared</w:t>
            </w:r>
            <w:r w:rsidRPr="00B0223E">
              <w:rPr>
                <w:i/>
                <w:vertAlign w:val="subscript"/>
              </w:rPr>
              <w:t xml:space="preserve"> i</w:t>
            </w:r>
            <w:r>
              <w:rPr>
                <w:i/>
                <w:vertAlign w:val="subscript"/>
              </w:rPr>
              <w:t>, o</w:t>
            </w:r>
            <w:r w:rsidRPr="00B0223E">
              <w:rPr>
                <w:i/>
                <w:vertAlign w:val="subscript"/>
              </w:rPr>
              <w:t>d</w:t>
            </w:r>
            <w:r>
              <w:rPr>
                <w:i/>
                <w:vertAlign w:val="subscript"/>
              </w:rPr>
              <w:t>, p</w:t>
            </w:r>
            <w:r w:rsidRPr="00142152">
              <w:rPr>
                <w:i/>
              </w:rPr>
              <w:t xml:space="preserve"> </w:t>
            </w:r>
            <w:r w:rsidRPr="00142152">
              <w:rPr>
                <w:color w:val="000000"/>
              </w:rPr>
              <w:t>* DART</w:t>
            </w:r>
            <w:r w:rsidRPr="00B0223E">
              <w:rPr>
                <w:i/>
                <w:vertAlign w:val="subscript"/>
              </w:rPr>
              <w:t xml:space="preserve"> i</w:t>
            </w:r>
            <w:r>
              <w:rPr>
                <w:i/>
                <w:vertAlign w:val="subscript"/>
              </w:rPr>
              <w:t>, o</w:t>
            </w:r>
            <w:r w:rsidRPr="00B0223E">
              <w:rPr>
                <w:i/>
                <w:vertAlign w:val="subscript"/>
              </w:rPr>
              <w:t>d</w:t>
            </w:r>
            <w:r>
              <w:rPr>
                <w:i/>
                <w:vertAlign w:val="subscript"/>
              </w:rPr>
              <w:t>, p</w:t>
            </w:r>
            <w:r w:rsidRPr="00142152">
              <w:rPr>
                <w:color w:val="000000"/>
              </w:rPr>
              <w:t xml:space="preserve"> </w:t>
            </w:r>
          </w:p>
          <w:p w14:paraId="31B5E01C" w14:textId="77777777" w:rsidR="002D0D49" w:rsidRDefault="002D0D49" w:rsidP="0031595F">
            <w:pPr>
              <w:pStyle w:val="TableBody"/>
              <w:keepNext/>
              <w:tabs>
                <w:tab w:val="left" w:pos="1728"/>
                <w:tab w:val="center" w:pos="4536"/>
                <w:tab w:val="right" w:pos="9360"/>
              </w:tabs>
              <w:spacing w:before="240"/>
              <w:ind w:left="1733" w:hanging="1440"/>
              <w:outlineLvl w:val="6"/>
              <w:rPr>
                <w:iCs w:val="0"/>
              </w:rPr>
            </w:pPr>
            <w:r w:rsidRPr="00403872">
              <w:rPr>
                <w:iCs w:val="0"/>
              </w:rPr>
              <w:lastRenderedPageBreak/>
              <w:t>Where:</w:t>
            </w:r>
          </w:p>
          <w:p w14:paraId="296357B5" w14:textId="77777777" w:rsidR="002D0D49" w:rsidRDefault="002D0D49" w:rsidP="0031595F">
            <w:pPr>
              <w:pStyle w:val="TableBody"/>
              <w:keepNext/>
              <w:tabs>
                <w:tab w:val="left" w:pos="1728"/>
                <w:tab w:val="center" w:pos="4536"/>
                <w:tab w:val="right" w:pos="9360"/>
              </w:tabs>
              <w:spacing w:before="240"/>
              <w:ind w:left="1733" w:hanging="1440"/>
              <w:outlineLvl w:val="6"/>
              <w:rPr>
                <w:rFonts w:ascii="Cambria" w:hAnsi="Cambria"/>
                <w:color w:val="404040"/>
              </w:rPr>
            </w:pPr>
            <w:r w:rsidRPr="00BE4766">
              <w:t>G</w:t>
            </w:r>
            <w:r w:rsidRPr="00B0223E">
              <w:rPr>
                <w:i/>
                <w:vertAlign w:val="subscript"/>
              </w:rPr>
              <w:t xml:space="preserve"> i</w:t>
            </w:r>
            <w:r>
              <w:rPr>
                <w:i/>
                <w:vertAlign w:val="subscript"/>
              </w:rPr>
              <w:t>, o</w:t>
            </w:r>
            <w:r w:rsidRPr="00B0223E">
              <w:rPr>
                <w:i/>
                <w:vertAlign w:val="subscript"/>
              </w:rPr>
              <w:t>d</w:t>
            </w:r>
            <w:r>
              <w:rPr>
                <w:i/>
                <w:vertAlign w:val="subscript"/>
              </w:rPr>
              <w:t>, p</w:t>
            </w:r>
            <w:r w:rsidRPr="00BE4766">
              <w:t xml:space="preserve"> = </w:t>
            </w:r>
            <w:r w:rsidRPr="00BE4766">
              <w:tab/>
            </w:r>
            <w:r w:rsidRPr="00BE4766">
              <w:rPr>
                <w:i/>
              </w:rPr>
              <w:t>Total Metered Generation at all Resource Nodes</w:t>
            </w:r>
            <w:r w:rsidRPr="00BE4766">
              <w:t xml:space="preserve"> for </w:t>
            </w:r>
            <w:r>
              <w:t xml:space="preserve">the </w:t>
            </w:r>
            <w:r w:rsidRPr="00BE4766">
              <w:t xml:space="preserve">Counter-Party for interval </w:t>
            </w:r>
            <w:r w:rsidRPr="00BE4766">
              <w:rPr>
                <w:i/>
              </w:rPr>
              <w:t>i</w:t>
            </w:r>
            <w:r w:rsidRPr="00BE4766">
              <w:t xml:space="preserve"> for </w:t>
            </w:r>
            <w:r>
              <w:t>Operating Day</w:t>
            </w:r>
            <w:r w:rsidRPr="00BE4766">
              <w:t xml:space="preserve"> </w:t>
            </w:r>
            <w:r w:rsidRPr="00AB68CC">
              <w:rPr>
                <w:i/>
              </w:rPr>
              <w:t>o</w:t>
            </w:r>
            <w:r w:rsidRPr="00BE4766">
              <w:rPr>
                <w:i/>
              </w:rPr>
              <w:t xml:space="preserve">d </w:t>
            </w:r>
            <w:r w:rsidRPr="00BE4766">
              <w:t xml:space="preserve">at Settlement Point </w:t>
            </w:r>
            <w:r>
              <w:rPr>
                <w:i/>
              </w:rPr>
              <w:t>p</w:t>
            </w:r>
          </w:p>
          <w:p w14:paraId="632883CF" w14:textId="77777777" w:rsidR="002D0D49" w:rsidRPr="00BE4766" w:rsidRDefault="002D0D49" w:rsidP="0031595F">
            <w:pPr>
              <w:pStyle w:val="TableBody"/>
              <w:tabs>
                <w:tab w:val="right" w:pos="9360"/>
              </w:tabs>
              <w:ind w:left="1733" w:hanging="1440"/>
              <w:rPr>
                <w:rFonts w:ascii="Cambria" w:hAnsi="Cambria"/>
                <w:i/>
                <w:color w:val="404040"/>
              </w:rPr>
            </w:pPr>
            <w:r w:rsidRPr="00BE4766">
              <w:t>L</w:t>
            </w:r>
            <w:r w:rsidRPr="00B0223E">
              <w:rPr>
                <w:i/>
                <w:vertAlign w:val="subscript"/>
              </w:rPr>
              <w:t xml:space="preserve"> i</w:t>
            </w:r>
            <w:r>
              <w:rPr>
                <w:i/>
                <w:vertAlign w:val="subscript"/>
              </w:rPr>
              <w:t>, o</w:t>
            </w:r>
            <w:r w:rsidRPr="00B0223E">
              <w:rPr>
                <w:i/>
                <w:vertAlign w:val="subscript"/>
              </w:rPr>
              <w:t>d</w:t>
            </w:r>
            <w:r>
              <w:rPr>
                <w:i/>
                <w:vertAlign w:val="subscript"/>
              </w:rPr>
              <w:t>, p</w:t>
            </w:r>
            <w:r w:rsidRPr="00BE4766">
              <w:t xml:space="preserve"> = </w:t>
            </w:r>
            <w:r w:rsidRPr="00BE4766">
              <w:tab/>
            </w:r>
            <w:r w:rsidRPr="00BE4766">
              <w:rPr>
                <w:i/>
              </w:rPr>
              <w:t>Total Adjusted Metered Load (AML) at all Load Zones</w:t>
            </w:r>
            <w:r w:rsidRPr="00BE4766">
              <w:t xml:space="preserve"> for </w:t>
            </w:r>
            <w:r>
              <w:t xml:space="preserve">the </w:t>
            </w:r>
            <w:r w:rsidRPr="00BE4766">
              <w:t xml:space="preserve">Counter-Party for interval </w:t>
            </w:r>
            <w:r w:rsidRPr="00BE4766">
              <w:rPr>
                <w:i/>
              </w:rPr>
              <w:t>i</w:t>
            </w:r>
            <w:r w:rsidRPr="00BE4766">
              <w:t xml:space="preserve"> for </w:t>
            </w:r>
            <w:r>
              <w:t>Operating Day</w:t>
            </w:r>
            <w:r w:rsidRPr="00BE4766">
              <w:t xml:space="preserve"> </w:t>
            </w:r>
            <w:r w:rsidRPr="00AB68CC">
              <w:rPr>
                <w:i/>
              </w:rPr>
              <w:t>o</w:t>
            </w:r>
            <w:r w:rsidRPr="00BE4766">
              <w:rPr>
                <w:i/>
              </w:rPr>
              <w:t>d</w:t>
            </w:r>
            <w:r w:rsidRPr="00BE4766">
              <w:t xml:space="preserve"> at Settlement Point </w:t>
            </w:r>
            <w:r>
              <w:rPr>
                <w:i/>
              </w:rPr>
              <w:t>p</w:t>
            </w:r>
          </w:p>
          <w:p w14:paraId="245579DD" w14:textId="1778F64D" w:rsidR="002D0D49" w:rsidRPr="007B39E8" w:rsidRDefault="002D0D49" w:rsidP="0031595F">
            <w:pPr>
              <w:pStyle w:val="TableBody"/>
              <w:tabs>
                <w:tab w:val="right" w:pos="9360"/>
              </w:tabs>
              <w:ind w:left="1733" w:hanging="1440"/>
            </w:pPr>
            <w:r w:rsidRPr="00A549C5">
              <w:rPr>
                <w:iCs w:val="0"/>
              </w:rPr>
              <w:t xml:space="preserve">MAF = </w:t>
            </w:r>
            <w:r w:rsidRPr="00A549C5">
              <w:rPr>
                <w:iCs w:val="0"/>
              </w:rPr>
              <w:tab/>
            </w:r>
            <w:r w:rsidRPr="00A549C5">
              <w:rPr>
                <w:i/>
                <w:iCs w:val="0"/>
              </w:rPr>
              <w:t>Market Adjustment Factor</w:t>
            </w:r>
            <w:r w:rsidRPr="00A549C5">
              <w:t>—</w:t>
            </w:r>
            <w:r w:rsidRPr="00A549C5">
              <w:rPr>
                <w:iCs w:val="0"/>
              </w:rPr>
              <w:t>Used to provide for the potential for overall price increases based on changes to ERCOT market rules</w:t>
            </w:r>
            <w:r>
              <w:rPr>
                <w:iCs w:val="0"/>
              </w:rPr>
              <w:t xml:space="preserve"> or market conditions</w:t>
            </w:r>
            <w:r w:rsidRPr="00A549C5">
              <w:rPr>
                <w:iCs w:val="0"/>
              </w:rPr>
              <w:t xml:space="preserve">.  </w:t>
            </w:r>
            <w:r>
              <w:rPr>
                <w:iCs w:val="0"/>
              </w:rPr>
              <w:t xml:space="preserve">This factor shall not be set below 100%.  Revisions to this factor will be recommended by </w:t>
            </w:r>
            <w:r w:rsidR="00081A43">
              <w:rPr>
                <w:iCs w:val="0"/>
              </w:rPr>
              <w:t>the Technical Advisory Committee (</w:t>
            </w:r>
            <w:r>
              <w:rPr>
                <w:iCs w:val="0"/>
              </w:rPr>
              <w:t>TAC</w:t>
            </w:r>
            <w:r w:rsidR="00081A43">
              <w:rPr>
                <w:iCs w:val="0"/>
              </w:rPr>
              <w:t>)</w:t>
            </w:r>
            <w:r>
              <w:rPr>
                <w:iCs w:val="0"/>
              </w:rPr>
              <w:t xml:space="preserve"> and the ERCOT Finance and Audit (F&amp;A) Committee, and approved by the ERCOT Board.  Such revisions shall be implemented on the 45th calendar day following ERCOT Board approval unless otherwise directed by the ERCOT Board.</w:t>
            </w:r>
          </w:p>
          <w:p w14:paraId="7E30C8B5" w14:textId="531B089A" w:rsidR="002D0D49" w:rsidRDefault="002D0D49" w:rsidP="0031595F">
            <w:pPr>
              <w:pStyle w:val="TableBody"/>
              <w:tabs>
                <w:tab w:val="right" w:pos="9360"/>
              </w:tabs>
              <w:ind w:left="1733" w:hanging="1440"/>
            </w:pPr>
            <w:r w:rsidRPr="00142152">
              <w:rPr>
                <w:i/>
              </w:rPr>
              <w:t>NUCADJ</w:t>
            </w:r>
            <w:r w:rsidRPr="00142152">
              <w:rPr>
                <w:vertAlign w:val="subscript"/>
              </w:rPr>
              <w:t xml:space="preserve"> </w:t>
            </w:r>
            <w:r w:rsidRPr="00142152">
              <w:t xml:space="preserve">= </w:t>
            </w:r>
            <w:r w:rsidRPr="00142152">
              <w:tab/>
            </w:r>
            <w:r w:rsidRPr="00142152">
              <w:rPr>
                <w:i/>
                <w:iCs w:val="0"/>
              </w:rPr>
              <w:t xml:space="preserve">Net Unit Contingent </w:t>
            </w:r>
            <w:r w:rsidRPr="00BE4766">
              <w:rPr>
                <w:i/>
                <w:iCs w:val="0"/>
              </w:rPr>
              <w:t>Adjustment</w:t>
            </w:r>
            <w:r w:rsidRPr="00BE4766">
              <w:t>—</w:t>
            </w:r>
            <w:r w:rsidRPr="00142152">
              <w:t xml:space="preserve">To </w:t>
            </w:r>
            <w:r w:rsidRPr="001E41FD">
              <w:rPr>
                <w:iCs w:val="0"/>
              </w:rPr>
              <w:t>allow</w:t>
            </w:r>
            <w:r w:rsidRPr="00142152">
              <w:t xml:space="preserve"> for situations </w:t>
            </w:r>
            <w:r w:rsidRPr="001E41FD">
              <w:t>where</w:t>
            </w:r>
            <w:r w:rsidRPr="00142152">
              <w:t xml:space="preserve"> a </w:t>
            </w:r>
            <w:r w:rsidRPr="001E41FD">
              <w:t>generator may unintentionally</w:t>
            </w:r>
            <w:r w:rsidRPr="00142152">
              <w:t xml:space="preserve"> or </w:t>
            </w:r>
            <w:r w:rsidRPr="001E41FD">
              <w:t>intentionally meet its requirement from</w:t>
            </w:r>
            <w:r w:rsidRPr="00142152">
              <w:t xml:space="preserve"> the Real-Time Market (RTM)</w:t>
            </w:r>
          </w:p>
          <w:p w14:paraId="3090B527" w14:textId="77777777" w:rsidR="002D0D49" w:rsidRPr="00BE4766" w:rsidRDefault="002D0D49" w:rsidP="0031595F">
            <w:pPr>
              <w:pStyle w:val="TableBody"/>
              <w:tabs>
                <w:tab w:val="right" w:pos="9360"/>
              </w:tabs>
              <w:ind w:left="1733" w:hanging="1440"/>
            </w:pPr>
            <w:r w:rsidRPr="00BE4766">
              <w:t>RTQQNET</w:t>
            </w:r>
            <w:r>
              <w:rPr>
                <w:i/>
                <w:vertAlign w:val="subscript"/>
              </w:rPr>
              <w:t xml:space="preserve"> </w:t>
            </w:r>
            <w:r w:rsidRPr="00B0223E">
              <w:rPr>
                <w:i/>
                <w:vertAlign w:val="subscript"/>
              </w:rPr>
              <w:t>i</w:t>
            </w:r>
            <w:r>
              <w:rPr>
                <w:i/>
                <w:vertAlign w:val="subscript"/>
              </w:rPr>
              <w:t>, o</w:t>
            </w:r>
            <w:r w:rsidRPr="00B0223E">
              <w:rPr>
                <w:i/>
                <w:vertAlign w:val="subscript"/>
              </w:rPr>
              <w:t>d</w:t>
            </w:r>
            <w:r>
              <w:rPr>
                <w:i/>
                <w:vertAlign w:val="subscript"/>
              </w:rPr>
              <w:t xml:space="preserve">, p </w:t>
            </w:r>
            <w:r w:rsidRPr="00BE4766">
              <w:t>=</w:t>
            </w:r>
            <w:r>
              <w:t xml:space="preserve"> </w:t>
            </w:r>
            <w:r w:rsidRPr="00BE4766">
              <w:rPr>
                <w:i/>
              </w:rPr>
              <w:t xml:space="preserve">Net QSE-to-QSE Energy </w:t>
            </w:r>
            <w:r>
              <w:rPr>
                <w:i/>
              </w:rPr>
              <w:t>Trades</w:t>
            </w:r>
            <w:r w:rsidRPr="00BE4766">
              <w:t xml:space="preserve"> for </w:t>
            </w:r>
            <w:r>
              <w:t xml:space="preserve">the </w:t>
            </w:r>
            <w:r w:rsidRPr="00BE4766">
              <w:t xml:space="preserve">Counter-Party for interval </w:t>
            </w:r>
            <w:r w:rsidRPr="00BE4766">
              <w:rPr>
                <w:i/>
              </w:rPr>
              <w:t>i</w:t>
            </w:r>
            <w:r w:rsidRPr="00BE4766">
              <w:t xml:space="preserve"> for </w:t>
            </w:r>
            <w:r>
              <w:t>Operating Day</w:t>
            </w:r>
            <w:r w:rsidRPr="00BE4766">
              <w:t xml:space="preserve"> </w:t>
            </w:r>
            <w:r w:rsidRPr="00AB68CC">
              <w:rPr>
                <w:i/>
              </w:rPr>
              <w:t>o</w:t>
            </w:r>
            <w:r w:rsidRPr="00BE4766">
              <w:rPr>
                <w:i/>
              </w:rPr>
              <w:t>d</w:t>
            </w:r>
            <w:r w:rsidRPr="00BE4766">
              <w:t xml:space="preserve"> at Settlement Point </w:t>
            </w:r>
            <w:r>
              <w:rPr>
                <w:i/>
              </w:rPr>
              <w:t>p</w:t>
            </w:r>
          </w:p>
          <w:p w14:paraId="3A825423" w14:textId="77777777" w:rsidR="002D0D49" w:rsidRPr="00BE4766" w:rsidRDefault="002D0D49" w:rsidP="0031595F">
            <w:pPr>
              <w:pStyle w:val="TableBody"/>
              <w:tabs>
                <w:tab w:val="right" w:pos="9360"/>
              </w:tabs>
              <w:ind w:left="1733" w:hanging="1440"/>
            </w:pPr>
            <w:r w:rsidRPr="00BE4766">
              <w:t>RTQQES</w:t>
            </w:r>
            <w:r w:rsidRPr="00B0223E">
              <w:rPr>
                <w:i/>
                <w:vertAlign w:val="subscript"/>
              </w:rPr>
              <w:t xml:space="preserve"> i</w:t>
            </w:r>
            <w:r>
              <w:rPr>
                <w:i/>
                <w:vertAlign w:val="subscript"/>
              </w:rPr>
              <w:t>, o</w:t>
            </w:r>
            <w:r w:rsidRPr="00B0223E">
              <w:rPr>
                <w:i/>
                <w:vertAlign w:val="subscript"/>
              </w:rPr>
              <w:t>d</w:t>
            </w:r>
            <w:r>
              <w:rPr>
                <w:i/>
                <w:vertAlign w:val="subscript"/>
              </w:rPr>
              <w:t xml:space="preserve">, p, </w:t>
            </w:r>
            <w:r w:rsidRPr="00B0223E">
              <w:rPr>
                <w:i/>
                <w:vertAlign w:val="subscript"/>
              </w:rPr>
              <w:t>c</w:t>
            </w:r>
            <w:r w:rsidRPr="00BE4766">
              <w:t xml:space="preserve"> = </w:t>
            </w:r>
            <w:r w:rsidRPr="00BE4766">
              <w:rPr>
                <w:i/>
              </w:rPr>
              <w:t xml:space="preserve">QSE Energy Trades </w:t>
            </w:r>
            <w:r w:rsidRPr="00BE4766">
              <w:t xml:space="preserve">for which the Counter-Party is the seller for interval </w:t>
            </w:r>
            <w:r w:rsidRPr="00BE4766">
              <w:rPr>
                <w:i/>
              </w:rPr>
              <w:t>i</w:t>
            </w:r>
            <w:r w:rsidRPr="00BE4766">
              <w:t xml:space="preserve"> for </w:t>
            </w:r>
            <w:r>
              <w:t xml:space="preserve">Operating Day </w:t>
            </w:r>
            <w:r w:rsidRPr="00AB68CC">
              <w:rPr>
                <w:i/>
              </w:rPr>
              <w:t>o</w:t>
            </w:r>
            <w:r w:rsidRPr="00BE4766">
              <w:rPr>
                <w:i/>
              </w:rPr>
              <w:t>d</w:t>
            </w:r>
            <w:r w:rsidRPr="00BE4766">
              <w:t xml:space="preserve"> at Settlement Point </w:t>
            </w:r>
            <w:r>
              <w:rPr>
                <w:i/>
              </w:rPr>
              <w:t>p</w:t>
            </w:r>
            <w:r w:rsidRPr="00BE4766">
              <w:t xml:space="preserve"> with Counter-Party </w:t>
            </w:r>
            <w:r w:rsidRPr="00BE4766">
              <w:rPr>
                <w:i/>
              </w:rPr>
              <w:t>c</w:t>
            </w:r>
          </w:p>
          <w:p w14:paraId="34E29AAF" w14:textId="4F25D1D0" w:rsidR="002D0D49" w:rsidRPr="00BE4766" w:rsidRDefault="002D0D49" w:rsidP="0031595F">
            <w:pPr>
              <w:pStyle w:val="TableBody"/>
              <w:tabs>
                <w:tab w:val="right" w:pos="9360"/>
              </w:tabs>
              <w:ind w:left="1733" w:hanging="1440"/>
            </w:pPr>
            <w:r w:rsidRPr="00BE4766">
              <w:t>RTQQEP</w:t>
            </w:r>
            <w:r w:rsidRPr="00B0223E">
              <w:rPr>
                <w:i/>
                <w:vertAlign w:val="subscript"/>
              </w:rPr>
              <w:t xml:space="preserve"> i</w:t>
            </w:r>
            <w:r>
              <w:rPr>
                <w:i/>
                <w:vertAlign w:val="subscript"/>
              </w:rPr>
              <w:t>, o</w:t>
            </w:r>
            <w:r w:rsidRPr="00B0223E">
              <w:rPr>
                <w:i/>
                <w:vertAlign w:val="subscript"/>
              </w:rPr>
              <w:t>d</w:t>
            </w:r>
            <w:r>
              <w:rPr>
                <w:i/>
                <w:vertAlign w:val="subscript"/>
              </w:rPr>
              <w:t xml:space="preserve">, p, </w:t>
            </w:r>
            <w:r w:rsidRPr="00B0223E">
              <w:rPr>
                <w:i/>
                <w:vertAlign w:val="subscript"/>
              </w:rPr>
              <w:t>c</w:t>
            </w:r>
            <w:r w:rsidRPr="00BE4766">
              <w:t xml:space="preserve"> = </w:t>
            </w:r>
            <w:r w:rsidRPr="00BE4766">
              <w:rPr>
                <w:i/>
              </w:rPr>
              <w:t xml:space="preserve">QSE Energy Trades </w:t>
            </w:r>
            <w:r w:rsidRPr="00BE4766">
              <w:t>for which the Counter-Party is</w:t>
            </w:r>
            <w:r>
              <w:t xml:space="preserve"> </w:t>
            </w:r>
            <w:r w:rsidRPr="00BE4766">
              <w:t xml:space="preserve">the buyer for interval </w:t>
            </w:r>
            <w:r w:rsidRPr="00BE4766">
              <w:rPr>
                <w:i/>
              </w:rPr>
              <w:t>i</w:t>
            </w:r>
            <w:r w:rsidRPr="00BE4766">
              <w:t xml:space="preserve"> for </w:t>
            </w:r>
            <w:r>
              <w:t>Operating Day</w:t>
            </w:r>
            <w:r w:rsidRPr="00BE4766">
              <w:t xml:space="preserve"> </w:t>
            </w:r>
            <w:r w:rsidRPr="00AB68CC">
              <w:rPr>
                <w:i/>
              </w:rPr>
              <w:t>o</w:t>
            </w:r>
            <w:r w:rsidRPr="00BE4766">
              <w:rPr>
                <w:i/>
              </w:rPr>
              <w:t>d</w:t>
            </w:r>
            <w:r w:rsidRPr="00BE4766">
              <w:t xml:space="preserve"> at Settlement Point </w:t>
            </w:r>
            <w:r>
              <w:rPr>
                <w:i/>
              </w:rPr>
              <w:t>p</w:t>
            </w:r>
            <w:r w:rsidRPr="00BE4766">
              <w:t xml:space="preserve"> with Counter-Party </w:t>
            </w:r>
            <w:r w:rsidRPr="00BE4766">
              <w:rPr>
                <w:i/>
              </w:rPr>
              <w:t>c</w:t>
            </w:r>
          </w:p>
          <w:p w14:paraId="7454E87D" w14:textId="77777777" w:rsidR="002D0D49" w:rsidRPr="00921C84" w:rsidRDefault="002D0D49" w:rsidP="0031595F">
            <w:pPr>
              <w:pStyle w:val="TableBody"/>
              <w:tabs>
                <w:tab w:val="right" w:pos="9360"/>
              </w:tabs>
              <w:ind w:left="1733" w:hanging="1440"/>
              <w:rPr>
                <w:i/>
              </w:rPr>
            </w:pPr>
            <w:r>
              <w:rPr>
                <w:i/>
              </w:rPr>
              <w:t>BTCF</w:t>
            </w:r>
            <w:r>
              <w:t xml:space="preserve"> =                </w:t>
            </w:r>
            <w:r>
              <w:rPr>
                <w:i/>
              </w:rPr>
              <w:t>Bilateral Trades Credit Factor</w:t>
            </w:r>
          </w:p>
          <w:p w14:paraId="7867F719" w14:textId="77777777" w:rsidR="002D0D49" w:rsidRPr="00BE4766" w:rsidRDefault="002D0D49" w:rsidP="0031595F">
            <w:pPr>
              <w:pStyle w:val="TableBody"/>
              <w:tabs>
                <w:tab w:val="right" w:pos="9360"/>
              </w:tabs>
              <w:ind w:left="1733" w:hanging="1440"/>
              <w:rPr>
                <w:i/>
              </w:rPr>
            </w:pPr>
            <w:r w:rsidRPr="00BE4766">
              <w:t>RTSPP</w:t>
            </w:r>
            <w:r w:rsidRPr="00B0223E">
              <w:rPr>
                <w:i/>
                <w:vertAlign w:val="subscript"/>
              </w:rPr>
              <w:t xml:space="preserve"> i</w:t>
            </w:r>
            <w:r>
              <w:rPr>
                <w:i/>
                <w:vertAlign w:val="subscript"/>
              </w:rPr>
              <w:t>, o</w:t>
            </w:r>
            <w:r w:rsidRPr="00B0223E">
              <w:rPr>
                <w:i/>
                <w:vertAlign w:val="subscript"/>
              </w:rPr>
              <w:t>d</w:t>
            </w:r>
            <w:r>
              <w:rPr>
                <w:i/>
                <w:vertAlign w:val="subscript"/>
              </w:rPr>
              <w:t>, p</w:t>
            </w:r>
            <w:r w:rsidRPr="00BE4766">
              <w:t xml:space="preserve"> = </w:t>
            </w:r>
            <w:r w:rsidRPr="00BE4766">
              <w:tab/>
            </w:r>
            <w:r w:rsidRPr="00BE4766">
              <w:rPr>
                <w:i/>
              </w:rPr>
              <w:t>Real-Time Settlement Point Price</w:t>
            </w:r>
            <w:r w:rsidRPr="00BE4766">
              <w:t xml:space="preserve"> for interval </w:t>
            </w:r>
            <w:r w:rsidRPr="00BE4766">
              <w:rPr>
                <w:i/>
              </w:rPr>
              <w:t>i</w:t>
            </w:r>
            <w:r w:rsidRPr="00BE4766">
              <w:t xml:space="preserve"> for </w:t>
            </w:r>
            <w:r>
              <w:t>Operating Day</w:t>
            </w:r>
            <w:r w:rsidRPr="00BE4766">
              <w:t xml:space="preserve"> </w:t>
            </w:r>
            <w:r w:rsidRPr="00AB68CC">
              <w:rPr>
                <w:i/>
              </w:rPr>
              <w:t>o</w:t>
            </w:r>
            <w:r w:rsidRPr="00BE4766">
              <w:rPr>
                <w:i/>
              </w:rPr>
              <w:t>d</w:t>
            </w:r>
            <w:r w:rsidRPr="00BE4766">
              <w:t xml:space="preserve"> at Settlement Point </w:t>
            </w:r>
            <w:r>
              <w:rPr>
                <w:i/>
              </w:rPr>
              <w:t>p</w:t>
            </w:r>
          </w:p>
          <w:p w14:paraId="477F654E" w14:textId="77777777" w:rsidR="002D0D49" w:rsidRPr="00BE4766" w:rsidRDefault="002D0D49" w:rsidP="0031595F">
            <w:pPr>
              <w:pStyle w:val="TableBody"/>
              <w:tabs>
                <w:tab w:val="right" w:pos="9360"/>
              </w:tabs>
              <w:ind w:left="1733" w:hanging="1440"/>
              <w:rPr>
                <w:i/>
              </w:rPr>
            </w:pPr>
            <w:r w:rsidRPr="00BE4766">
              <w:t>DARTNET</w:t>
            </w:r>
            <w:r w:rsidRPr="00B0223E">
              <w:rPr>
                <w:i/>
                <w:vertAlign w:val="subscript"/>
              </w:rPr>
              <w:t xml:space="preserve"> i</w:t>
            </w:r>
            <w:r>
              <w:rPr>
                <w:i/>
                <w:vertAlign w:val="subscript"/>
              </w:rPr>
              <w:t>, o</w:t>
            </w:r>
            <w:r w:rsidRPr="00B0223E">
              <w:rPr>
                <w:i/>
                <w:vertAlign w:val="subscript"/>
              </w:rPr>
              <w:t>d</w:t>
            </w:r>
            <w:r>
              <w:rPr>
                <w:i/>
                <w:vertAlign w:val="subscript"/>
              </w:rPr>
              <w:t>, p</w:t>
            </w:r>
            <w:r w:rsidRPr="00BE4766">
              <w:t xml:space="preserve"> </w:t>
            </w:r>
            <w:r>
              <w:t xml:space="preserve">= </w:t>
            </w:r>
            <w:r w:rsidRPr="00BE4766">
              <w:rPr>
                <w:i/>
              </w:rPr>
              <w:t>Net DAM activities</w:t>
            </w:r>
            <w:r w:rsidRPr="00BE4766">
              <w:t xml:space="preserve"> for </w:t>
            </w:r>
            <w:r>
              <w:t xml:space="preserve">the </w:t>
            </w:r>
            <w:r w:rsidRPr="00BE4766">
              <w:t xml:space="preserve">Counter-Party for interval </w:t>
            </w:r>
            <w:r w:rsidRPr="00BE4766">
              <w:rPr>
                <w:i/>
              </w:rPr>
              <w:t>i</w:t>
            </w:r>
            <w:r w:rsidRPr="00BE4766">
              <w:t xml:space="preserve"> for </w:t>
            </w:r>
            <w:r>
              <w:t>Operating Day</w:t>
            </w:r>
            <w:r w:rsidRPr="00BE4766">
              <w:t xml:space="preserve"> </w:t>
            </w:r>
            <w:r w:rsidRPr="00AB68CC">
              <w:rPr>
                <w:i/>
              </w:rPr>
              <w:t>o</w:t>
            </w:r>
            <w:r w:rsidRPr="00BE4766">
              <w:rPr>
                <w:i/>
              </w:rPr>
              <w:t>d</w:t>
            </w:r>
            <w:r w:rsidRPr="00BE4766">
              <w:t xml:space="preserve"> at Settlement Point </w:t>
            </w:r>
            <w:r>
              <w:rPr>
                <w:i/>
              </w:rPr>
              <w:t>p</w:t>
            </w:r>
          </w:p>
          <w:p w14:paraId="7D5E3879" w14:textId="78EEF88B" w:rsidR="002D0D49" w:rsidRPr="00BE4766" w:rsidRDefault="002D0D49" w:rsidP="0031595F">
            <w:pPr>
              <w:pStyle w:val="TableBody"/>
              <w:tabs>
                <w:tab w:val="right" w:pos="9360"/>
              </w:tabs>
              <w:ind w:left="1733" w:hanging="1440"/>
            </w:pPr>
            <w:r w:rsidRPr="00BE4766">
              <w:t>DART</w:t>
            </w:r>
            <w:r w:rsidRPr="00B0223E">
              <w:rPr>
                <w:i/>
                <w:vertAlign w:val="subscript"/>
              </w:rPr>
              <w:t xml:space="preserve"> i</w:t>
            </w:r>
            <w:r>
              <w:rPr>
                <w:i/>
                <w:vertAlign w:val="subscript"/>
              </w:rPr>
              <w:t>, o</w:t>
            </w:r>
            <w:r w:rsidRPr="00B0223E">
              <w:rPr>
                <w:i/>
                <w:vertAlign w:val="subscript"/>
              </w:rPr>
              <w:t>d</w:t>
            </w:r>
            <w:r>
              <w:rPr>
                <w:i/>
                <w:vertAlign w:val="subscript"/>
              </w:rPr>
              <w:t>, p</w:t>
            </w:r>
            <w:r w:rsidRPr="00BE4766">
              <w:t xml:space="preserve"> = </w:t>
            </w:r>
            <w:r w:rsidRPr="00BE4766">
              <w:tab/>
            </w:r>
            <w:r w:rsidRPr="00BE4766">
              <w:rPr>
                <w:i/>
              </w:rPr>
              <w:t>Day</w:t>
            </w:r>
            <w:r>
              <w:rPr>
                <w:i/>
              </w:rPr>
              <w:t>-</w:t>
            </w:r>
            <w:r w:rsidRPr="00BE4766">
              <w:rPr>
                <w:i/>
              </w:rPr>
              <w:t xml:space="preserve">Ahead - Real-Time Spread </w:t>
            </w:r>
            <w:r w:rsidRPr="00BE4766">
              <w:t xml:space="preserve">for interval </w:t>
            </w:r>
            <w:r w:rsidRPr="00BE4766">
              <w:rPr>
                <w:i/>
              </w:rPr>
              <w:t>i</w:t>
            </w:r>
            <w:r w:rsidRPr="00BE4766">
              <w:t xml:space="preserve"> for </w:t>
            </w:r>
            <w:r>
              <w:t>Operating Day</w:t>
            </w:r>
            <w:r w:rsidRPr="00BE4766">
              <w:t xml:space="preserve"> </w:t>
            </w:r>
            <w:r w:rsidRPr="00AB68CC">
              <w:rPr>
                <w:i/>
              </w:rPr>
              <w:t>o</w:t>
            </w:r>
            <w:r w:rsidRPr="00BE4766">
              <w:rPr>
                <w:i/>
              </w:rPr>
              <w:t>d</w:t>
            </w:r>
            <w:r w:rsidRPr="00BE4766">
              <w:t xml:space="preserve"> at Settlement Point </w:t>
            </w:r>
            <w:r>
              <w:rPr>
                <w:i/>
              </w:rPr>
              <w:t>p</w:t>
            </w:r>
          </w:p>
          <w:p w14:paraId="22A983AD" w14:textId="77777777" w:rsidR="002D0D49" w:rsidRPr="00BE4766" w:rsidRDefault="002D0D49" w:rsidP="0031595F">
            <w:pPr>
              <w:pStyle w:val="TableBody"/>
              <w:tabs>
                <w:tab w:val="right" w:pos="9360"/>
              </w:tabs>
              <w:ind w:left="1733" w:hanging="1440"/>
            </w:pPr>
            <w:r w:rsidRPr="00BE4766">
              <w:t>DAM EOB Cleared</w:t>
            </w:r>
            <w:r w:rsidRPr="00BE4766">
              <w:rPr>
                <w:color w:val="000000"/>
                <w:vertAlign w:val="subscript"/>
              </w:rPr>
              <w:t xml:space="preserve"> </w:t>
            </w:r>
            <w:r w:rsidRPr="00B0223E">
              <w:rPr>
                <w:i/>
                <w:vertAlign w:val="subscript"/>
              </w:rPr>
              <w:t>i</w:t>
            </w:r>
            <w:r>
              <w:rPr>
                <w:i/>
                <w:vertAlign w:val="subscript"/>
              </w:rPr>
              <w:t>, o</w:t>
            </w:r>
            <w:r w:rsidRPr="00B0223E">
              <w:rPr>
                <w:i/>
                <w:vertAlign w:val="subscript"/>
              </w:rPr>
              <w:t>d</w:t>
            </w:r>
            <w:r>
              <w:rPr>
                <w:i/>
                <w:vertAlign w:val="subscript"/>
              </w:rPr>
              <w:t>, p</w:t>
            </w:r>
            <w:r w:rsidRPr="00BE4766">
              <w:t xml:space="preserve"> = </w:t>
            </w:r>
            <w:r w:rsidRPr="00B3490C">
              <w:rPr>
                <w:i/>
              </w:rPr>
              <w:t>DAM Energy Only Bids Cleared</w:t>
            </w:r>
            <w:r w:rsidRPr="00BE4766">
              <w:t xml:space="preserve"> for interval </w:t>
            </w:r>
            <w:r w:rsidRPr="00BE4766">
              <w:rPr>
                <w:i/>
              </w:rPr>
              <w:t>i</w:t>
            </w:r>
            <w:r w:rsidRPr="00BE4766">
              <w:t xml:space="preserve"> for </w:t>
            </w:r>
            <w:r>
              <w:t>Operating Day</w:t>
            </w:r>
            <w:r w:rsidRPr="00BE4766">
              <w:t xml:space="preserve"> </w:t>
            </w:r>
            <w:r w:rsidRPr="00AB68CC">
              <w:rPr>
                <w:i/>
              </w:rPr>
              <w:t>o</w:t>
            </w:r>
            <w:r w:rsidRPr="00BE4766">
              <w:rPr>
                <w:i/>
              </w:rPr>
              <w:t>d</w:t>
            </w:r>
            <w:r w:rsidRPr="00BE4766">
              <w:t xml:space="preserve"> at Settlement Point </w:t>
            </w:r>
            <w:r>
              <w:rPr>
                <w:i/>
              </w:rPr>
              <w:t>p</w:t>
            </w:r>
          </w:p>
          <w:p w14:paraId="5C2D584A" w14:textId="77777777" w:rsidR="002D0D49" w:rsidRPr="00B3490C" w:rsidRDefault="002D0D49" w:rsidP="0031595F">
            <w:pPr>
              <w:pStyle w:val="TableBody"/>
              <w:tabs>
                <w:tab w:val="right" w:pos="9360"/>
              </w:tabs>
              <w:ind w:left="1728" w:hanging="1440"/>
              <w:rPr>
                <w:i/>
              </w:rPr>
            </w:pPr>
            <w:r w:rsidRPr="00BE4766">
              <w:t>DAM EOO Cleared</w:t>
            </w:r>
            <w:r w:rsidRPr="00B0223E">
              <w:rPr>
                <w:i/>
                <w:vertAlign w:val="subscript"/>
              </w:rPr>
              <w:t xml:space="preserve"> i</w:t>
            </w:r>
            <w:r>
              <w:rPr>
                <w:i/>
                <w:vertAlign w:val="subscript"/>
              </w:rPr>
              <w:t>, o</w:t>
            </w:r>
            <w:r w:rsidRPr="00B0223E">
              <w:rPr>
                <w:i/>
                <w:vertAlign w:val="subscript"/>
              </w:rPr>
              <w:t>d</w:t>
            </w:r>
            <w:r>
              <w:rPr>
                <w:i/>
                <w:vertAlign w:val="subscript"/>
              </w:rPr>
              <w:t>, p</w:t>
            </w:r>
            <w:r w:rsidRPr="00BE4766">
              <w:t xml:space="preserve"> = </w:t>
            </w:r>
            <w:r w:rsidRPr="00B3490C">
              <w:rPr>
                <w:i/>
              </w:rPr>
              <w:t xml:space="preserve">DAM Energy Only Offers Cleared </w:t>
            </w:r>
            <w:r w:rsidRPr="00BE4766">
              <w:t xml:space="preserve">for interval </w:t>
            </w:r>
            <w:r w:rsidRPr="00BE4766">
              <w:rPr>
                <w:i/>
              </w:rPr>
              <w:t>i</w:t>
            </w:r>
            <w:r w:rsidRPr="00BE4766">
              <w:t xml:space="preserve"> for </w:t>
            </w:r>
            <w:r>
              <w:t>Operating</w:t>
            </w:r>
            <w:r w:rsidRPr="00BE4766">
              <w:t xml:space="preserve"> </w:t>
            </w:r>
            <w:r>
              <w:t>D</w:t>
            </w:r>
            <w:r w:rsidRPr="00BE4766">
              <w:t xml:space="preserve">ay </w:t>
            </w:r>
            <w:r w:rsidRPr="00AB68CC">
              <w:rPr>
                <w:i/>
              </w:rPr>
              <w:t>o</w:t>
            </w:r>
            <w:r w:rsidRPr="00BE4766">
              <w:rPr>
                <w:i/>
              </w:rPr>
              <w:t>d</w:t>
            </w:r>
            <w:r w:rsidRPr="00BE4766">
              <w:t xml:space="preserve"> at Settlement Point </w:t>
            </w:r>
            <w:r>
              <w:rPr>
                <w:i/>
              </w:rPr>
              <w:t>p</w:t>
            </w:r>
          </w:p>
          <w:p w14:paraId="52A103EC" w14:textId="77777777" w:rsidR="002D0D49" w:rsidRPr="00BE4766" w:rsidRDefault="002D0D49" w:rsidP="0031595F">
            <w:pPr>
              <w:pStyle w:val="TableBody"/>
              <w:ind w:left="1733" w:hanging="1440"/>
            </w:pPr>
            <w:r w:rsidRPr="00BE4766">
              <w:t>DAM TPO Cleared</w:t>
            </w:r>
            <w:r w:rsidRPr="00B0223E">
              <w:rPr>
                <w:i/>
                <w:vertAlign w:val="subscript"/>
              </w:rPr>
              <w:t xml:space="preserve"> i</w:t>
            </w:r>
            <w:r>
              <w:rPr>
                <w:i/>
                <w:vertAlign w:val="subscript"/>
              </w:rPr>
              <w:t>, o</w:t>
            </w:r>
            <w:r w:rsidRPr="00B0223E">
              <w:rPr>
                <w:i/>
                <w:vertAlign w:val="subscript"/>
              </w:rPr>
              <w:t>d</w:t>
            </w:r>
            <w:r>
              <w:rPr>
                <w:i/>
                <w:vertAlign w:val="subscript"/>
              </w:rPr>
              <w:t>, p</w:t>
            </w:r>
            <w:r w:rsidRPr="00BE4766">
              <w:t xml:space="preserve"> = </w:t>
            </w:r>
            <w:r>
              <w:rPr>
                <w:i/>
              </w:rPr>
              <w:t>DAM</w:t>
            </w:r>
            <w:r w:rsidRPr="00B3490C">
              <w:rPr>
                <w:i/>
              </w:rPr>
              <w:t xml:space="preserve"> Three-Part Offers Cleared</w:t>
            </w:r>
            <w:r w:rsidRPr="00BE4766">
              <w:t xml:space="preserve"> for interval </w:t>
            </w:r>
            <w:r w:rsidRPr="00BE4766">
              <w:rPr>
                <w:i/>
              </w:rPr>
              <w:t>i</w:t>
            </w:r>
            <w:r w:rsidRPr="00BE4766">
              <w:t xml:space="preserve"> for </w:t>
            </w:r>
            <w:r>
              <w:t>Operating Day</w:t>
            </w:r>
            <w:r w:rsidRPr="00BE4766">
              <w:t xml:space="preserve"> </w:t>
            </w:r>
            <w:r w:rsidRPr="00AB68CC">
              <w:rPr>
                <w:i/>
              </w:rPr>
              <w:t>o</w:t>
            </w:r>
            <w:r w:rsidRPr="00BE4766">
              <w:rPr>
                <w:i/>
              </w:rPr>
              <w:t>d</w:t>
            </w:r>
            <w:r w:rsidRPr="00BE4766">
              <w:t xml:space="preserve"> at Settlement Point </w:t>
            </w:r>
            <w:r>
              <w:rPr>
                <w:i/>
              </w:rPr>
              <w:t>p</w:t>
            </w:r>
          </w:p>
          <w:p w14:paraId="062043F0" w14:textId="77777777" w:rsidR="002D0D49" w:rsidRPr="00BE4766" w:rsidRDefault="002D0D49" w:rsidP="0031595F">
            <w:pPr>
              <w:pStyle w:val="TableBody"/>
              <w:ind w:left="1733" w:hanging="1440"/>
            </w:pPr>
            <w:r w:rsidRPr="00BE4766">
              <w:t xml:space="preserve">DAM PTP Cleared </w:t>
            </w:r>
            <w:r w:rsidRPr="00B0223E">
              <w:rPr>
                <w:i/>
                <w:vertAlign w:val="subscript"/>
              </w:rPr>
              <w:t>i</w:t>
            </w:r>
            <w:r>
              <w:rPr>
                <w:i/>
                <w:vertAlign w:val="subscript"/>
              </w:rPr>
              <w:t>, o</w:t>
            </w:r>
            <w:r w:rsidRPr="00B0223E">
              <w:rPr>
                <w:i/>
                <w:vertAlign w:val="subscript"/>
              </w:rPr>
              <w:t>d</w:t>
            </w:r>
            <w:r>
              <w:rPr>
                <w:i/>
                <w:vertAlign w:val="subscript"/>
              </w:rPr>
              <w:t>, p</w:t>
            </w:r>
            <w:r w:rsidRPr="00BE4766">
              <w:t xml:space="preserve"> = </w:t>
            </w:r>
            <w:r w:rsidRPr="00B3490C">
              <w:rPr>
                <w:i/>
              </w:rPr>
              <w:t xml:space="preserve">DAM Point-to-Point (PTP) Obligations Cleared </w:t>
            </w:r>
            <w:r w:rsidRPr="00BE4766">
              <w:t xml:space="preserve">for interval </w:t>
            </w:r>
            <w:r w:rsidRPr="00BE4766">
              <w:rPr>
                <w:i/>
              </w:rPr>
              <w:t>i</w:t>
            </w:r>
            <w:r w:rsidRPr="00BE4766">
              <w:t xml:space="preserve"> for </w:t>
            </w:r>
            <w:r>
              <w:t>Operating Day</w:t>
            </w:r>
            <w:r w:rsidRPr="00BE4766">
              <w:t xml:space="preserve"> </w:t>
            </w:r>
            <w:r w:rsidRPr="00AB68CC">
              <w:rPr>
                <w:i/>
              </w:rPr>
              <w:t>o</w:t>
            </w:r>
            <w:r w:rsidRPr="00BE4766">
              <w:rPr>
                <w:i/>
              </w:rPr>
              <w:t>d</w:t>
            </w:r>
            <w:r w:rsidRPr="00BE4766">
              <w:t xml:space="preserve"> at Settlement Point </w:t>
            </w:r>
            <w:r>
              <w:rPr>
                <w:i/>
              </w:rPr>
              <w:t>p</w:t>
            </w:r>
          </w:p>
          <w:p w14:paraId="1EDB0171" w14:textId="02C1E07D" w:rsidR="002D0D49" w:rsidRPr="00BE4766" w:rsidRDefault="002D0D49" w:rsidP="0031595F">
            <w:pPr>
              <w:pStyle w:val="TableBody"/>
              <w:ind w:left="1733" w:hanging="1440"/>
            </w:pPr>
            <w:r w:rsidRPr="00BE4766">
              <w:t xml:space="preserve">DARTPTP </w:t>
            </w:r>
            <w:r w:rsidRPr="00B0223E">
              <w:rPr>
                <w:i/>
                <w:vertAlign w:val="subscript"/>
              </w:rPr>
              <w:t>i</w:t>
            </w:r>
            <w:r>
              <w:rPr>
                <w:i/>
                <w:vertAlign w:val="subscript"/>
              </w:rPr>
              <w:t>, o</w:t>
            </w:r>
            <w:r w:rsidRPr="00B0223E">
              <w:rPr>
                <w:i/>
                <w:vertAlign w:val="subscript"/>
              </w:rPr>
              <w:t>d</w:t>
            </w:r>
            <w:r>
              <w:rPr>
                <w:i/>
                <w:vertAlign w:val="subscript"/>
              </w:rPr>
              <w:t>, p</w:t>
            </w:r>
            <w:r w:rsidRPr="00BE4766">
              <w:t xml:space="preserve"> =  </w:t>
            </w:r>
            <w:r w:rsidRPr="00BE4766">
              <w:rPr>
                <w:i/>
              </w:rPr>
              <w:t>Day</w:t>
            </w:r>
            <w:r>
              <w:rPr>
                <w:i/>
              </w:rPr>
              <w:t>-</w:t>
            </w:r>
            <w:r w:rsidRPr="00BE4766">
              <w:rPr>
                <w:i/>
              </w:rPr>
              <w:t xml:space="preserve">Ahead - Real-Time Spread </w:t>
            </w:r>
            <w:r w:rsidRPr="00BE4766">
              <w:t xml:space="preserve">for value of PTP Obligation for interval </w:t>
            </w:r>
            <w:r w:rsidRPr="00BE4766">
              <w:rPr>
                <w:i/>
              </w:rPr>
              <w:t>i</w:t>
            </w:r>
            <w:r w:rsidRPr="00BE4766">
              <w:t xml:space="preserve"> for </w:t>
            </w:r>
            <w:r>
              <w:t>Operating Day</w:t>
            </w:r>
            <w:r w:rsidRPr="00BE4766">
              <w:t xml:space="preserve"> </w:t>
            </w:r>
            <w:r w:rsidRPr="00AB68CC">
              <w:rPr>
                <w:i/>
              </w:rPr>
              <w:t>o</w:t>
            </w:r>
            <w:r w:rsidRPr="00BE4766">
              <w:rPr>
                <w:i/>
              </w:rPr>
              <w:t>d</w:t>
            </w:r>
            <w:r w:rsidRPr="00BE4766">
              <w:t xml:space="preserve"> at Settlement Point </w:t>
            </w:r>
            <w:r>
              <w:rPr>
                <w:i/>
              </w:rPr>
              <w:t>p</w:t>
            </w:r>
          </w:p>
          <w:p w14:paraId="52D308D1" w14:textId="77777777" w:rsidR="002D0D49" w:rsidRPr="00BE4766" w:rsidRDefault="002D0D49" w:rsidP="0031595F">
            <w:pPr>
              <w:pStyle w:val="TableBody"/>
              <w:ind w:left="1733" w:hanging="1440"/>
            </w:pPr>
            <w:r w:rsidRPr="00900F8C">
              <w:rPr>
                <w:i/>
              </w:rPr>
              <w:t>c</w:t>
            </w:r>
            <w:r w:rsidRPr="00BE4766">
              <w:t xml:space="preserve"> = </w:t>
            </w:r>
            <w:r w:rsidRPr="00BE4766">
              <w:tab/>
              <w:t xml:space="preserve">Bilateral Counter-Party </w:t>
            </w:r>
          </w:p>
          <w:p w14:paraId="05061FAF" w14:textId="77777777" w:rsidR="002D0D49" w:rsidRDefault="002D0D49" w:rsidP="0031595F">
            <w:pPr>
              <w:pStyle w:val="TableBody"/>
              <w:ind w:left="1733" w:hanging="1440"/>
              <w:rPr>
                <w:i/>
              </w:rPr>
            </w:pPr>
            <w:proofErr w:type="spellStart"/>
            <w:r w:rsidRPr="00FF36D0">
              <w:rPr>
                <w:i/>
              </w:rPr>
              <w:lastRenderedPageBreak/>
              <w:t>cif</w:t>
            </w:r>
            <w:proofErr w:type="spellEnd"/>
            <w:r w:rsidRPr="00FF36D0">
              <w:rPr>
                <w:i/>
              </w:rPr>
              <w:t xml:space="preserve"> =</w:t>
            </w:r>
            <w:r w:rsidRPr="00FF36D0">
              <w:rPr>
                <w:i/>
              </w:rPr>
              <w:tab/>
              <w:t>Cap Interval Factor</w:t>
            </w:r>
            <w:r w:rsidRPr="00FF36D0">
              <w:t xml:space="preserve"> - Represents the historic largest percentage of System-Wide Offer Cap (SWCAP) intervals during a calendar day</w:t>
            </w:r>
          </w:p>
          <w:p w14:paraId="56FA2350" w14:textId="77777777" w:rsidR="002D0D49" w:rsidRPr="00BE4766" w:rsidRDefault="002D0D49" w:rsidP="0031595F">
            <w:pPr>
              <w:pStyle w:val="TableBody"/>
              <w:ind w:left="1733" w:hanging="1440"/>
            </w:pPr>
            <w:r w:rsidRPr="00900F8C">
              <w:rPr>
                <w:i/>
              </w:rPr>
              <w:t>e</w:t>
            </w:r>
            <w:r>
              <w:t xml:space="preserve"> = </w:t>
            </w:r>
            <w:r>
              <w:tab/>
              <w:t xml:space="preserve">Most recent </w:t>
            </w:r>
            <w:r w:rsidRPr="00355D7A">
              <w:rPr>
                <w:i/>
              </w:rPr>
              <w:t>n</w:t>
            </w:r>
            <w:r>
              <w:t xml:space="preserve"> Operating Days for which RTM Initial Settlement Statements are available</w:t>
            </w:r>
          </w:p>
          <w:p w14:paraId="55298A61" w14:textId="77777777" w:rsidR="002D0D49" w:rsidRPr="00BE4766" w:rsidRDefault="002D0D49" w:rsidP="0031595F">
            <w:pPr>
              <w:pStyle w:val="TableBody"/>
              <w:ind w:left="1733" w:hanging="1440"/>
            </w:pPr>
            <w:r w:rsidRPr="00900F8C">
              <w:rPr>
                <w:i/>
              </w:rPr>
              <w:t>i</w:t>
            </w:r>
            <w:r w:rsidRPr="00BE4766">
              <w:t xml:space="preserve"> = </w:t>
            </w:r>
            <w:r w:rsidRPr="00BE4766">
              <w:tab/>
              <w:t>Settlement Interval</w:t>
            </w:r>
          </w:p>
          <w:p w14:paraId="35AE8EAB" w14:textId="77777777" w:rsidR="002D0D49" w:rsidRPr="00BE4766" w:rsidRDefault="002D0D49" w:rsidP="0031595F">
            <w:pPr>
              <w:pStyle w:val="TableBody"/>
              <w:ind w:left="1733" w:hanging="1440"/>
            </w:pPr>
            <w:r w:rsidRPr="00900F8C">
              <w:rPr>
                <w:i/>
              </w:rPr>
              <w:t>n</w:t>
            </w:r>
            <w:r w:rsidRPr="00BE4766">
              <w:t xml:space="preserve"> = </w:t>
            </w:r>
            <w:r w:rsidRPr="00BE4766">
              <w:tab/>
            </w:r>
            <w:r>
              <w:t>D</w:t>
            </w:r>
            <w:r w:rsidRPr="00BE4766">
              <w:t>ays</w:t>
            </w:r>
            <w:r>
              <w:t xml:space="preserve"> used for averaging</w:t>
            </w:r>
          </w:p>
          <w:p w14:paraId="04A41163" w14:textId="77777777" w:rsidR="002D0D49" w:rsidRDefault="002D0D49" w:rsidP="0031595F">
            <w:pPr>
              <w:pStyle w:val="TableBody"/>
              <w:ind w:left="1733" w:hanging="1440"/>
              <w:rPr>
                <w:i/>
              </w:rPr>
            </w:pPr>
            <w:r w:rsidRPr="00FF36D0">
              <w:rPr>
                <w:i/>
              </w:rPr>
              <w:t>nm =</w:t>
            </w:r>
            <w:r w:rsidRPr="00FF36D0">
              <w:rPr>
                <w:i/>
              </w:rPr>
              <w:tab/>
            </w:r>
            <w:r w:rsidRPr="00FF36D0">
              <w:t>Notional Multiplier</w:t>
            </w:r>
          </w:p>
          <w:p w14:paraId="253BBF95" w14:textId="77777777" w:rsidR="002D0D49" w:rsidRPr="00BE4766" w:rsidRDefault="002D0D49" w:rsidP="0031595F">
            <w:pPr>
              <w:pStyle w:val="TableBody"/>
              <w:ind w:left="1733" w:hanging="1440"/>
            </w:pPr>
            <w:r w:rsidRPr="00900F8C">
              <w:rPr>
                <w:i/>
              </w:rPr>
              <w:t>o</w:t>
            </w:r>
            <w:r>
              <w:rPr>
                <w:i/>
              </w:rPr>
              <w:t>d</w:t>
            </w:r>
            <w:r w:rsidRPr="00BE4766">
              <w:t xml:space="preserve"> = </w:t>
            </w:r>
            <w:r w:rsidRPr="00BE4766">
              <w:tab/>
            </w:r>
            <w:r>
              <w:t>Operating Day</w:t>
            </w:r>
          </w:p>
          <w:p w14:paraId="00318EF3" w14:textId="77777777" w:rsidR="002D0D49" w:rsidRDefault="002D0D49" w:rsidP="0031595F">
            <w:pPr>
              <w:pStyle w:val="TableBody"/>
              <w:ind w:left="1733" w:hanging="1440"/>
              <w:rPr>
                <w:highlight w:val="yellow"/>
              </w:rPr>
            </w:pPr>
            <w:r>
              <w:rPr>
                <w:i/>
              </w:rPr>
              <w:t>p</w:t>
            </w:r>
            <w:r w:rsidRPr="00BE4766">
              <w:t xml:space="preserve"> = </w:t>
            </w:r>
            <w:r w:rsidRPr="00BE4766">
              <w:tab/>
              <w:t>A Settlement Point</w:t>
            </w:r>
          </w:p>
        </w:tc>
      </w:tr>
      <w:tr w:rsidR="004033D4" w14:paraId="18D4E8C6" w14:textId="77777777" w:rsidTr="00CD51A8">
        <w:trPr>
          <w:trHeight w:val="91"/>
        </w:trPr>
        <w:tc>
          <w:tcPr>
            <w:tcW w:w="9332" w:type="dxa"/>
            <w:gridSpan w:val="3"/>
          </w:tcPr>
          <w:tbl>
            <w:tblPr>
              <w:tblW w:w="9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106"/>
            </w:tblGrid>
            <w:tr w:rsidR="004033D4" w14:paraId="310B4C93" w14:textId="77777777" w:rsidTr="005A32AC">
              <w:tc>
                <w:tcPr>
                  <w:tcW w:w="9134" w:type="dxa"/>
                  <w:shd w:val="pct12" w:color="auto" w:fill="auto"/>
                </w:tcPr>
                <w:p w14:paraId="16785432" w14:textId="086B2696" w:rsidR="004033D4" w:rsidRPr="0002450E" w:rsidRDefault="004033D4" w:rsidP="004033D4">
                  <w:pPr>
                    <w:pStyle w:val="Instructions"/>
                    <w:spacing w:before="120"/>
                    <w:rPr>
                      <w:iCs/>
                    </w:rPr>
                  </w:pPr>
                  <w:r>
                    <w:lastRenderedPageBreak/>
                    <w:t>[NPRR1013</w:t>
                  </w:r>
                  <w:r w:rsidRPr="0002450E">
                    <w:t xml:space="preserve">:  Replace </w:t>
                  </w:r>
                  <w:r>
                    <w:t>the variable “MCE”</w:t>
                  </w:r>
                  <w:r w:rsidRPr="0002450E">
                    <w:t xml:space="preserve"> above with the following upon system implementation</w:t>
                  </w:r>
                  <w:r>
                    <w:t xml:space="preserve"> of the Real-Time Co-Optimization (RTC) project</w:t>
                  </w:r>
                  <w:r w:rsidRPr="0002450E">
                    <w:t xml:space="preserve">:] </w:t>
                  </w:r>
                </w:p>
                <w:tbl>
                  <w:tblPr>
                    <w:tblW w:w="900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19"/>
                    <w:gridCol w:w="880"/>
                    <w:gridCol w:w="6504"/>
                  </w:tblGrid>
                  <w:tr w:rsidR="004033D4" w:rsidRPr="00367720" w14:paraId="459CC079" w14:textId="77777777" w:rsidTr="004033D4">
                    <w:trPr>
                      <w:trHeight w:val="91"/>
                    </w:trPr>
                    <w:tc>
                      <w:tcPr>
                        <w:tcW w:w="1619" w:type="dxa"/>
                      </w:tcPr>
                      <w:p w14:paraId="2142B352" w14:textId="5D7B2653" w:rsidR="004033D4" w:rsidRPr="00906156" w:rsidRDefault="004033D4" w:rsidP="004033D4">
                        <w:pPr>
                          <w:pStyle w:val="TableBody"/>
                        </w:pPr>
                        <w:r w:rsidRPr="009F4E0B">
                          <w:t>MCE</w:t>
                        </w:r>
                      </w:p>
                    </w:tc>
                    <w:tc>
                      <w:tcPr>
                        <w:tcW w:w="880" w:type="dxa"/>
                      </w:tcPr>
                      <w:p w14:paraId="16E60A43" w14:textId="600570C9" w:rsidR="004033D4" w:rsidRPr="004F59D3" w:rsidRDefault="004033D4" w:rsidP="004033D4">
                        <w:pPr>
                          <w:pStyle w:val="TableBody"/>
                        </w:pPr>
                        <w:r w:rsidRPr="009F4E0B">
                          <w:t>$</w:t>
                        </w:r>
                      </w:p>
                    </w:tc>
                    <w:tc>
                      <w:tcPr>
                        <w:tcW w:w="6504" w:type="dxa"/>
                      </w:tcPr>
                      <w:p w14:paraId="3C84A7D3" w14:textId="77777777" w:rsidR="004033D4" w:rsidRPr="009F4E0B" w:rsidRDefault="004033D4" w:rsidP="004033D4">
                        <w:pPr>
                          <w:spacing w:after="60"/>
                          <w:rPr>
                            <w:iCs/>
                            <w:sz w:val="20"/>
                          </w:rPr>
                        </w:pPr>
                        <w:r w:rsidRPr="009F4E0B">
                          <w:rPr>
                            <w:i/>
                            <w:iCs/>
                            <w:sz w:val="20"/>
                          </w:rPr>
                          <w:t>Minimum Current Exposure</w:t>
                        </w:r>
                        <w:r w:rsidRPr="009F4E0B">
                          <w:rPr>
                            <w:iCs/>
                            <w:sz w:val="20"/>
                          </w:rPr>
                          <w:t xml:space="preserve">—For each Counter-Party, ERCOT shall determine a Minimum Current Exposure (MCE) as follows:  </w:t>
                        </w:r>
                      </w:p>
                      <w:p w14:paraId="48270D03" w14:textId="77777777" w:rsidR="004033D4" w:rsidRPr="009F4E0B" w:rsidRDefault="004033D4" w:rsidP="004033D4">
                        <w:pPr>
                          <w:spacing w:after="60"/>
                          <w:rPr>
                            <w:iCs/>
                            <w:sz w:val="20"/>
                          </w:rPr>
                        </w:pPr>
                      </w:p>
                      <w:p w14:paraId="1D2B113F" w14:textId="77777777" w:rsidR="004033D4" w:rsidRPr="009F4E0B" w:rsidRDefault="004033D4" w:rsidP="004033D4">
                        <w:pPr>
                          <w:spacing w:after="60"/>
                          <w:ind w:left="1643" w:hanging="1411"/>
                          <w:rPr>
                            <w:iCs/>
                            <w:sz w:val="20"/>
                          </w:rPr>
                        </w:pPr>
                        <w:r w:rsidRPr="009F4E0B">
                          <w:rPr>
                            <w:iCs/>
                            <w:sz w:val="20"/>
                          </w:rPr>
                          <w:t>MCE = Max[RFAF * MAF * Max[{</w:t>
                        </w:r>
                        <m:oMath>
                          <m:nary>
                            <m:naryPr>
                              <m:chr m:val="∑"/>
                              <m:grow m:val="1"/>
                              <m:ctrlPr>
                                <w:rPr>
                                  <w:rFonts w:ascii="Cambria Math" w:hAnsi="Cambria Math"/>
                                  <w:iCs/>
                                  <w:sz w:val="20"/>
                                </w:rPr>
                              </m:ctrlPr>
                            </m:naryPr>
                            <m:sub>
                              <m:r>
                                <w:rPr>
                                  <w:rFonts w:ascii="Cambria Math" w:hAnsi="Cambria Math"/>
                                  <w:sz w:val="20"/>
                                </w:rPr>
                                <m:t>e</m:t>
                              </m:r>
                            </m:sub>
                            <m:sup>
                              <m:r>
                                <w:rPr>
                                  <w:rFonts w:ascii="Cambria Math" w:hAnsi="Cambria Math"/>
                                  <w:sz w:val="20"/>
                                </w:rPr>
                                <m:t xml:space="preserve"> </m:t>
                              </m:r>
                            </m:sup>
                            <m:e>
                              <m:nary>
                                <m:naryPr>
                                  <m:chr m:val="∑"/>
                                  <m:grow m:val="1"/>
                                  <m:ctrlPr>
                                    <w:rPr>
                                      <w:rFonts w:ascii="Cambria Math" w:hAnsi="Cambria Math"/>
                                      <w:iCs/>
                                      <w:sz w:val="20"/>
                                    </w:rPr>
                                  </m:ctrlPr>
                                </m:naryPr>
                                <m:sub>
                                  <m:r>
                                    <w:rPr>
                                      <w:rFonts w:ascii="Cambria Math" w:eastAsia="Cambria Math" w:hAnsi="Cambria Math" w:cs="Cambria Math"/>
                                      <w:sz w:val="20"/>
                                    </w:rPr>
                                    <m:t>i=1</m:t>
                                  </m:r>
                                </m:sub>
                                <m:sup>
                                  <m:r>
                                    <w:rPr>
                                      <w:rFonts w:ascii="Cambria Math" w:eastAsia="Cambria Math" w:hAnsi="Cambria Math" w:cs="Cambria Math"/>
                                      <w:sz w:val="20"/>
                                    </w:rPr>
                                    <m:t>96</m:t>
                                  </m:r>
                                </m:sup>
                                <m:e>
                                  <m:r>
                                    <w:rPr>
                                      <w:rFonts w:ascii="Cambria Math" w:hAnsi="Cambria Math"/>
                                      <w:sz w:val="20"/>
                                    </w:rPr>
                                    <m:t xml:space="preserve"> </m:t>
                                  </m:r>
                                </m:e>
                              </m:nary>
                              <m:nary>
                                <m:naryPr>
                                  <m:chr m:val="∑"/>
                                  <m:grow m:val="1"/>
                                  <m:ctrlPr>
                                    <w:rPr>
                                      <w:rFonts w:ascii="Cambria Math" w:hAnsi="Cambria Math"/>
                                      <w:iCs/>
                                      <w:sz w:val="20"/>
                                    </w:rPr>
                                  </m:ctrlPr>
                                </m:naryPr>
                                <m:sub>
                                  <m:r>
                                    <w:rPr>
                                      <w:rFonts w:ascii="Cambria Math" w:hAnsi="Cambria Math"/>
                                      <w:sz w:val="20"/>
                                    </w:rPr>
                                    <m:t>p</m:t>
                                  </m:r>
                                </m:sub>
                                <m:sup>
                                  <m:r>
                                    <w:rPr>
                                      <w:rFonts w:ascii="Cambria Math" w:hAnsi="Cambria Math"/>
                                      <w:sz w:val="20"/>
                                    </w:rPr>
                                    <m:t xml:space="preserve"> </m:t>
                                  </m:r>
                                </m:sup>
                                <m:e>
                                  <m:r>
                                    <w:rPr>
                                      <w:rFonts w:ascii="Cambria Math" w:hAnsi="Cambria Math"/>
                                      <w:sz w:val="20"/>
                                    </w:rPr>
                                    <m:t xml:space="preserve"> </m:t>
                                  </m:r>
                                </m:e>
                              </m:nary>
                            </m:e>
                          </m:nary>
                        </m:oMath>
                        <w:r w:rsidRPr="009F4E0B">
                          <w:rPr>
                            <w:b/>
                            <w:bCs/>
                            <w:iCs/>
                            <w:sz w:val="20"/>
                          </w:rPr>
                          <w:t>[</w:t>
                        </w:r>
                        <w:r w:rsidRPr="009F4E0B">
                          <w:rPr>
                            <w:iCs/>
                            <w:sz w:val="20"/>
                          </w:rPr>
                          <w:t xml:space="preserve">L </w:t>
                        </w:r>
                        <w:r w:rsidRPr="009F4E0B">
                          <w:rPr>
                            <w:i/>
                            <w:iCs/>
                            <w:sz w:val="20"/>
                            <w:vertAlign w:val="subscript"/>
                          </w:rPr>
                          <w:t>i, od, p</w:t>
                        </w:r>
                        <w:r w:rsidRPr="009F4E0B">
                          <w:rPr>
                            <w:iCs/>
                            <w:sz w:val="20"/>
                          </w:rPr>
                          <w:t xml:space="preserve"> * RTSPP </w:t>
                        </w:r>
                        <w:r w:rsidRPr="009F4E0B">
                          <w:rPr>
                            <w:i/>
                            <w:iCs/>
                            <w:sz w:val="20"/>
                            <w:vertAlign w:val="subscript"/>
                          </w:rPr>
                          <w:t>i, od, p</w:t>
                        </w:r>
                        <w:r w:rsidRPr="009F4E0B">
                          <w:rPr>
                            <w:iCs/>
                            <w:sz w:val="20"/>
                          </w:rPr>
                          <w:t>]/</w:t>
                        </w:r>
                        <w:r w:rsidRPr="009F4E0B">
                          <w:rPr>
                            <w:i/>
                            <w:iCs/>
                            <w:sz w:val="20"/>
                          </w:rPr>
                          <w:t>n</w:t>
                        </w:r>
                        <w:r w:rsidRPr="009F4E0B">
                          <w:rPr>
                            <w:iCs/>
                            <w:sz w:val="20"/>
                          </w:rPr>
                          <w:t>}, {</w:t>
                        </w:r>
                        <m:oMath>
                          <m:nary>
                            <m:naryPr>
                              <m:chr m:val="∑"/>
                              <m:grow m:val="1"/>
                              <m:ctrlPr>
                                <w:rPr>
                                  <w:rFonts w:ascii="Cambria Math" w:hAnsi="Cambria Math"/>
                                  <w:iCs/>
                                  <w:sz w:val="20"/>
                                </w:rPr>
                              </m:ctrlPr>
                            </m:naryPr>
                            <m:sub>
                              <m:r>
                                <w:rPr>
                                  <w:rFonts w:ascii="Cambria Math" w:hAnsi="Cambria Math"/>
                                  <w:sz w:val="20"/>
                                </w:rPr>
                                <m:t>e</m:t>
                              </m:r>
                            </m:sub>
                            <m:sup>
                              <m:r>
                                <w:rPr>
                                  <w:rFonts w:ascii="Cambria Math" w:hAnsi="Cambria Math"/>
                                  <w:sz w:val="20"/>
                                </w:rPr>
                                <m:t xml:space="preserve"> </m:t>
                              </m:r>
                            </m:sup>
                            <m:e>
                              <m:r>
                                <w:rPr>
                                  <w:rFonts w:ascii="Cambria Math" w:hAnsi="Cambria Math"/>
                                  <w:sz w:val="20"/>
                                </w:rPr>
                                <m:t xml:space="preserve"> </m:t>
                              </m:r>
                            </m:e>
                          </m:nary>
                          <m:nary>
                            <m:naryPr>
                              <m:chr m:val="∑"/>
                              <m:grow m:val="1"/>
                              <m:ctrlPr>
                                <w:rPr>
                                  <w:rFonts w:ascii="Cambria Math" w:hAnsi="Cambria Math"/>
                                  <w:iCs/>
                                  <w:sz w:val="20"/>
                                </w:rPr>
                              </m:ctrlPr>
                            </m:naryPr>
                            <m:sub>
                              <m:r>
                                <w:rPr>
                                  <w:rFonts w:ascii="Cambria Math" w:eastAsia="Cambria Math" w:hAnsi="Cambria Math" w:cs="Cambria Math"/>
                                  <w:sz w:val="20"/>
                                </w:rPr>
                                <m:t>i=1</m:t>
                              </m:r>
                            </m:sub>
                            <m:sup>
                              <m:r>
                                <w:rPr>
                                  <w:rFonts w:ascii="Cambria Math" w:eastAsia="Cambria Math" w:hAnsi="Cambria Math" w:cs="Cambria Math"/>
                                  <w:sz w:val="20"/>
                                </w:rPr>
                                <m:t>96</m:t>
                              </m:r>
                            </m:sup>
                            <m:e>
                              <m:r>
                                <w:rPr>
                                  <w:rFonts w:ascii="Cambria Math" w:hAnsi="Cambria Math"/>
                                  <w:sz w:val="20"/>
                                </w:rPr>
                                <m:t xml:space="preserve"> </m:t>
                              </m:r>
                            </m:e>
                          </m:nary>
                          <m:nary>
                            <m:naryPr>
                              <m:chr m:val="∑"/>
                              <m:grow m:val="1"/>
                              <m:ctrlPr>
                                <w:rPr>
                                  <w:rFonts w:ascii="Cambria Math" w:hAnsi="Cambria Math"/>
                                  <w:iCs/>
                                  <w:sz w:val="20"/>
                                </w:rPr>
                              </m:ctrlPr>
                            </m:naryPr>
                            <m:sub>
                              <m:r>
                                <w:rPr>
                                  <w:rFonts w:ascii="Cambria Math" w:hAnsi="Cambria Math"/>
                                  <w:sz w:val="20"/>
                                </w:rPr>
                                <m:t>p</m:t>
                              </m:r>
                            </m:sub>
                            <m:sup>
                              <m:r>
                                <w:rPr>
                                  <w:rFonts w:ascii="Cambria Math" w:hAnsi="Cambria Math"/>
                                  <w:sz w:val="20"/>
                                </w:rPr>
                                <m:t xml:space="preserve"> </m:t>
                              </m:r>
                            </m:sup>
                            <m:e>
                              <m:r>
                                <w:rPr>
                                  <w:rFonts w:ascii="Cambria Math" w:hAnsi="Cambria Math"/>
                                  <w:sz w:val="20"/>
                                </w:rPr>
                                <m:t xml:space="preserve"> </m:t>
                              </m:r>
                            </m:e>
                          </m:nary>
                        </m:oMath>
                        <w:r w:rsidRPr="009F4E0B">
                          <w:rPr>
                            <w:b/>
                            <w:bCs/>
                            <w:iCs/>
                            <w:sz w:val="20"/>
                          </w:rPr>
                          <w:t>[[[</w:t>
                        </w:r>
                        <w:r w:rsidRPr="009F4E0B">
                          <w:rPr>
                            <w:iCs/>
                            <w:sz w:val="20"/>
                          </w:rPr>
                          <w:t xml:space="preserve">L </w:t>
                        </w:r>
                        <w:r w:rsidRPr="009F4E0B">
                          <w:rPr>
                            <w:i/>
                            <w:iCs/>
                            <w:sz w:val="20"/>
                            <w:vertAlign w:val="subscript"/>
                          </w:rPr>
                          <w:t>i, od, p</w:t>
                        </w:r>
                        <w:r w:rsidRPr="009F4E0B">
                          <w:rPr>
                            <w:iCs/>
                            <w:sz w:val="20"/>
                          </w:rPr>
                          <w:t xml:space="preserve"> * </w:t>
                        </w:r>
                        <w:r w:rsidRPr="009F4E0B">
                          <w:rPr>
                            <w:i/>
                            <w:iCs/>
                            <w:sz w:val="20"/>
                          </w:rPr>
                          <w:t>T2</w:t>
                        </w:r>
                        <w:r w:rsidRPr="009F4E0B">
                          <w:rPr>
                            <w:iCs/>
                            <w:sz w:val="20"/>
                            <w:vertAlign w:val="subscript"/>
                          </w:rPr>
                          <w:t xml:space="preserve">  </w:t>
                        </w:r>
                        <w:r w:rsidRPr="009F4E0B">
                          <w:rPr>
                            <w:b/>
                            <w:bCs/>
                            <w:iCs/>
                            <w:sz w:val="20"/>
                          </w:rPr>
                          <w:t xml:space="preserve">- </w:t>
                        </w:r>
                        <w:r w:rsidRPr="009F4E0B">
                          <w:rPr>
                            <w:iCs/>
                            <w:sz w:val="20"/>
                          </w:rPr>
                          <w:t xml:space="preserve">G </w:t>
                        </w:r>
                        <w:r w:rsidRPr="009F4E0B">
                          <w:rPr>
                            <w:i/>
                            <w:iCs/>
                            <w:sz w:val="20"/>
                            <w:vertAlign w:val="subscript"/>
                          </w:rPr>
                          <w:t>i, od, p</w:t>
                        </w:r>
                        <w:r w:rsidRPr="009F4E0B">
                          <w:rPr>
                            <w:iCs/>
                            <w:sz w:val="20"/>
                          </w:rPr>
                          <w:t xml:space="preserve"> * (1-</w:t>
                        </w:r>
                        <w:r w:rsidRPr="009F4E0B">
                          <w:rPr>
                            <w:i/>
                            <w:iCs/>
                            <w:sz w:val="20"/>
                          </w:rPr>
                          <w:t>NUCADJ</w:t>
                        </w:r>
                        <w:r w:rsidRPr="009F4E0B">
                          <w:rPr>
                            <w:iCs/>
                            <w:sz w:val="20"/>
                          </w:rPr>
                          <w:t xml:space="preserve">) * </w:t>
                        </w:r>
                        <w:r w:rsidRPr="009F4E0B">
                          <w:rPr>
                            <w:i/>
                            <w:iCs/>
                            <w:sz w:val="20"/>
                          </w:rPr>
                          <w:t>T3</w:t>
                        </w:r>
                        <w:r w:rsidRPr="009F4E0B">
                          <w:rPr>
                            <w:iCs/>
                            <w:sz w:val="20"/>
                          </w:rPr>
                          <w:t xml:space="preserve">] * RTSPP </w:t>
                        </w:r>
                        <w:r w:rsidRPr="009F4E0B">
                          <w:rPr>
                            <w:i/>
                            <w:iCs/>
                            <w:sz w:val="20"/>
                            <w:vertAlign w:val="subscript"/>
                          </w:rPr>
                          <w:t>i, od, p</w:t>
                        </w:r>
                        <w:r w:rsidRPr="009F4E0B">
                          <w:rPr>
                            <w:iCs/>
                            <w:sz w:val="20"/>
                          </w:rPr>
                          <w:t xml:space="preserve">] + [RTQQNET </w:t>
                        </w:r>
                        <w:r w:rsidRPr="009F4E0B">
                          <w:rPr>
                            <w:i/>
                            <w:iCs/>
                            <w:sz w:val="20"/>
                            <w:vertAlign w:val="subscript"/>
                          </w:rPr>
                          <w:t>i, od, p</w:t>
                        </w:r>
                        <w:r w:rsidRPr="009F4E0B">
                          <w:rPr>
                            <w:b/>
                            <w:bCs/>
                            <w:iCs/>
                            <w:sz w:val="20"/>
                          </w:rPr>
                          <w:t xml:space="preserve"> </w:t>
                        </w:r>
                        <w:r w:rsidRPr="009F4E0B">
                          <w:rPr>
                            <w:iCs/>
                            <w:sz w:val="20"/>
                          </w:rPr>
                          <w:t xml:space="preserve">* </w:t>
                        </w:r>
                        <w:r w:rsidRPr="009F4E0B">
                          <w:rPr>
                            <w:i/>
                            <w:iCs/>
                            <w:sz w:val="20"/>
                          </w:rPr>
                          <w:t>T5</w:t>
                        </w:r>
                        <w:r w:rsidRPr="009F4E0B">
                          <w:rPr>
                            <w:iCs/>
                            <w:sz w:val="20"/>
                          </w:rPr>
                          <w:t>]]</w:t>
                        </w:r>
                        <w:r w:rsidRPr="009F4E0B">
                          <w:rPr>
                            <w:b/>
                            <w:bCs/>
                            <w:iCs/>
                            <w:sz w:val="20"/>
                          </w:rPr>
                          <w:t>/</w:t>
                        </w:r>
                        <w:r w:rsidRPr="009F4E0B">
                          <w:rPr>
                            <w:i/>
                            <w:iCs/>
                            <w:sz w:val="20"/>
                          </w:rPr>
                          <w:t>n</w:t>
                        </w:r>
                        <w:r w:rsidRPr="009F4E0B">
                          <w:rPr>
                            <w:iCs/>
                            <w:sz w:val="20"/>
                          </w:rPr>
                          <w:t xml:space="preserve">}, </w:t>
                        </w:r>
                      </w:p>
                      <w:p w14:paraId="1841599B" w14:textId="77777777" w:rsidR="004033D4" w:rsidRPr="009F4E0B" w:rsidRDefault="004033D4" w:rsidP="004033D4">
                        <w:pPr>
                          <w:spacing w:after="60"/>
                          <w:ind w:left="1643" w:hanging="1373"/>
                          <w:rPr>
                            <w:iCs/>
                            <w:sz w:val="20"/>
                          </w:rPr>
                        </w:pPr>
                        <w:r w:rsidRPr="009F4E0B">
                          <w:rPr>
                            <w:iCs/>
                            <w:sz w:val="20"/>
                          </w:rPr>
                          <w:t xml:space="preserve">                      {</w:t>
                        </w:r>
                        <m:oMath>
                          <m:nary>
                            <m:naryPr>
                              <m:chr m:val="∑"/>
                              <m:grow m:val="1"/>
                              <m:ctrlPr>
                                <w:rPr>
                                  <w:rFonts w:ascii="Cambria Math" w:hAnsi="Cambria Math"/>
                                  <w:iCs/>
                                  <w:sz w:val="20"/>
                                </w:rPr>
                              </m:ctrlPr>
                            </m:naryPr>
                            <m:sub>
                              <m:r>
                                <w:rPr>
                                  <w:rFonts w:ascii="Cambria Math" w:hAnsi="Cambria Math"/>
                                  <w:sz w:val="20"/>
                                </w:rPr>
                                <m:t>e</m:t>
                              </m:r>
                            </m:sub>
                            <m:sup>
                              <m:r>
                                <w:rPr>
                                  <w:rFonts w:ascii="Cambria Math" w:hAnsi="Cambria Math"/>
                                  <w:sz w:val="20"/>
                                </w:rPr>
                                <m:t xml:space="preserve"> </m:t>
                              </m:r>
                            </m:sup>
                            <m:e>
                              <m:r>
                                <w:rPr>
                                  <w:rFonts w:ascii="Cambria Math" w:hAnsi="Cambria Math"/>
                                  <w:sz w:val="20"/>
                                </w:rPr>
                                <m:t xml:space="preserve"> </m:t>
                              </m:r>
                            </m:e>
                          </m:nary>
                          <m:nary>
                            <m:naryPr>
                              <m:chr m:val="∑"/>
                              <m:grow m:val="1"/>
                              <m:ctrlPr>
                                <w:rPr>
                                  <w:rFonts w:ascii="Cambria Math" w:hAnsi="Cambria Math"/>
                                  <w:iCs/>
                                  <w:sz w:val="20"/>
                                </w:rPr>
                              </m:ctrlPr>
                            </m:naryPr>
                            <m:sub>
                              <m:r>
                                <w:rPr>
                                  <w:rFonts w:ascii="Cambria Math" w:eastAsia="Cambria Math" w:hAnsi="Cambria Math" w:cs="Cambria Math"/>
                                  <w:sz w:val="20"/>
                                </w:rPr>
                                <m:t>i=1</m:t>
                              </m:r>
                            </m:sub>
                            <m:sup>
                              <m:r>
                                <w:rPr>
                                  <w:rFonts w:ascii="Cambria Math" w:eastAsia="Cambria Math" w:hAnsi="Cambria Math" w:cs="Cambria Math"/>
                                  <w:sz w:val="20"/>
                                </w:rPr>
                                <m:t>96</m:t>
                              </m:r>
                            </m:sup>
                            <m:e>
                              <m:r>
                                <w:rPr>
                                  <w:rFonts w:ascii="Cambria Math" w:hAnsi="Cambria Math"/>
                                  <w:sz w:val="20"/>
                                </w:rPr>
                                <m:t xml:space="preserve"> </m:t>
                              </m:r>
                            </m:e>
                          </m:nary>
                          <m:nary>
                            <m:naryPr>
                              <m:chr m:val="∑"/>
                              <m:grow m:val="1"/>
                              <m:ctrlPr>
                                <w:rPr>
                                  <w:rFonts w:ascii="Cambria Math" w:hAnsi="Cambria Math"/>
                                  <w:iCs/>
                                  <w:sz w:val="20"/>
                                </w:rPr>
                              </m:ctrlPr>
                            </m:naryPr>
                            <m:sub>
                              <m:r>
                                <w:rPr>
                                  <w:rFonts w:ascii="Cambria Math" w:hAnsi="Cambria Math"/>
                                  <w:sz w:val="20"/>
                                </w:rPr>
                                <m:t>p</m:t>
                              </m:r>
                            </m:sub>
                            <m:sup>
                              <m:r>
                                <w:rPr>
                                  <w:rFonts w:ascii="Cambria Math" w:hAnsi="Cambria Math"/>
                                  <w:sz w:val="20"/>
                                </w:rPr>
                                <m:t xml:space="preserve"> </m:t>
                              </m:r>
                            </m:sup>
                            <m:e>
                              <m:r>
                                <w:rPr>
                                  <w:rFonts w:ascii="Cambria Math" w:hAnsi="Cambria Math"/>
                                  <w:sz w:val="20"/>
                                </w:rPr>
                                <m:t xml:space="preserve"> </m:t>
                              </m:r>
                            </m:e>
                          </m:nary>
                        </m:oMath>
                        <w:r w:rsidRPr="009F4E0B">
                          <w:rPr>
                            <w:b/>
                            <w:bCs/>
                            <w:iCs/>
                            <w:sz w:val="20"/>
                          </w:rPr>
                          <w:t>[</w:t>
                        </w:r>
                        <w:r w:rsidRPr="009F4E0B">
                          <w:rPr>
                            <w:iCs/>
                            <w:sz w:val="20"/>
                          </w:rPr>
                          <w:t xml:space="preserve">G </w:t>
                        </w:r>
                        <w:r w:rsidRPr="009F4E0B">
                          <w:rPr>
                            <w:i/>
                            <w:iCs/>
                            <w:sz w:val="20"/>
                            <w:vertAlign w:val="subscript"/>
                          </w:rPr>
                          <w:t>i, od, p</w:t>
                        </w:r>
                        <w:r w:rsidRPr="009F4E0B">
                          <w:rPr>
                            <w:iCs/>
                            <w:sz w:val="20"/>
                          </w:rPr>
                          <w:t xml:space="preserve"> * </w:t>
                        </w:r>
                        <w:r w:rsidRPr="009F4E0B">
                          <w:rPr>
                            <w:i/>
                            <w:iCs/>
                            <w:sz w:val="20"/>
                          </w:rPr>
                          <w:t>NUCADJ</w:t>
                        </w:r>
                        <w:r w:rsidRPr="009F4E0B">
                          <w:rPr>
                            <w:iCs/>
                            <w:sz w:val="20"/>
                          </w:rPr>
                          <w:t xml:space="preserve"> * </w:t>
                        </w:r>
                        <w:r w:rsidRPr="009F4E0B">
                          <w:rPr>
                            <w:i/>
                            <w:iCs/>
                            <w:sz w:val="20"/>
                          </w:rPr>
                          <w:t>T1</w:t>
                        </w:r>
                        <w:r w:rsidRPr="009F4E0B">
                          <w:rPr>
                            <w:iCs/>
                            <w:sz w:val="20"/>
                          </w:rPr>
                          <w:t xml:space="preserve"> * RTSPP </w:t>
                        </w:r>
                        <w:r w:rsidRPr="009F4E0B">
                          <w:rPr>
                            <w:i/>
                            <w:iCs/>
                            <w:sz w:val="20"/>
                            <w:vertAlign w:val="subscript"/>
                          </w:rPr>
                          <w:t>i, od, p</w:t>
                        </w:r>
                        <w:r w:rsidRPr="009F4E0B">
                          <w:rPr>
                            <w:b/>
                            <w:bCs/>
                            <w:iCs/>
                            <w:sz w:val="20"/>
                          </w:rPr>
                          <w:t>]/</w:t>
                        </w:r>
                        <w:r w:rsidRPr="009F4E0B">
                          <w:rPr>
                            <w:iCs/>
                            <w:sz w:val="20"/>
                          </w:rPr>
                          <w:t>n},</w:t>
                        </w:r>
                      </w:p>
                      <w:p w14:paraId="1E17603C" w14:textId="77777777" w:rsidR="004033D4" w:rsidRPr="009F4E0B" w:rsidRDefault="004033D4" w:rsidP="004033D4">
                        <w:pPr>
                          <w:spacing w:after="60"/>
                          <w:ind w:left="1643" w:hanging="1373"/>
                          <w:rPr>
                            <w:iCs/>
                            <w:sz w:val="20"/>
                          </w:rPr>
                        </w:pPr>
                        <w:r w:rsidRPr="009F4E0B">
                          <w:rPr>
                            <w:iCs/>
                            <w:sz w:val="20"/>
                          </w:rPr>
                          <w:t xml:space="preserve">                      {</w:t>
                        </w:r>
                        <w:r>
                          <w:rPr>
                            <w:iCs/>
                            <w:sz w:val="20"/>
                          </w:rPr>
                          <w:t>{</w:t>
                        </w:r>
                        <m:oMath>
                          <m:nary>
                            <m:naryPr>
                              <m:chr m:val="∑"/>
                              <m:grow m:val="1"/>
                              <m:ctrlPr>
                                <w:rPr>
                                  <w:rFonts w:ascii="Cambria Math" w:hAnsi="Cambria Math"/>
                                  <w:iCs/>
                                  <w:sz w:val="20"/>
                                </w:rPr>
                              </m:ctrlPr>
                            </m:naryPr>
                            <m:sub>
                              <m:r>
                                <w:rPr>
                                  <w:rFonts w:ascii="Cambria Math" w:hAnsi="Cambria Math"/>
                                  <w:sz w:val="20"/>
                                </w:rPr>
                                <m:t>e</m:t>
                              </m:r>
                            </m:sub>
                            <m:sup>
                              <m:r>
                                <w:rPr>
                                  <w:rFonts w:ascii="Cambria Math" w:hAnsi="Cambria Math"/>
                                  <w:sz w:val="20"/>
                                </w:rPr>
                                <m:t xml:space="preserve"> </m:t>
                              </m:r>
                            </m:sup>
                            <m:e>
                              <m:r>
                                <w:rPr>
                                  <w:rFonts w:ascii="Cambria Math" w:hAnsi="Cambria Math"/>
                                  <w:sz w:val="20"/>
                                </w:rPr>
                                <m:t xml:space="preserve"> </m:t>
                              </m:r>
                            </m:e>
                          </m:nary>
                          <m:nary>
                            <m:naryPr>
                              <m:chr m:val="∑"/>
                              <m:grow m:val="1"/>
                              <m:ctrlPr>
                                <w:rPr>
                                  <w:rFonts w:ascii="Cambria Math" w:hAnsi="Cambria Math"/>
                                  <w:iCs/>
                                  <w:sz w:val="20"/>
                                </w:rPr>
                              </m:ctrlPr>
                            </m:naryPr>
                            <m:sub>
                              <m:r>
                                <w:rPr>
                                  <w:rFonts w:ascii="Cambria Math" w:eastAsia="Cambria Math" w:hAnsi="Cambria Math" w:cs="Cambria Math"/>
                                  <w:sz w:val="20"/>
                                </w:rPr>
                                <m:t>i=1</m:t>
                              </m:r>
                            </m:sub>
                            <m:sup>
                              <m:r>
                                <w:rPr>
                                  <w:rFonts w:ascii="Cambria Math" w:eastAsia="Cambria Math" w:hAnsi="Cambria Math" w:cs="Cambria Math"/>
                                  <w:sz w:val="20"/>
                                </w:rPr>
                                <m:t>96</m:t>
                              </m:r>
                            </m:sup>
                            <m:e>
                              <m:r>
                                <w:rPr>
                                  <w:rFonts w:ascii="Cambria Math" w:hAnsi="Cambria Math"/>
                                  <w:sz w:val="20"/>
                                </w:rPr>
                                <m:t xml:space="preserve"> </m:t>
                              </m:r>
                            </m:e>
                          </m:nary>
                          <m:nary>
                            <m:naryPr>
                              <m:chr m:val="∑"/>
                              <m:grow m:val="1"/>
                              <m:ctrlPr>
                                <w:rPr>
                                  <w:rFonts w:ascii="Cambria Math" w:hAnsi="Cambria Math"/>
                                  <w:iCs/>
                                  <w:sz w:val="20"/>
                                </w:rPr>
                              </m:ctrlPr>
                            </m:naryPr>
                            <m:sub>
                              <m:r>
                                <w:rPr>
                                  <w:rFonts w:ascii="Cambria Math" w:hAnsi="Cambria Math"/>
                                  <w:sz w:val="20"/>
                                </w:rPr>
                                <m:t>p</m:t>
                              </m:r>
                            </m:sub>
                            <m:sup>
                              <m:r>
                                <w:rPr>
                                  <w:rFonts w:ascii="Cambria Math" w:hAnsi="Cambria Math"/>
                                  <w:sz w:val="20"/>
                                </w:rPr>
                                <m:t xml:space="preserve"> </m:t>
                              </m:r>
                            </m:sup>
                            <m:e>
                              <m:r>
                                <w:rPr>
                                  <w:rFonts w:ascii="Cambria Math" w:hAnsi="Cambria Math"/>
                                  <w:sz w:val="20"/>
                                </w:rPr>
                                <m:t xml:space="preserve"> </m:t>
                              </m:r>
                            </m:e>
                          </m:nary>
                        </m:oMath>
                        <w:r w:rsidRPr="009F4E0B">
                          <w:rPr>
                            <w:iCs/>
                            <w:sz w:val="20"/>
                          </w:rPr>
                          <w:t>DARTNET</w:t>
                        </w:r>
                        <w:r w:rsidRPr="009F4E0B">
                          <w:rPr>
                            <w:iCs/>
                            <w:sz w:val="16"/>
                            <w:vertAlign w:val="subscript"/>
                          </w:rPr>
                          <w:t xml:space="preserve"> </w:t>
                        </w:r>
                        <w:r w:rsidRPr="009F4E0B">
                          <w:rPr>
                            <w:i/>
                            <w:iCs/>
                            <w:sz w:val="20"/>
                            <w:vertAlign w:val="subscript"/>
                          </w:rPr>
                          <w:t>i, od, p</w:t>
                        </w:r>
                        <w:r w:rsidRPr="009F4E0B">
                          <w:rPr>
                            <w:iCs/>
                            <w:sz w:val="20"/>
                          </w:rPr>
                          <w:t xml:space="preserve"> </w:t>
                        </w:r>
                        <w:r w:rsidRPr="009F4E0B">
                          <w:rPr>
                            <w:iCs/>
                            <w:sz w:val="16"/>
                          </w:rPr>
                          <w:t xml:space="preserve">* </w:t>
                        </w:r>
                        <w:r w:rsidRPr="009F4E0B">
                          <w:rPr>
                            <w:i/>
                            <w:iCs/>
                            <w:sz w:val="20"/>
                          </w:rPr>
                          <w:t>T4</w:t>
                        </w:r>
                        <w:r w:rsidRPr="009F4E0B">
                          <w:rPr>
                            <w:iCs/>
                            <w:sz w:val="20"/>
                          </w:rPr>
                          <w:t>/</w:t>
                        </w:r>
                        <w:r w:rsidRPr="009F4E0B">
                          <w:rPr>
                            <w:i/>
                            <w:iCs/>
                            <w:sz w:val="20"/>
                          </w:rPr>
                          <w:t>n</w:t>
                        </w:r>
                        <w:r w:rsidRPr="009F4E0B">
                          <w:rPr>
                            <w:iCs/>
                            <w:sz w:val="20"/>
                          </w:rPr>
                          <w:t>}</w:t>
                        </w:r>
                        <w:r>
                          <w:rPr>
                            <w:iCs/>
                            <w:sz w:val="20"/>
                          </w:rPr>
                          <w:t xml:space="preserve"> </w:t>
                        </w:r>
                        <m:oMath>
                          <m:r>
                            <w:rPr>
                              <w:rFonts w:ascii="Cambria Math" w:hAnsi="Cambria Math"/>
                              <w:sz w:val="20"/>
                            </w:rPr>
                            <m:t>+</m:t>
                          </m:r>
                        </m:oMath>
                        <w:r w:rsidRPr="009F4E0B">
                          <w:rPr>
                            <w:iCs/>
                            <w:sz w:val="20"/>
                          </w:rPr>
                          <w:t>{</w:t>
                        </w:r>
                        <m:oMath>
                          <m:nary>
                            <m:naryPr>
                              <m:chr m:val="∑"/>
                              <m:grow m:val="1"/>
                              <m:ctrlPr>
                                <w:rPr>
                                  <w:rFonts w:ascii="Cambria Math" w:hAnsi="Cambria Math"/>
                                  <w:iCs/>
                                  <w:sz w:val="20"/>
                                </w:rPr>
                              </m:ctrlPr>
                            </m:naryPr>
                            <m:sub>
                              <m:r>
                                <w:rPr>
                                  <w:rFonts w:ascii="Cambria Math" w:hAnsi="Cambria Math"/>
                                  <w:sz w:val="20"/>
                                </w:rPr>
                                <m:t>e</m:t>
                              </m:r>
                            </m:sub>
                            <m:sup>
                              <m:r>
                                <w:rPr>
                                  <w:rFonts w:ascii="Cambria Math" w:hAnsi="Cambria Math"/>
                                  <w:sz w:val="20"/>
                                </w:rPr>
                                <m:t xml:space="preserve"> </m:t>
                              </m:r>
                            </m:sup>
                            <m:e>
                              <m:r>
                                <w:rPr>
                                  <w:rFonts w:ascii="Cambria Math" w:hAnsi="Cambria Math"/>
                                  <w:sz w:val="20"/>
                                </w:rPr>
                                <m:t xml:space="preserve"> </m:t>
                              </m:r>
                            </m:e>
                          </m:nary>
                          <m:nary>
                            <m:naryPr>
                              <m:chr m:val="∑"/>
                              <m:grow m:val="1"/>
                              <m:ctrlPr>
                                <w:rPr>
                                  <w:rFonts w:ascii="Cambria Math" w:hAnsi="Cambria Math"/>
                                  <w:iCs/>
                                  <w:sz w:val="20"/>
                                </w:rPr>
                              </m:ctrlPr>
                            </m:naryPr>
                            <m:sub>
                              <m:r>
                                <w:rPr>
                                  <w:rFonts w:ascii="Cambria Math" w:eastAsia="Cambria Math" w:hAnsi="Cambria Math" w:cs="Cambria Math"/>
                                  <w:sz w:val="20"/>
                                </w:rPr>
                                <m:t>i=1</m:t>
                              </m:r>
                            </m:sub>
                            <m:sup>
                              <m:r>
                                <w:rPr>
                                  <w:rFonts w:ascii="Cambria Math" w:eastAsia="Cambria Math" w:hAnsi="Cambria Math" w:cs="Cambria Math"/>
                                  <w:sz w:val="20"/>
                                </w:rPr>
                                <m:t>96</m:t>
                              </m:r>
                            </m:sup>
                            <m:e>
                              <m:r>
                                <w:rPr>
                                  <w:rFonts w:ascii="Cambria Math" w:hAnsi="Cambria Math"/>
                                  <w:sz w:val="20"/>
                                </w:rPr>
                                <m:t xml:space="preserve"> </m:t>
                              </m:r>
                            </m:e>
                          </m:nary>
                        </m:oMath>
                        <w:r>
                          <w:rPr>
                            <w:iCs/>
                            <w:sz w:val="20"/>
                          </w:rPr>
                          <w:t>DARTASONET</w:t>
                        </w:r>
                        <w:r w:rsidRPr="009F4E0B">
                          <w:rPr>
                            <w:i/>
                            <w:iCs/>
                            <w:sz w:val="20"/>
                            <w:vertAlign w:val="subscript"/>
                          </w:rPr>
                          <w:t xml:space="preserve"> </w:t>
                        </w:r>
                        <w:r>
                          <w:rPr>
                            <w:i/>
                            <w:iCs/>
                            <w:sz w:val="20"/>
                            <w:vertAlign w:val="subscript"/>
                          </w:rPr>
                          <w:t xml:space="preserve">i, od, </w:t>
                        </w:r>
                        <w:r w:rsidRPr="009F4E0B">
                          <w:rPr>
                            <w:i/>
                            <w:iCs/>
                            <w:sz w:val="20"/>
                            <w:vertAlign w:val="subscript"/>
                          </w:rPr>
                          <w:t>c</w:t>
                        </w:r>
                        <w:r>
                          <w:rPr>
                            <w:i/>
                            <w:iCs/>
                            <w:sz w:val="20"/>
                            <w:vertAlign w:val="subscript"/>
                          </w:rPr>
                          <w:t xml:space="preserve"> </w:t>
                        </w:r>
                        <w:r w:rsidRPr="007119F8">
                          <w:rPr>
                            <w:i/>
                            <w:iCs/>
                            <w:sz w:val="20"/>
                          </w:rPr>
                          <w:t>* T4/n</w:t>
                        </w:r>
                        <w:r w:rsidRPr="007119F8">
                          <w:rPr>
                            <w:iCs/>
                            <w:sz w:val="20"/>
                          </w:rPr>
                          <w:t>}</w:t>
                        </w:r>
                        <w:r>
                          <w:rPr>
                            <w:iCs/>
                            <w:sz w:val="20"/>
                          </w:rPr>
                          <w:t>}</w:t>
                        </w:r>
                        <w:r w:rsidRPr="009F4E0B">
                          <w:rPr>
                            <w:iCs/>
                            <w:sz w:val="20"/>
                          </w:rPr>
                          <w:t>],</w:t>
                        </w:r>
                      </w:p>
                      <w:p w14:paraId="01D397DF" w14:textId="77777777" w:rsidR="004033D4" w:rsidRPr="009F4E0B" w:rsidRDefault="004033D4" w:rsidP="004033D4">
                        <w:pPr>
                          <w:spacing w:after="60"/>
                          <w:ind w:left="1643" w:hanging="1373"/>
                          <w:rPr>
                            <w:iCs/>
                            <w:sz w:val="20"/>
                          </w:rPr>
                        </w:pPr>
                        <w:r w:rsidRPr="009F4E0B">
                          <w:rPr>
                            <w:iCs/>
                            <w:sz w:val="20"/>
                          </w:rPr>
                          <w:t xml:space="preserve">                      MAF * IMCE]</w:t>
                        </w:r>
                      </w:p>
                      <w:p w14:paraId="2D75F0B9" w14:textId="77777777" w:rsidR="004033D4" w:rsidRPr="009F4E0B" w:rsidRDefault="004033D4" w:rsidP="004033D4">
                        <w:pPr>
                          <w:spacing w:after="60"/>
                          <w:ind w:left="1643" w:hanging="1373"/>
                          <w:rPr>
                            <w:iCs/>
                            <w:sz w:val="20"/>
                          </w:rPr>
                        </w:pPr>
                      </w:p>
                      <w:p w14:paraId="20A0B138" w14:textId="77777777" w:rsidR="004033D4" w:rsidRPr="009F4E0B" w:rsidRDefault="004033D4" w:rsidP="004033D4">
                        <w:pPr>
                          <w:spacing w:after="60"/>
                          <w:ind w:left="1402" w:hanging="1170"/>
                          <w:rPr>
                            <w:b/>
                            <w:iCs/>
                            <w:sz w:val="20"/>
                          </w:rPr>
                        </w:pPr>
                        <w:r w:rsidRPr="009F4E0B">
                          <w:rPr>
                            <w:iCs/>
                            <w:sz w:val="20"/>
                          </w:rPr>
                          <w:t xml:space="preserve">RTQQNET </w:t>
                        </w:r>
                        <w:r w:rsidRPr="009F4E0B">
                          <w:rPr>
                            <w:i/>
                            <w:iCs/>
                            <w:sz w:val="20"/>
                            <w:vertAlign w:val="subscript"/>
                          </w:rPr>
                          <w:t>i, od, p</w:t>
                        </w:r>
                        <w:r w:rsidRPr="009F4E0B">
                          <w:rPr>
                            <w:i/>
                            <w:iCs/>
                            <w:sz w:val="20"/>
                          </w:rPr>
                          <w:t xml:space="preserve"> </w:t>
                        </w:r>
                        <w:r w:rsidRPr="009F4E0B">
                          <w:rPr>
                            <w:iCs/>
                            <w:sz w:val="20"/>
                          </w:rPr>
                          <w:t>= Max</w:t>
                        </w:r>
                        <w:r w:rsidRPr="009F4E0B">
                          <w:rPr>
                            <w:b/>
                            <w:iCs/>
                            <w:sz w:val="20"/>
                          </w:rPr>
                          <w:t>[</w:t>
                        </w:r>
                        <w:r w:rsidRPr="009F4E0B">
                          <w:rPr>
                            <w:b/>
                            <w:iCs/>
                            <w:position w:val="-20"/>
                            <w:sz w:val="20"/>
                          </w:rPr>
                          <w:object w:dxaOrig="225" w:dyaOrig="420" w14:anchorId="335FA0E3">
                            <v:shape id="_x0000_i1027" type="#_x0000_t75" style="width:7.8pt;height:22.8pt" o:ole="">
                              <v:imagedata r:id="rId17" o:title=""/>
                            </v:shape>
                            <o:OLEObject Type="Embed" ProgID="Equation.3" ShapeID="_x0000_i1027" DrawAspect="Content" ObjectID="_1775294573" r:id="rId20"/>
                          </w:object>
                        </w:r>
                        <w:r w:rsidRPr="009F4E0B">
                          <w:rPr>
                            <w:b/>
                            <w:iCs/>
                            <w:sz w:val="20"/>
                          </w:rPr>
                          <w:t>(</w:t>
                        </w:r>
                        <w:r w:rsidRPr="009F4E0B">
                          <w:rPr>
                            <w:iCs/>
                            <w:sz w:val="20"/>
                          </w:rPr>
                          <w:t xml:space="preserve">RTQQES </w:t>
                        </w:r>
                        <w:r w:rsidRPr="009F4E0B">
                          <w:rPr>
                            <w:i/>
                            <w:iCs/>
                            <w:sz w:val="20"/>
                            <w:vertAlign w:val="subscript"/>
                          </w:rPr>
                          <w:t xml:space="preserve">i, od, p, c </w:t>
                        </w:r>
                        <w:r w:rsidRPr="009F4E0B">
                          <w:rPr>
                            <w:i/>
                            <w:iCs/>
                            <w:sz w:val="20"/>
                          </w:rPr>
                          <w:t>-</w:t>
                        </w:r>
                        <w:r w:rsidRPr="009F4E0B">
                          <w:rPr>
                            <w:i/>
                            <w:iCs/>
                            <w:sz w:val="20"/>
                            <w:vertAlign w:val="subscript"/>
                          </w:rPr>
                          <w:t xml:space="preserve"> </w:t>
                        </w:r>
                        <w:r w:rsidRPr="009F4E0B">
                          <w:rPr>
                            <w:iCs/>
                            <w:sz w:val="20"/>
                          </w:rPr>
                          <w:t xml:space="preserve">RTQQEP </w:t>
                        </w:r>
                        <w:r w:rsidRPr="009F4E0B">
                          <w:rPr>
                            <w:i/>
                            <w:iCs/>
                            <w:sz w:val="20"/>
                            <w:vertAlign w:val="subscript"/>
                          </w:rPr>
                          <w:t>i, od, p, c</w:t>
                        </w:r>
                        <w:r w:rsidRPr="009F4E0B">
                          <w:rPr>
                            <w:iCs/>
                            <w:sz w:val="20"/>
                          </w:rPr>
                          <w:t xml:space="preserve">), </w:t>
                        </w:r>
                        <w:r w:rsidRPr="009F4E0B">
                          <w:rPr>
                            <w:i/>
                            <w:iCs/>
                            <w:sz w:val="20"/>
                          </w:rPr>
                          <w:t>BTCF</w:t>
                        </w:r>
                        <w:r w:rsidRPr="009F4E0B">
                          <w:rPr>
                            <w:iCs/>
                            <w:sz w:val="20"/>
                          </w:rPr>
                          <w:t xml:space="preserve"> *      </w:t>
                        </w:r>
                        <w:r w:rsidRPr="009F4E0B">
                          <w:rPr>
                            <w:b/>
                            <w:iCs/>
                            <w:position w:val="-20"/>
                            <w:sz w:val="20"/>
                          </w:rPr>
                          <w:object w:dxaOrig="225" w:dyaOrig="420" w14:anchorId="76ABEBDE">
                            <v:shape id="_x0000_i1028" type="#_x0000_t75" style="width:7.8pt;height:22.8pt" o:ole="">
                              <v:imagedata r:id="rId17" o:title=""/>
                            </v:shape>
                            <o:OLEObject Type="Embed" ProgID="Equation.3" ShapeID="_x0000_i1028" DrawAspect="Content" ObjectID="_1775294574" r:id="rId21"/>
                          </w:object>
                        </w:r>
                        <w:r w:rsidRPr="009F4E0B">
                          <w:rPr>
                            <w:iCs/>
                            <w:sz w:val="20"/>
                          </w:rPr>
                          <w:t xml:space="preserve">(RTQQES </w:t>
                        </w:r>
                        <w:r w:rsidRPr="009F4E0B">
                          <w:rPr>
                            <w:i/>
                            <w:iCs/>
                            <w:sz w:val="20"/>
                            <w:vertAlign w:val="subscript"/>
                          </w:rPr>
                          <w:t>i, od, p, c</w:t>
                        </w:r>
                        <w:r w:rsidRPr="009F4E0B">
                          <w:rPr>
                            <w:iCs/>
                            <w:sz w:val="20"/>
                          </w:rPr>
                          <w:t xml:space="preserve"> – RTQQEP </w:t>
                        </w:r>
                        <w:r w:rsidRPr="009F4E0B">
                          <w:rPr>
                            <w:i/>
                            <w:iCs/>
                            <w:sz w:val="20"/>
                            <w:vertAlign w:val="subscript"/>
                          </w:rPr>
                          <w:t>i, od, p, c</w:t>
                        </w:r>
                        <w:r w:rsidRPr="009F4E0B">
                          <w:rPr>
                            <w:iCs/>
                            <w:sz w:val="20"/>
                          </w:rPr>
                          <w:t xml:space="preserve">)] * RTSPP </w:t>
                        </w:r>
                        <w:r w:rsidRPr="009F4E0B">
                          <w:rPr>
                            <w:i/>
                            <w:iCs/>
                            <w:sz w:val="20"/>
                            <w:vertAlign w:val="subscript"/>
                          </w:rPr>
                          <w:t>i, od, p</w:t>
                        </w:r>
                      </w:p>
                      <w:p w14:paraId="4FBB6AD0" w14:textId="77777777" w:rsidR="004033D4" w:rsidRPr="009F4E0B" w:rsidRDefault="004033D4" w:rsidP="004033D4">
                        <w:pPr>
                          <w:spacing w:after="60"/>
                          <w:ind w:left="293"/>
                          <w:rPr>
                            <w:b/>
                            <w:iCs/>
                            <w:sz w:val="20"/>
                          </w:rPr>
                        </w:pPr>
                      </w:p>
                      <w:p w14:paraId="63FD939D" w14:textId="77777777" w:rsidR="004033D4" w:rsidRDefault="004033D4" w:rsidP="004033D4">
                        <w:pPr>
                          <w:spacing w:after="60"/>
                          <w:ind w:left="1402" w:hanging="1170"/>
                          <w:rPr>
                            <w:iCs/>
                            <w:color w:val="000000"/>
                            <w:sz w:val="20"/>
                          </w:rPr>
                        </w:pPr>
                        <w:r w:rsidRPr="009F4E0B">
                          <w:rPr>
                            <w:iCs/>
                            <w:color w:val="000000"/>
                            <w:sz w:val="20"/>
                          </w:rPr>
                          <w:t>DARTNET</w:t>
                        </w:r>
                        <w:r w:rsidRPr="009F4E0B">
                          <w:rPr>
                            <w:i/>
                            <w:iCs/>
                            <w:sz w:val="20"/>
                            <w:vertAlign w:val="subscript"/>
                          </w:rPr>
                          <w:t xml:space="preserve"> i, od, p </w:t>
                        </w:r>
                        <w:r w:rsidRPr="009F4E0B">
                          <w:rPr>
                            <w:iCs/>
                            <w:color w:val="000000"/>
                            <w:sz w:val="20"/>
                          </w:rPr>
                          <w:t xml:space="preserve"> = DAM EOO Cleared</w:t>
                        </w:r>
                        <w:r w:rsidRPr="009F4E0B">
                          <w:rPr>
                            <w:i/>
                            <w:iCs/>
                            <w:sz w:val="20"/>
                            <w:vertAlign w:val="subscript"/>
                          </w:rPr>
                          <w:t xml:space="preserve"> i, od, p</w:t>
                        </w:r>
                        <w:r w:rsidRPr="009F4E0B">
                          <w:rPr>
                            <w:i/>
                            <w:iCs/>
                            <w:sz w:val="20"/>
                          </w:rPr>
                          <w:t xml:space="preserve"> </w:t>
                        </w:r>
                        <w:r w:rsidRPr="009F4E0B">
                          <w:rPr>
                            <w:iCs/>
                            <w:color w:val="000000"/>
                            <w:sz w:val="20"/>
                          </w:rPr>
                          <w:t>* DART</w:t>
                        </w:r>
                        <w:r w:rsidRPr="009F4E0B">
                          <w:rPr>
                            <w:i/>
                            <w:iCs/>
                            <w:sz w:val="20"/>
                            <w:vertAlign w:val="subscript"/>
                          </w:rPr>
                          <w:t xml:space="preserve"> i, od, p</w:t>
                        </w:r>
                        <w:r w:rsidRPr="009F4E0B">
                          <w:rPr>
                            <w:iCs/>
                            <w:sz w:val="20"/>
                            <w:vertAlign w:val="subscript"/>
                          </w:rPr>
                          <w:t xml:space="preserve"> </w:t>
                        </w:r>
                        <w:r w:rsidRPr="009F4E0B">
                          <w:rPr>
                            <w:iCs/>
                            <w:color w:val="000000"/>
                            <w:sz w:val="20"/>
                          </w:rPr>
                          <w:t>+ DAM TPO Cleared</w:t>
                        </w:r>
                        <w:r w:rsidRPr="009F4E0B">
                          <w:rPr>
                            <w:i/>
                            <w:iCs/>
                            <w:sz w:val="20"/>
                            <w:vertAlign w:val="subscript"/>
                          </w:rPr>
                          <w:t xml:space="preserve"> i, od, p</w:t>
                        </w:r>
                        <w:r w:rsidRPr="009F4E0B">
                          <w:rPr>
                            <w:i/>
                            <w:iCs/>
                            <w:sz w:val="20"/>
                          </w:rPr>
                          <w:t xml:space="preserve"> </w:t>
                        </w:r>
                        <w:r w:rsidRPr="009F4E0B">
                          <w:rPr>
                            <w:iCs/>
                            <w:color w:val="000000"/>
                            <w:sz w:val="20"/>
                          </w:rPr>
                          <w:t>* DART</w:t>
                        </w:r>
                        <w:r w:rsidRPr="009F4E0B">
                          <w:rPr>
                            <w:i/>
                            <w:iCs/>
                            <w:sz w:val="20"/>
                            <w:vertAlign w:val="subscript"/>
                          </w:rPr>
                          <w:t xml:space="preserve"> i, od, p</w:t>
                        </w:r>
                        <w:r w:rsidRPr="009F4E0B">
                          <w:rPr>
                            <w:iCs/>
                            <w:color w:val="000000"/>
                            <w:sz w:val="20"/>
                          </w:rPr>
                          <w:t xml:space="preserve"> + DAM PTP Cleared</w:t>
                        </w:r>
                        <w:r w:rsidRPr="009F4E0B">
                          <w:rPr>
                            <w:i/>
                            <w:iCs/>
                            <w:sz w:val="20"/>
                            <w:vertAlign w:val="subscript"/>
                          </w:rPr>
                          <w:t xml:space="preserve"> i, od, p</w:t>
                        </w:r>
                        <w:r w:rsidRPr="009F4E0B">
                          <w:rPr>
                            <w:i/>
                            <w:iCs/>
                            <w:sz w:val="20"/>
                          </w:rPr>
                          <w:t xml:space="preserve"> </w:t>
                        </w:r>
                        <w:r w:rsidRPr="009F4E0B">
                          <w:rPr>
                            <w:iCs/>
                            <w:color w:val="000000"/>
                            <w:sz w:val="20"/>
                          </w:rPr>
                          <w:t>* DARTPTP</w:t>
                        </w:r>
                        <w:r w:rsidRPr="009F4E0B">
                          <w:rPr>
                            <w:i/>
                            <w:iCs/>
                            <w:sz w:val="20"/>
                            <w:vertAlign w:val="subscript"/>
                          </w:rPr>
                          <w:t xml:space="preserve"> i, od, p</w:t>
                        </w:r>
                        <w:r w:rsidRPr="009F4E0B">
                          <w:rPr>
                            <w:iCs/>
                            <w:sz w:val="20"/>
                            <w:vertAlign w:val="subscript"/>
                          </w:rPr>
                          <w:t xml:space="preserve"> </w:t>
                        </w:r>
                        <w:r w:rsidRPr="009F4E0B">
                          <w:rPr>
                            <w:iCs/>
                            <w:color w:val="000000"/>
                            <w:sz w:val="20"/>
                          </w:rPr>
                          <w:t>– DAM EOB Cleared</w:t>
                        </w:r>
                        <w:r w:rsidRPr="009F4E0B">
                          <w:rPr>
                            <w:i/>
                            <w:iCs/>
                            <w:sz w:val="20"/>
                            <w:vertAlign w:val="subscript"/>
                          </w:rPr>
                          <w:t xml:space="preserve"> i, od, p</w:t>
                        </w:r>
                        <w:r w:rsidRPr="009F4E0B">
                          <w:rPr>
                            <w:i/>
                            <w:iCs/>
                            <w:sz w:val="20"/>
                          </w:rPr>
                          <w:t xml:space="preserve"> </w:t>
                        </w:r>
                        <w:r w:rsidRPr="009F4E0B">
                          <w:rPr>
                            <w:iCs/>
                            <w:color w:val="000000"/>
                            <w:sz w:val="20"/>
                          </w:rPr>
                          <w:t>* DART</w:t>
                        </w:r>
                        <w:r w:rsidRPr="009F4E0B">
                          <w:rPr>
                            <w:i/>
                            <w:iCs/>
                            <w:sz w:val="20"/>
                            <w:vertAlign w:val="subscript"/>
                          </w:rPr>
                          <w:t xml:space="preserve"> i, od, p</w:t>
                        </w:r>
                        <w:r w:rsidRPr="009F4E0B">
                          <w:rPr>
                            <w:iCs/>
                            <w:color w:val="000000"/>
                            <w:sz w:val="20"/>
                          </w:rPr>
                          <w:t xml:space="preserve"> </w:t>
                        </w:r>
                      </w:p>
                      <w:p w14:paraId="1214D703" w14:textId="77777777" w:rsidR="004033D4" w:rsidRDefault="004033D4" w:rsidP="004033D4">
                        <w:pPr>
                          <w:spacing w:after="60"/>
                          <w:ind w:left="1402" w:hanging="1170"/>
                          <w:rPr>
                            <w:iCs/>
                            <w:color w:val="000000"/>
                            <w:sz w:val="20"/>
                          </w:rPr>
                        </w:pPr>
                      </w:p>
                      <w:p w14:paraId="448953EC" w14:textId="77777777" w:rsidR="004033D4" w:rsidRPr="009F4E0B" w:rsidRDefault="004033D4" w:rsidP="004033D4">
                        <w:pPr>
                          <w:spacing w:after="60"/>
                          <w:ind w:left="1402" w:hanging="1170"/>
                          <w:rPr>
                            <w:iCs/>
                            <w:color w:val="000000"/>
                            <w:sz w:val="20"/>
                          </w:rPr>
                        </w:pPr>
                        <w:r>
                          <w:rPr>
                            <w:iCs/>
                            <w:color w:val="000000"/>
                            <w:sz w:val="20"/>
                          </w:rPr>
                          <w:t>DARTASONET</w:t>
                        </w:r>
                        <w:r w:rsidRPr="009F4E0B">
                          <w:rPr>
                            <w:i/>
                            <w:iCs/>
                            <w:sz w:val="20"/>
                            <w:vertAlign w:val="subscript"/>
                          </w:rPr>
                          <w:t xml:space="preserve"> </w:t>
                        </w:r>
                        <w:r>
                          <w:rPr>
                            <w:i/>
                            <w:iCs/>
                            <w:sz w:val="20"/>
                            <w:vertAlign w:val="subscript"/>
                          </w:rPr>
                          <w:t>i, od</w:t>
                        </w:r>
                        <w:r>
                          <w:rPr>
                            <w:iCs/>
                            <w:color w:val="000000"/>
                            <w:sz w:val="20"/>
                          </w:rPr>
                          <w:t xml:space="preserve"> = DAM ASOO Cleared </w:t>
                        </w:r>
                        <w:r>
                          <w:rPr>
                            <w:i/>
                            <w:iCs/>
                            <w:sz w:val="20"/>
                            <w:vertAlign w:val="subscript"/>
                          </w:rPr>
                          <w:t>i, od</w:t>
                        </w:r>
                        <w:r>
                          <w:rPr>
                            <w:iCs/>
                            <w:color w:val="000000"/>
                            <w:sz w:val="20"/>
                          </w:rPr>
                          <w:t xml:space="preserve"> * DARTMCPC</w:t>
                        </w:r>
                        <w:r>
                          <w:rPr>
                            <w:i/>
                            <w:iCs/>
                            <w:sz w:val="20"/>
                            <w:vertAlign w:val="subscript"/>
                          </w:rPr>
                          <w:t xml:space="preserve"> i, od</w:t>
                        </w:r>
                      </w:p>
                      <w:p w14:paraId="636569A9" w14:textId="77777777" w:rsidR="004033D4" w:rsidRPr="009F4E0B" w:rsidRDefault="004033D4" w:rsidP="004033D4">
                        <w:pPr>
                          <w:keepNext/>
                          <w:tabs>
                            <w:tab w:val="left" w:pos="1728"/>
                            <w:tab w:val="center" w:pos="4536"/>
                            <w:tab w:val="right" w:pos="9360"/>
                          </w:tabs>
                          <w:spacing w:before="240" w:after="60"/>
                          <w:ind w:left="1733" w:hanging="1440"/>
                          <w:outlineLvl w:val="6"/>
                          <w:rPr>
                            <w:sz w:val="20"/>
                          </w:rPr>
                        </w:pPr>
                        <w:r w:rsidRPr="009F4E0B">
                          <w:rPr>
                            <w:sz w:val="20"/>
                          </w:rPr>
                          <w:t>Where:</w:t>
                        </w:r>
                      </w:p>
                      <w:p w14:paraId="44936BEF" w14:textId="77777777" w:rsidR="004033D4" w:rsidRPr="009F4E0B" w:rsidRDefault="004033D4" w:rsidP="004033D4">
                        <w:pPr>
                          <w:keepNext/>
                          <w:tabs>
                            <w:tab w:val="left" w:pos="1728"/>
                            <w:tab w:val="center" w:pos="4536"/>
                            <w:tab w:val="right" w:pos="9360"/>
                          </w:tabs>
                          <w:spacing w:before="240" w:after="60"/>
                          <w:ind w:left="1733" w:hanging="1440"/>
                          <w:outlineLvl w:val="6"/>
                          <w:rPr>
                            <w:rFonts w:ascii="Cambria" w:hAnsi="Cambria"/>
                            <w:iCs/>
                            <w:color w:val="404040"/>
                            <w:sz w:val="20"/>
                          </w:rPr>
                        </w:pPr>
                        <w:r w:rsidRPr="009F4E0B">
                          <w:rPr>
                            <w:iCs/>
                            <w:sz w:val="20"/>
                          </w:rPr>
                          <w:t>G</w:t>
                        </w:r>
                        <w:r w:rsidRPr="009F4E0B">
                          <w:rPr>
                            <w:i/>
                            <w:iCs/>
                            <w:sz w:val="20"/>
                            <w:vertAlign w:val="subscript"/>
                          </w:rPr>
                          <w:t xml:space="preserve"> i, od, p</w:t>
                        </w:r>
                        <w:r w:rsidRPr="009F4E0B">
                          <w:rPr>
                            <w:iCs/>
                            <w:sz w:val="20"/>
                          </w:rPr>
                          <w:t xml:space="preserve"> = </w:t>
                        </w:r>
                        <w:r w:rsidRPr="009F4E0B">
                          <w:rPr>
                            <w:iCs/>
                            <w:sz w:val="20"/>
                          </w:rPr>
                          <w:tab/>
                        </w:r>
                        <w:r w:rsidRPr="009F4E0B">
                          <w:rPr>
                            <w:i/>
                            <w:iCs/>
                            <w:sz w:val="20"/>
                          </w:rPr>
                          <w:t>Total Metered Generation at all Resource Nodes</w:t>
                        </w:r>
                        <w:r w:rsidRPr="009F4E0B">
                          <w:rPr>
                            <w:iCs/>
                            <w:sz w:val="20"/>
                          </w:rPr>
                          <w:t xml:space="preserve"> for the Counter-Party for interval </w:t>
                        </w:r>
                        <w:r w:rsidRPr="009F4E0B">
                          <w:rPr>
                            <w:i/>
                            <w:iCs/>
                            <w:sz w:val="20"/>
                          </w:rPr>
                          <w:t>i</w:t>
                        </w:r>
                        <w:r w:rsidRPr="009F4E0B">
                          <w:rPr>
                            <w:iCs/>
                            <w:sz w:val="20"/>
                          </w:rPr>
                          <w:t xml:space="preserve"> for Operating Day </w:t>
                        </w:r>
                        <w:r w:rsidRPr="009F4E0B">
                          <w:rPr>
                            <w:i/>
                            <w:iCs/>
                            <w:sz w:val="20"/>
                          </w:rPr>
                          <w:t xml:space="preserve">od </w:t>
                        </w:r>
                        <w:r w:rsidRPr="009F4E0B">
                          <w:rPr>
                            <w:iCs/>
                            <w:sz w:val="20"/>
                          </w:rPr>
                          <w:t xml:space="preserve">at Settlement Point </w:t>
                        </w:r>
                        <w:r w:rsidRPr="009F4E0B">
                          <w:rPr>
                            <w:i/>
                            <w:iCs/>
                            <w:sz w:val="20"/>
                          </w:rPr>
                          <w:t>p</w:t>
                        </w:r>
                      </w:p>
                      <w:p w14:paraId="66A08D1C" w14:textId="77777777" w:rsidR="004033D4" w:rsidRPr="009F4E0B" w:rsidRDefault="004033D4" w:rsidP="004033D4">
                        <w:pPr>
                          <w:tabs>
                            <w:tab w:val="right" w:pos="9360"/>
                          </w:tabs>
                          <w:spacing w:after="60"/>
                          <w:ind w:left="1733" w:hanging="1440"/>
                          <w:rPr>
                            <w:rFonts w:ascii="Cambria" w:hAnsi="Cambria"/>
                            <w:i/>
                            <w:iCs/>
                            <w:color w:val="404040"/>
                            <w:sz w:val="20"/>
                          </w:rPr>
                        </w:pPr>
                        <w:r w:rsidRPr="009F4E0B">
                          <w:rPr>
                            <w:iCs/>
                            <w:sz w:val="20"/>
                          </w:rPr>
                          <w:t>L</w:t>
                        </w:r>
                        <w:r w:rsidRPr="009F4E0B">
                          <w:rPr>
                            <w:i/>
                            <w:iCs/>
                            <w:sz w:val="20"/>
                            <w:vertAlign w:val="subscript"/>
                          </w:rPr>
                          <w:t xml:space="preserve"> i, od, p</w:t>
                        </w:r>
                        <w:r w:rsidRPr="009F4E0B">
                          <w:rPr>
                            <w:iCs/>
                            <w:sz w:val="20"/>
                          </w:rPr>
                          <w:t xml:space="preserve"> = </w:t>
                        </w:r>
                        <w:r w:rsidRPr="009F4E0B">
                          <w:rPr>
                            <w:iCs/>
                            <w:sz w:val="20"/>
                          </w:rPr>
                          <w:tab/>
                        </w:r>
                        <w:r w:rsidRPr="009F4E0B">
                          <w:rPr>
                            <w:i/>
                            <w:iCs/>
                            <w:sz w:val="20"/>
                          </w:rPr>
                          <w:t>Total Adjusted Metered Load (AML) at all Load Zones</w:t>
                        </w:r>
                        <w:r w:rsidRPr="009F4E0B">
                          <w:rPr>
                            <w:iCs/>
                            <w:sz w:val="20"/>
                          </w:rPr>
                          <w:t xml:space="preserve"> for the Counter-Party for interval </w:t>
                        </w:r>
                        <w:r w:rsidRPr="009F4E0B">
                          <w:rPr>
                            <w:i/>
                            <w:iCs/>
                            <w:sz w:val="20"/>
                          </w:rPr>
                          <w:t>i</w:t>
                        </w:r>
                        <w:r w:rsidRPr="009F4E0B">
                          <w:rPr>
                            <w:iCs/>
                            <w:sz w:val="20"/>
                          </w:rPr>
                          <w:t xml:space="preserve"> for Operating Day </w:t>
                        </w:r>
                        <w:r w:rsidRPr="009F4E0B">
                          <w:rPr>
                            <w:i/>
                            <w:iCs/>
                            <w:sz w:val="20"/>
                          </w:rPr>
                          <w:t>od</w:t>
                        </w:r>
                        <w:r w:rsidRPr="009F4E0B">
                          <w:rPr>
                            <w:iCs/>
                            <w:sz w:val="20"/>
                          </w:rPr>
                          <w:t xml:space="preserve"> at Settlement Point </w:t>
                        </w:r>
                        <w:r w:rsidRPr="009F4E0B">
                          <w:rPr>
                            <w:i/>
                            <w:iCs/>
                            <w:sz w:val="20"/>
                          </w:rPr>
                          <w:t>p</w:t>
                        </w:r>
                      </w:p>
                      <w:p w14:paraId="38524A7B" w14:textId="62822F50" w:rsidR="004033D4" w:rsidRPr="009F4E0B" w:rsidRDefault="004033D4" w:rsidP="004033D4">
                        <w:pPr>
                          <w:tabs>
                            <w:tab w:val="right" w:pos="9360"/>
                          </w:tabs>
                          <w:spacing w:after="60"/>
                          <w:ind w:left="1733" w:hanging="1440"/>
                          <w:rPr>
                            <w:iCs/>
                            <w:sz w:val="20"/>
                          </w:rPr>
                        </w:pPr>
                        <w:r w:rsidRPr="009F4E0B">
                          <w:rPr>
                            <w:sz w:val="20"/>
                          </w:rPr>
                          <w:t xml:space="preserve">MAF = </w:t>
                        </w:r>
                        <w:r w:rsidRPr="009F4E0B">
                          <w:rPr>
                            <w:sz w:val="20"/>
                          </w:rPr>
                          <w:tab/>
                        </w:r>
                        <w:r w:rsidRPr="009F4E0B">
                          <w:rPr>
                            <w:i/>
                            <w:sz w:val="20"/>
                          </w:rPr>
                          <w:t>Market Adjustment Factor</w:t>
                        </w:r>
                        <w:r w:rsidRPr="009F4E0B">
                          <w:rPr>
                            <w:iCs/>
                            <w:sz w:val="20"/>
                          </w:rPr>
                          <w:t>—</w:t>
                        </w:r>
                        <w:r w:rsidRPr="009F4E0B">
                          <w:rPr>
                            <w:sz w:val="20"/>
                          </w:rPr>
                          <w:t xml:space="preserve">Used to provide for the potential for overall price increases based on changes to </w:t>
                        </w:r>
                        <w:r w:rsidRPr="009F4E0B">
                          <w:rPr>
                            <w:sz w:val="20"/>
                          </w:rPr>
                          <w:lastRenderedPageBreak/>
                          <w:t>ERCOT market rules or market conditions.  This factor shall not be set below 100%.  Revisions to this factor will be recommended by</w:t>
                        </w:r>
                        <w:r w:rsidR="00081A43">
                          <w:rPr>
                            <w:sz w:val="20"/>
                          </w:rPr>
                          <w:t xml:space="preserve"> the</w:t>
                        </w:r>
                        <w:r w:rsidR="00081A43" w:rsidRPr="009F4E0B">
                          <w:rPr>
                            <w:sz w:val="20"/>
                          </w:rPr>
                          <w:t xml:space="preserve"> </w:t>
                        </w:r>
                        <w:r w:rsidR="00081A43">
                          <w:rPr>
                            <w:sz w:val="20"/>
                          </w:rPr>
                          <w:t>Technical Advisory Committee (</w:t>
                        </w:r>
                        <w:r w:rsidR="00081A43" w:rsidRPr="009F4E0B">
                          <w:rPr>
                            <w:sz w:val="20"/>
                          </w:rPr>
                          <w:t>TAC</w:t>
                        </w:r>
                        <w:r w:rsidR="00081A43">
                          <w:rPr>
                            <w:sz w:val="20"/>
                          </w:rPr>
                          <w:t>)</w:t>
                        </w:r>
                        <w:r w:rsidR="00081A43" w:rsidRPr="009F4E0B">
                          <w:rPr>
                            <w:sz w:val="20"/>
                          </w:rPr>
                          <w:t xml:space="preserve"> </w:t>
                        </w:r>
                        <w:r w:rsidRPr="009F4E0B">
                          <w:rPr>
                            <w:sz w:val="20"/>
                          </w:rPr>
                          <w:t>and the ERCOT Finance and Audit (F&amp;A) Committee, and approved by the ERCOT Board.  Such revisions shall be implemented on the 45th calendar day following ERCOT Board approval unless otherwise directed by the ERCOT Board.</w:t>
                        </w:r>
                      </w:p>
                      <w:p w14:paraId="48002C52" w14:textId="6672C9B2" w:rsidR="004033D4" w:rsidRPr="009F4E0B" w:rsidRDefault="004033D4" w:rsidP="004033D4">
                        <w:pPr>
                          <w:tabs>
                            <w:tab w:val="right" w:pos="9360"/>
                          </w:tabs>
                          <w:spacing w:after="60"/>
                          <w:ind w:left="1733" w:hanging="1440"/>
                          <w:rPr>
                            <w:iCs/>
                            <w:sz w:val="20"/>
                          </w:rPr>
                        </w:pPr>
                        <w:r w:rsidRPr="009F4E0B">
                          <w:rPr>
                            <w:i/>
                            <w:iCs/>
                            <w:sz w:val="20"/>
                          </w:rPr>
                          <w:t>NUCADJ</w:t>
                        </w:r>
                        <w:r w:rsidRPr="009F4E0B">
                          <w:rPr>
                            <w:iCs/>
                            <w:sz w:val="20"/>
                            <w:vertAlign w:val="subscript"/>
                          </w:rPr>
                          <w:t xml:space="preserve"> </w:t>
                        </w:r>
                        <w:r w:rsidRPr="009F4E0B">
                          <w:rPr>
                            <w:iCs/>
                            <w:sz w:val="20"/>
                          </w:rPr>
                          <w:t xml:space="preserve">= </w:t>
                        </w:r>
                        <w:r w:rsidRPr="009F4E0B">
                          <w:rPr>
                            <w:iCs/>
                            <w:sz w:val="20"/>
                          </w:rPr>
                          <w:tab/>
                        </w:r>
                        <w:r w:rsidRPr="009F4E0B">
                          <w:rPr>
                            <w:i/>
                            <w:sz w:val="20"/>
                          </w:rPr>
                          <w:t>Net Unit Contingent Adjustment</w:t>
                        </w:r>
                        <w:r w:rsidRPr="009F4E0B">
                          <w:rPr>
                            <w:iCs/>
                            <w:sz w:val="20"/>
                          </w:rPr>
                          <w:t xml:space="preserve">—To </w:t>
                        </w:r>
                        <w:r w:rsidRPr="009F4E0B">
                          <w:rPr>
                            <w:sz w:val="20"/>
                          </w:rPr>
                          <w:t>allow</w:t>
                        </w:r>
                        <w:r w:rsidRPr="009F4E0B">
                          <w:rPr>
                            <w:iCs/>
                            <w:sz w:val="20"/>
                          </w:rPr>
                          <w:t xml:space="preserve"> for situations where a generator may unintentionally or intentionally meet its requirement from the Real-Time Market (RTM)</w:t>
                        </w:r>
                      </w:p>
                      <w:p w14:paraId="49B1253F" w14:textId="77777777" w:rsidR="004033D4" w:rsidRPr="009F4E0B" w:rsidRDefault="004033D4" w:rsidP="004033D4">
                        <w:pPr>
                          <w:tabs>
                            <w:tab w:val="right" w:pos="9360"/>
                          </w:tabs>
                          <w:spacing w:after="60"/>
                          <w:ind w:left="1733" w:hanging="1440"/>
                          <w:rPr>
                            <w:iCs/>
                            <w:sz w:val="20"/>
                          </w:rPr>
                        </w:pPr>
                        <w:r w:rsidRPr="009F4E0B">
                          <w:rPr>
                            <w:iCs/>
                            <w:sz w:val="20"/>
                          </w:rPr>
                          <w:t>RTQQNET</w:t>
                        </w:r>
                        <w:r w:rsidRPr="009F4E0B">
                          <w:rPr>
                            <w:i/>
                            <w:iCs/>
                            <w:sz w:val="20"/>
                            <w:vertAlign w:val="subscript"/>
                          </w:rPr>
                          <w:t xml:space="preserve"> i, od, p </w:t>
                        </w:r>
                        <w:r w:rsidRPr="009F4E0B">
                          <w:rPr>
                            <w:iCs/>
                            <w:sz w:val="20"/>
                          </w:rPr>
                          <w:t xml:space="preserve">= </w:t>
                        </w:r>
                        <w:r w:rsidRPr="009F4E0B">
                          <w:rPr>
                            <w:i/>
                            <w:iCs/>
                            <w:sz w:val="20"/>
                          </w:rPr>
                          <w:t>Net QSE-to-QSE Energy Trades</w:t>
                        </w:r>
                        <w:r w:rsidRPr="009F4E0B">
                          <w:rPr>
                            <w:iCs/>
                            <w:sz w:val="20"/>
                          </w:rPr>
                          <w:t xml:space="preserve"> for the Counter-Party for interval </w:t>
                        </w:r>
                        <w:r w:rsidRPr="009F4E0B">
                          <w:rPr>
                            <w:i/>
                            <w:iCs/>
                            <w:sz w:val="20"/>
                          </w:rPr>
                          <w:t>i</w:t>
                        </w:r>
                        <w:r w:rsidRPr="009F4E0B">
                          <w:rPr>
                            <w:iCs/>
                            <w:sz w:val="20"/>
                          </w:rPr>
                          <w:t xml:space="preserve"> for Operating Day </w:t>
                        </w:r>
                        <w:r w:rsidRPr="009F4E0B">
                          <w:rPr>
                            <w:i/>
                            <w:iCs/>
                            <w:sz w:val="20"/>
                          </w:rPr>
                          <w:t>od</w:t>
                        </w:r>
                        <w:r w:rsidRPr="009F4E0B">
                          <w:rPr>
                            <w:iCs/>
                            <w:sz w:val="20"/>
                          </w:rPr>
                          <w:t xml:space="preserve"> at Settlement Point </w:t>
                        </w:r>
                        <w:r w:rsidRPr="009F4E0B">
                          <w:rPr>
                            <w:i/>
                            <w:iCs/>
                            <w:sz w:val="20"/>
                          </w:rPr>
                          <w:t>p</w:t>
                        </w:r>
                      </w:p>
                      <w:p w14:paraId="2BEECB76" w14:textId="77777777" w:rsidR="004033D4" w:rsidRPr="009F4E0B" w:rsidRDefault="004033D4" w:rsidP="004033D4">
                        <w:pPr>
                          <w:tabs>
                            <w:tab w:val="right" w:pos="9360"/>
                          </w:tabs>
                          <w:spacing w:after="60"/>
                          <w:ind w:left="1733" w:hanging="1440"/>
                          <w:rPr>
                            <w:iCs/>
                            <w:sz w:val="20"/>
                          </w:rPr>
                        </w:pPr>
                        <w:r w:rsidRPr="009F4E0B">
                          <w:rPr>
                            <w:iCs/>
                            <w:sz w:val="20"/>
                          </w:rPr>
                          <w:t>RTQQES</w:t>
                        </w:r>
                        <w:r w:rsidRPr="009F4E0B">
                          <w:rPr>
                            <w:i/>
                            <w:iCs/>
                            <w:sz w:val="20"/>
                            <w:vertAlign w:val="subscript"/>
                          </w:rPr>
                          <w:t xml:space="preserve"> i, od, p, c</w:t>
                        </w:r>
                        <w:r w:rsidRPr="009F4E0B">
                          <w:rPr>
                            <w:iCs/>
                            <w:sz w:val="20"/>
                          </w:rPr>
                          <w:t xml:space="preserve"> = </w:t>
                        </w:r>
                        <w:r w:rsidRPr="009F4E0B">
                          <w:rPr>
                            <w:i/>
                            <w:iCs/>
                            <w:sz w:val="20"/>
                          </w:rPr>
                          <w:t xml:space="preserve">QSE Energy Trades </w:t>
                        </w:r>
                        <w:r w:rsidRPr="009F4E0B">
                          <w:rPr>
                            <w:iCs/>
                            <w:sz w:val="20"/>
                          </w:rPr>
                          <w:t xml:space="preserve">for which the Counter-Party is the seller for interval </w:t>
                        </w:r>
                        <w:r w:rsidRPr="009F4E0B">
                          <w:rPr>
                            <w:i/>
                            <w:iCs/>
                            <w:sz w:val="20"/>
                          </w:rPr>
                          <w:t>i</w:t>
                        </w:r>
                        <w:r w:rsidRPr="009F4E0B">
                          <w:rPr>
                            <w:iCs/>
                            <w:sz w:val="20"/>
                          </w:rPr>
                          <w:t xml:space="preserve"> for Operating Day </w:t>
                        </w:r>
                        <w:r w:rsidRPr="009F4E0B">
                          <w:rPr>
                            <w:i/>
                            <w:iCs/>
                            <w:sz w:val="20"/>
                          </w:rPr>
                          <w:t>od</w:t>
                        </w:r>
                        <w:r w:rsidRPr="009F4E0B">
                          <w:rPr>
                            <w:iCs/>
                            <w:sz w:val="20"/>
                          </w:rPr>
                          <w:t xml:space="preserve"> at Settlement Point </w:t>
                        </w:r>
                        <w:r w:rsidRPr="009F4E0B">
                          <w:rPr>
                            <w:i/>
                            <w:iCs/>
                            <w:sz w:val="20"/>
                          </w:rPr>
                          <w:t>p</w:t>
                        </w:r>
                        <w:r w:rsidRPr="009F4E0B">
                          <w:rPr>
                            <w:iCs/>
                            <w:sz w:val="20"/>
                          </w:rPr>
                          <w:t xml:space="preserve"> with Counter-Party </w:t>
                        </w:r>
                        <w:r w:rsidRPr="009F4E0B">
                          <w:rPr>
                            <w:i/>
                            <w:iCs/>
                            <w:sz w:val="20"/>
                          </w:rPr>
                          <w:t>c</w:t>
                        </w:r>
                      </w:p>
                      <w:p w14:paraId="03004516" w14:textId="51C6B9E6" w:rsidR="004033D4" w:rsidRDefault="004033D4" w:rsidP="004033D4">
                        <w:pPr>
                          <w:tabs>
                            <w:tab w:val="right" w:pos="9360"/>
                          </w:tabs>
                          <w:spacing w:after="60"/>
                          <w:ind w:left="1733" w:hanging="1440"/>
                          <w:rPr>
                            <w:i/>
                            <w:iCs/>
                            <w:sz w:val="20"/>
                          </w:rPr>
                        </w:pPr>
                        <w:r w:rsidRPr="009F4E0B">
                          <w:rPr>
                            <w:iCs/>
                            <w:sz w:val="20"/>
                          </w:rPr>
                          <w:t>RTQQEP</w:t>
                        </w:r>
                        <w:r w:rsidRPr="009F4E0B">
                          <w:rPr>
                            <w:i/>
                            <w:iCs/>
                            <w:sz w:val="20"/>
                            <w:vertAlign w:val="subscript"/>
                          </w:rPr>
                          <w:t xml:space="preserve"> i, od, p, c</w:t>
                        </w:r>
                        <w:r w:rsidRPr="009F4E0B">
                          <w:rPr>
                            <w:iCs/>
                            <w:sz w:val="20"/>
                          </w:rPr>
                          <w:t xml:space="preserve"> = </w:t>
                        </w:r>
                        <w:r w:rsidRPr="009F4E0B">
                          <w:rPr>
                            <w:i/>
                            <w:iCs/>
                            <w:sz w:val="20"/>
                          </w:rPr>
                          <w:t xml:space="preserve">QSE Energy Trades </w:t>
                        </w:r>
                        <w:r w:rsidRPr="009F4E0B">
                          <w:rPr>
                            <w:iCs/>
                            <w:sz w:val="20"/>
                          </w:rPr>
                          <w:t xml:space="preserve">for which the Counter-Party is the buyer for interval </w:t>
                        </w:r>
                        <w:r w:rsidRPr="009F4E0B">
                          <w:rPr>
                            <w:i/>
                            <w:iCs/>
                            <w:sz w:val="20"/>
                          </w:rPr>
                          <w:t>i</w:t>
                        </w:r>
                        <w:r w:rsidRPr="009F4E0B">
                          <w:rPr>
                            <w:iCs/>
                            <w:sz w:val="20"/>
                          </w:rPr>
                          <w:t xml:space="preserve"> for Operating Day </w:t>
                        </w:r>
                        <w:r w:rsidRPr="009F4E0B">
                          <w:rPr>
                            <w:i/>
                            <w:iCs/>
                            <w:sz w:val="20"/>
                          </w:rPr>
                          <w:t>od</w:t>
                        </w:r>
                        <w:r w:rsidRPr="009F4E0B">
                          <w:rPr>
                            <w:iCs/>
                            <w:sz w:val="20"/>
                          </w:rPr>
                          <w:t xml:space="preserve"> at Settlement Point </w:t>
                        </w:r>
                        <w:r w:rsidRPr="009F4E0B">
                          <w:rPr>
                            <w:i/>
                            <w:iCs/>
                            <w:sz w:val="20"/>
                          </w:rPr>
                          <w:t>p</w:t>
                        </w:r>
                        <w:r w:rsidRPr="009F4E0B">
                          <w:rPr>
                            <w:iCs/>
                            <w:sz w:val="20"/>
                          </w:rPr>
                          <w:t xml:space="preserve"> with Counter-Party </w:t>
                        </w:r>
                        <w:r w:rsidRPr="009F4E0B">
                          <w:rPr>
                            <w:i/>
                            <w:iCs/>
                            <w:sz w:val="20"/>
                          </w:rPr>
                          <w:t>c</w:t>
                        </w:r>
                      </w:p>
                      <w:p w14:paraId="3C6720F4" w14:textId="26CE7C0B" w:rsidR="004033D4" w:rsidRPr="009F4E0B" w:rsidRDefault="004033D4" w:rsidP="004033D4">
                        <w:pPr>
                          <w:tabs>
                            <w:tab w:val="right" w:pos="9360"/>
                          </w:tabs>
                          <w:spacing w:after="60"/>
                          <w:ind w:left="1733" w:hanging="1440"/>
                          <w:rPr>
                            <w:i/>
                            <w:iCs/>
                            <w:sz w:val="20"/>
                          </w:rPr>
                        </w:pPr>
                        <w:r>
                          <w:rPr>
                            <w:iCs/>
                            <w:color w:val="000000"/>
                            <w:sz w:val="20"/>
                          </w:rPr>
                          <w:t>DARTASONET</w:t>
                        </w:r>
                        <w:r w:rsidRPr="009F4E0B">
                          <w:rPr>
                            <w:i/>
                            <w:iCs/>
                            <w:sz w:val="20"/>
                            <w:vertAlign w:val="subscript"/>
                          </w:rPr>
                          <w:t xml:space="preserve"> </w:t>
                        </w:r>
                        <w:r>
                          <w:rPr>
                            <w:i/>
                            <w:iCs/>
                            <w:sz w:val="20"/>
                            <w:vertAlign w:val="subscript"/>
                          </w:rPr>
                          <w:t>i, od</w:t>
                        </w:r>
                        <w:r>
                          <w:rPr>
                            <w:iCs/>
                            <w:color w:val="000000"/>
                            <w:sz w:val="20"/>
                          </w:rPr>
                          <w:t xml:space="preserve"> = </w:t>
                        </w:r>
                        <w:r w:rsidRPr="009F4E0B">
                          <w:rPr>
                            <w:i/>
                            <w:iCs/>
                            <w:sz w:val="20"/>
                          </w:rPr>
                          <w:t xml:space="preserve">Net DAM </w:t>
                        </w:r>
                        <w:r>
                          <w:rPr>
                            <w:i/>
                            <w:iCs/>
                            <w:sz w:val="20"/>
                          </w:rPr>
                          <w:t xml:space="preserve">Ancillary Service Only </w:t>
                        </w:r>
                        <w:r w:rsidRPr="009F4E0B">
                          <w:rPr>
                            <w:i/>
                            <w:iCs/>
                            <w:sz w:val="20"/>
                          </w:rPr>
                          <w:t>activities</w:t>
                        </w:r>
                        <w:r w:rsidRPr="009F4E0B">
                          <w:rPr>
                            <w:iCs/>
                            <w:sz w:val="20"/>
                          </w:rPr>
                          <w:t xml:space="preserve"> for interval </w:t>
                        </w:r>
                        <w:r w:rsidRPr="009F4E0B">
                          <w:rPr>
                            <w:i/>
                            <w:iCs/>
                            <w:sz w:val="20"/>
                          </w:rPr>
                          <w:t>i</w:t>
                        </w:r>
                        <w:r w:rsidRPr="009F4E0B">
                          <w:rPr>
                            <w:iCs/>
                            <w:sz w:val="20"/>
                          </w:rPr>
                          <w:t xml:space="preserve"> for Operating Day </w:t>
                        </w:r>
                        <w:r w:rsidRPr="009F4E0B">
                          <w:rPr>
                            <w:i/>
                            <w:iCs/>
                            <w:sz w:val="20"/>
                          </w:rPr>
                          <w:t>od</w:t>
                        </w:r>
                        <w:r w:rsidRPr="009F4E0B">
                          <w:rPr>
                            <w:iCs/>
                            <w:sz w:val="20"/>
                          </w:rPr>
                          <w:t xml:space="preserve"> </w:t>
                        </w:r>
                      </w:p>
                      <w:p w14:paraId="5B6800D1" w14:textId="092F69D5" w:rsidR="004033D4" w:rsidRDefault="004033D4" w:rsidP="004033D4">
                        <w:pPr>
                          <w:tabs>
                            <w:tab w:val="right" w:pos="9360"/>
                          </w:tabs>
                          <w:spacing w:after="60"/>
                          <w:ind w:left="1733" w:hanging="1440"/>
                          <w:rPr>
                            <w:iCs/>
                            <w:color w:val="000000"/>
                            <w:sz w:val="20"/>
                          </w:rPr>
                        </w:pPr>
                        <w:r>
                          <w:rPr>
                            <w:iCs/>
                            <w:color w:val="000000"/>
                            <w:sz w:val="20"/>
                          </w:rPr>
                          <w:t xml:space="preserve">DAM ASOO Cleared </w:t>
                        </w:r>
                        <w:r>
                          <w:rPr>
                            <w:i/>
                            <w:iCs/>
                            <w:sz w:val="20"/>
                            <w:vertAlign w:val="subscript"/>
                          </w:rPr>
                          <w:t>i, od</w:t>
                        </w:r>
                        <w:r>
                          <w:rPr>
                            <w:iCs/>
                            <w:color w:val="000000"/>
                            <w:sz w:val="20"/>
                          </w:rPr>
                          <w:t xml:space="preserve"> = DAM Ancillary Service Only Offers Cleared in DAM</w:t>
                        </w:r>
                        <w:r w:rsidRPr="009F4E0B">
                          <w:rPr>
                            <w:iCs/>
                            <w:sz w:val="20"/>
                          </w:rPr>
                          <w:t xml:space="preserve"> for interval </w:t>
                        </w:r>
                        <w:r w:rsidRPr="009F4E0B">
                          <w:rPr>
                            <w:i/>
                            <w:iCs/>
                            <w:sz w:val="20"/>
                          </w:rPr>
                          <w:t>i</w:t>
                        </w:r>
                        <w:r w:rsidRPr="009F4E0B">
                          <w:rPr>
                            <w:iCs/>
                            <w:sz w:val="20"/>
                          </w:rPr>
                          <w:t xml:space="preserve"> for Operating Day </w:t>
                        </w:r>
                        <w:r w:rsidRPr="009F4E0B">
                          <w:rPr>
                            <w:i/>
                            <w:iCs/>
                            <w:sz w:val="20"/>
                          </w:rPr>
                          <w:t>od</w:t>
                        </w:r>
                      </w:p>
                      <w:p w14:paraId="3FF42A0B" w14:textId="5BC4C227" w:rsidR="004033D4" w:rsidRPr="009F4E0B" w:rsidRDefault="004033D4" w:rsidP="004033D4">
                        <w:pPr>
                          <w:tabs>
                            <w:tab w:val="right" w:pos="9360"/>
                          </w:tabs>
                          <w:spacing w:after="60"/>
                          <w:ind w:left="1733" w:hanging="1440"/>
                          <w:rPr>
                            <w:iCs/>
                            <w:sz w:val="20"/>
                          </w:rPr>
                        </w:pPr>
                        <w:r>
                          <w:rPr>
                            <w:iCs/>
                            <w:color w:val="000000"/>
                            <w:sz w:val="20"/>
                          </w:rPr>
                          <w:t>DARTMCPC</w:t>
                        </w:r>
                        <w:r>
                          <w:rPr>
                            <w:i/>
                            <w:iCs/>
                            <w:sz w:val="20"/>
                            <w:vertAlign w:val="subscript"/>
                          </w:rPr>
                          <w:t xml:space="preserve"> i, od</w:t>
                        </w:r>
                        <w:r>
                          <w:rPr>
                            <w:iCs/>
                            <w:color w:val="000000"/>
                            <w:sz w:val="20"/>
                          </w:rPr>
                          <w:t xml:space="preserve"> = Day-Ahead – Real-Time MCPC Spread for interval </w:t>
                        </w:r>
                        <w:r w:rsidRPr="007119F8">
                          <w:rPr>
                            <w:i/>
                            <w:iCs/>
                            <w:color w:val="000000"/>
                            <w:sz w:val="20"/>
                          </w:rPr>
                          <w:t>i</w:t>
                        </w:r>
                        <w:r>
                          <w:rPr>
                            <w:iCs/>
                            <w:color w:val="000000"/>
                            <w:sz w:val="20"/>
                          </w:rPr>
                          <w:t xml:space="preserve"> for Operating Day </w:t>
                        </w:r>
                        <w:r w:rsidRPr="007119F8">
                          <w:rPr>
                            <w:i/>
                            <w:iCs/>
                            <w:color w:val="000000"/>
                            <w:sz w:val="20"/>
                          </w:rPr>
                          <w:t>od</w:t>
                        </w:r>
                      </w:p>
                      <w:p w14:paraId="14FDB2DA" w14:textId="77777777" w:rsidR="004033D4" w:rsidRPr="009F4E0B" w:rsidRDefault="004033D4" w:rsidP="004033D4">
                        <w:pPr>
                          <w:tabs>
                            <w:tab w:val="right" w:pos="9360"/>
                          </w:tabs>
                          <w:spacing w:after="60"/>
                          <w:ind w:left="1733" w:hanging="1440"/>
                          <w:rPr>
                            <w:i/>
                            <w:iCs/>
                            <w:sz w:val="20"/>
                          </w:rPr>
                        </w:pPr>
                        <w:r w:rsidRPr="009F4E0B">
                          <w:rPr>
                            <w:i/>
                            <w:iCs/>
                            <w:sz w:val="20"/>
                          </w:rPr>
                          <w:t>BTCF</w:t>
                        </w:r>
                        <w:r w:rsidRPr="009F4E0B">
                          <w:rPr>
                            <w:iCs/>
                            <w:sz w:val="20"/>
                          </w:rPr>
                          <w:t xml:space="preserve"> =                </w:t>
                        </w:r>
                        <w:r w:rsidRPr="009F4E0B">
                          <w:rPr>
                            <w:i/>
                            <w:iCs/>
                            <w:sz w:val="20"/>
                          </w:rPr>
                          <w:t>Bilateral Trades Credit Factor</w:t>
                        </w:r>
                      </w:p>
                      <w:p w14:paraId="63C31A47" w14:textId="77777777" w:rsidR="004033D4" w:rsidRDefault="004033D4" w:rsidP="004033D4">
                        <w:pPr>
                          <w:tabs>
                            <w:tab w:val="right" w:pos="9360"/>
                          </w:tabs>
                          <w:spacing w:after="60"/>
                          <w:ind w:left="1733" w:hanging="1440"/>
                          <w:rPr>
                            <w:i/>
                            <w:iCs/>
                            <w:sz w:val="20"/>
                          </w:rPr>
                        </w:pPr>
                        <w:r w:rsidRPr="009F4E0B">
                          <w:rPr>
                            <w:iCs/>
                            <w:sz w:val="20"/>
                          </w:rPr>
                          <w:t>RTSPP</w:t>
                        </w:r>
                        <w:r w:rsidRPr="009F4E0B">
                          <w:rPr>
                            <w:i/>
                            <w:iCs/>
                            <w:sz w:val="20"/>
                            <w:vertAlign w:val="subscript"/>
                          </w:rPr>
                          <w:t xml:space="preserve"> i, od, p</w:t>
                        </w:r>
                        <w:r w:rsidRPr="009F4E0B">
                          <w:rPr>
                            <w:iCs/>
                            <w:sz w:val="20"/>
                          </w:rPr>
                          <w:t xml:space="preserve"> = </w:t>
                        </w:r>
                        <w:r w:rsidRPr="009F4E0B">
                          <w:rPr>
                            <w:iCs/>
                            <w:sz w:val="20"/>
                          </w:rPr>
                          <w:tab/>
                        </w:r>
                        <w:r w:rsidRPr="009F4E0B">
                          <w:rPr>
                            <w:i/>
                            <w:iCs/>
                            <w:sz w:val="20"/>
                          </w:rPr>
                          <w:t>Real-Time Settlement Point Price</w:t>
                        </w:r>
                        <w:r w:rsidRPr="009F4E0B">
                          <w:rPr>
                            <w:iCs/>
                            <w:sz w:val="20"/>
                          </w:rPr>
                          <w:t xml:space="preserve"> for interval </w:t>
                        </w:r>
                        <w:r w:rsidRPr="009F4E0B">
                          <w:rPr>
                            <w:i/>
                            <w:iCs/>
                            <w:sz w:val="20"/>
                          </w:rPr>
                          <w:t>i</w:t>
                        </w:r>
                        <w:r w:rsidRPr="009F4E0B">
                          <w:rPr>
                            <w:iCs/>
                            <w:sz w:val="20"/>
                          </w:rPr>
                          <w:t xml:space="preserve"> for Operating Day </w:t>
                        </w:r>
                        <w:r w:rsidRPr="009F4E0B">
                          <w:rPr>
                            <w:i/>
                            <w:iCs/>
                            <w:sz w:val="20"/>
                          </w:rPr>
                          <w:t>od</w:t>
                        </w:r>
                        <w:r w:rsidRPr="009F4E0B">
                          <w:rPr>
                            <w:iCs/>
                            <w:sz w:val="20"/>
                          </w:rPr>
                          <w:t xml:space="preserve"> at Settlement Point </w:t>
                        </w:r>
                        <w:r w:rsidRPr="009F4E0B">
                          <w:rPr>
                            <w:i/>
                            <w:iCs/>
                            <w:sz w:val="20"/>
                          </w:rPr>
                          <w:t>p</w:t>
                        </w:r>
                      </w:p>
                      <w:p w14:paraId="36548C3A" w14:textId="77777777" w:rsidR="004033D4" w:rsidRPr="009F4E0B" w:rsidRDefault="004033D4" w:rsidP="004033D4">
                        <w:pPr>
                          <w:tabs>
                            <w:tab w:val="right" w:pos="9360"/>
                          </w:tabs>
                          <w:spacing w:after="60"/>
                          <w:ind w:left="1733" w:hanging="1440"/>
                          <w:rPr>
                            <w:i/>
                            <w:iCs/>
                            <w:sz w:val="20"/>
                          </w:rPr>
                        </w:pPr>
                        <w:r w:rsidRPr="009F4E0B">
                          <w:rPr>
                            <w:iCs/>
                            <w:sz w:val="20"/>
                          </w:rPr>
                          <w:t>DARTNET</w:t>
                        </w:r>
                        <w:r w:rsidRPr="009F4E0B">
                          <w:rPr>
                            <w:i/>
                            <w:iCs/>
                            <w:sz w:val="20"/>
                            <w:vertAlign w:val="subscript"/>
                          </w:rPr>
                          <w:t xml:space="preserve"> i, od, p</w:t>
                        </w:r>
                        <w:r w:rsidRPr="009F4E0B">
                          <w:rPr>
                            <w:iCs/>
                            <w:sz w:val="20"/>
                          </w:rPr>
                          <w:t xml:space="preserve"> = </w:t>
                        </w:r>
                        <w:r w:rsidRPr="009F4E0B">
                          <w:rPr>
                            <w:i/>
                            <w:iCs/>
                            <w:sz w:val="20"/>
                          </w:rPr>
                          <w:t>Net DAM activities</w:t>
                        </w:r>
                        <w:r w:rsidRPr="009F4E0B">
                          <w:rPr>
                            <w:iCs/>
                            <w:sz w:val="20"/>
                          </w:rPr>
                          <w:t xml:space="preserve"> for the Counter-Party for interval </w:t>
                        </w:r>
                        <w:r w:rsidRPr="009F4E0B">
                          <w:rPr>
                            <w:i/>
                            <w:iCs/>
                            <w:sz w:val="20"/>
                          </w:rPr>
                          <w:t>i</w:t>
                        </w:r>
                        <w:r w:rsidRPr="009F4E0B">
                          <w:rPr>
                            <w:iCs/>
                            <w:sz w:val="20"/>
                          </w:rPr>
                          <w:t xml:space="preserve"> for Operating Day </w:t>
                        </w:r>
                        <w:r w:rsidRPr="009F4E0B">
                          <w:rPr>
                            <w:i/>
                            <w:iCs/>
                            <w:sz w:val="20"/>
                          </w:rPr>
                          <w:t>od</w:t>
                        </w:r>
                        <w:r w:rsidRPr="009F4E0B">
                          <w:rPr>
                            <w:iCs/>
                            <w:sz w:val="20"/>
                          </w:rPr>
                          <w:t xml:space="preserve"> at Settlement Point </w:t>
                        </w:r>
                        <w:r w:rsidRPr="009F4E0B">
                          <w:rPr>
                            <w:i/>
                            <w:iCs/>
                            <w:sz w:val="20"/>
                          </w:rPr>
                          <w:t>p</w:t>
                        </w:r>
                      </w:p>
                      <w:p w14:paraId="6494669C" w14:textId="08C5789F" w:rsidR="004033D4" w:rsidRPr="009F4E0B" w:rsidRDefault="004033D4" w:rsidP="004033D4">
                        <w:pPr>
                          <w:tabs>
                            <w:tab w:val="right" w:pos="9360"/>
                          </w:tabs>
                          <w:spacing w:after="60"/>
                          <w:ind w:left="1733" w:hanging="1440"/>
                          <w:rPr>
                            <w:iCs/>
                            <w:sz w:val="20"/>
                          </w:rPr>
                        </w:pPr>
                        <w:r w:rsidRPr="009F4E0B">
                          <w:rPr>
                            <w:iCs/>
                            <w:sz w:val="20"/>
                          </w:rPr>
                          <w:t>DART</w:t>
                        </w:r>
                        <w:r w:rsidRPr="009F4E0B">
                          <w:rPr>
                            <w:i/>
                            <w:iCs/>
                            <w:sz w:val="20"/>
                            <w:vertAlign w:val="subscript"/>
                          </w:rPr>
                          <w:t xml:space="preserve"> i, od, p</w:t>
                        </w:r>
                        <w:r w:rsidRPr="009F4E0B">
                          <w:rPr>
                            <w:iCs/>
                            <w:sz w:val="20"/>
                          </w:rPr>
                          <w:t xml:space="preserve"> = </w:t>
                        </w:r>
                        <w:r w:rsidRPr="009F4E0B">
                          <w:rPr>
                            <w:iCs/>
                            <w:sz w:val="20"/>
                          </w:rPr>
                          <w:tab/>
                        </w:r>
                        <w:r w:rsidRPr="009F4E0B">
                          <w:rPr>
                            <w:i/>
                            <w:iCs/>
                            <w:sz w:val="20"/>
                          </w:rPr>
                          <w:t xml:space="preserve">Day-Ahead - Real-Time Spread </w:t>
                        </w:r>
                        <w:r w:rsidRPr="009F4E0B">
                          <w:rPr>
                            <w:iCs/>
                            <w:sz w:val="20"/>
                          </w:rPr>
                          <w:t xml:space="preserve">for interval </w:t>
                        </w:r>
                        <w:r w:rsidRPr="009F4E0B">
                          <w:rPr>
                            <w:i/>
                            <w:iCs/>
                            <w:sz w:val="20"/>
                          </w:rPr>
                          <w:t>i</w:t>
                        </w:r>
                        <w:r w:rsidRPr="009F4E0B">
                          <w:rPr>
                            <w:iCs/>
                            <w:sz w:val="20"/>
                          </w:rPr>
                          <w:t xml:space="preserve"> for Operating Day </w:t>
                        </w:r>
                        <w:r w:rsidRPr="009F4E0B">
                          <w:rPr>
                            <w:i/>
                            <w:iCs/>
                            <w:sz w:val="20"/>
                          </w:rPr>
                          <w:t>od</w:t>
                        </w:r>
                        <w:r w:rsidRPr="009F4E0B">
                          <w:rPr>
                            <w:iCs/>
                            <w:sz w:val="20"/>
                          </w:rPr>
                          <w:t xml:space="preserve"> at Settlement Point </w:t>
                        </w:r>
                        <w:r w:rsidRPr="009F4E0B">
                          <w:rPr>
                            <w:i/>
                            <w:iCs/>
                            <w:sz w:val="20"/>
                          </w:rPr>
                          <w:t>p</w:t>
                        </w:r>
                      </w:p>
                      <w:p w14:paraId="2C314AD6" w14:textId="77777777" w:rsidR="004033D4" w:rsidRPr="009F4E0B" w:rsidRDefault="004033D4" w:rsidP="004033D4">
                        <w:pPr>
                          <w:tabs>
                            <w:tab w:val="right" w:pos="9360"/>
                          </w:tabs>
                          <w:spacing w:after="60"/>
                          <w:ind w:left="1733" w:hanging="1440"/>
                          <w:rPr>
                            <w:iCs/>
                            <w:sz w:val="20"/>
                          </w:rPr>
                        </w:pPr>
                        <w:r w:rsidRPr="009F4E0B">
                          <w:rPr>
                            <w:iCs/>
                            <w:sz w:val="20"/>
                          </w:rPr>
                          <w:t>DAM EOB Cleared</w:t>
                        </w:r>
                        <w:r w:rsidRPr="009F4E0B">
                          <w:rPr>
                            <w:iCs/>
                            <w:color w:val="000000"/>
                            <w:sz w:val="20"/>
                            <w:vertAlign w:val="subscript"/>
                          </w:rPr>
                          <w:t xml:space="preserve"> </w:t>
                        </w:r>
                        <w:r w:rsidRPr="009F4E0B">
                          <w:rPr>
                            <w:i/>
                            <w:iCs/>
                            <w:sz w:val="20"/>
                            <w:vertAlign w:val="subscript"/>
                          </w:rPr>
                          <w:t>i, od, p</w:t>
                        </w:r>
                        <w:r w:rsidRPr="009F4E0B">
                          <w:rPr>
                            <w:iCs/>
                            <w:sz w:val="20"/>
                          </w:rPr>
                          <w:t xml:space="preserve"> = </w:t>
                        </w:r>
                        <w:r w:rsidRPr="009F4E0B">
                          <w:rPr>
                            <w:i/>
                            <w:iCs/>
                            <w:sz w:val="20"/>
                          </w:rPr>
                          <w:t>DAM Energy Only Bids Cleared</w:t>
                        </w:r>
                        <w:r w:rsidRPr="009F4E0B">
                          <w:rPr>
                            <w:iCs/>
                            <w:sz w:val="20"/>
                          </w:rPr>
                          <w:t xml:space="preserve"> for interval </w:t>
                        </w:r>
                        <w:r w:rsidRPr="009F4E0B">
                          <w:rPr>
                            <w:i/>
                            <w:iCs/>
                            <w:sz w:val="20"/>
                          </w:rPr>
                          <w:t>i</w:t>
                        </w:r>
                        <w:r w:rsidRPr="009F4E0B">
                          <w:rPr>
                            <w:iCs/>
                            <w:sz w:val="20"/>
                          </w:rPr>
                          <w:t xml:space="preserve"> for Operating Day </w:t>
                        </w:r>
                        <w:r w:rsidRPr="009F4E0B">
                          <w:rPr>
                            <w:i/>
                            <w:iCs/>
                            <w:sz w:val="20"/>
                          </w:rPr>
                          <w:t>od</w:t>
                        </w:r>
                        <w:r w:rsidRPr="009F4E0B">
                          <w:rPr>
                            <w:iCs/>
                            <w:sz w:val="20"/>
                          </w:rPr>
                          <w:t xml:space="preserve"> at Settlement Point </w:t>
                        </w:r>
                        <w:r w:rsidRPr="009F4E0B">
                          <w:rPr>
                            <w:i/>
                            <w:iCs/>
                            <w:sz w:val="20"/>
                          </w:rPr>
                          <w:t>p</w:t>
                        </w:r>
                      </w:p>
                      <w:p w14:paraId="7A10B740" w14:textId="77777777" w:rsidR="004033D4" w:rsidRPr="009F4E0B" w:rsidRDefault="004033D4" w:rsidP="004033D4">
                        <w:pPr>
                          <w:tabs>
                            <w:tab w:val="right" w:pos="9360"/>
                          </w:tabs>
                          <w:spacing w:after="60"/>
                          <w:ind w:left="1728" w:hanging="1440"/>
                          <w:rPr>
                            <w:i/>
                            <w:iCs/>
                            <w:sz w:val="20"/>
                          </w:rPr>
                        </w:pPr>
                        <w:r w:rsidRPr="009F4E0B">
                          <w:rPr>
                            <w:iCs/>
                            <w:sz w:val="20"/>
                          </w:rPr>
                          <w:t>DAM EOO Cleared</w:t>
                        </w:r>
                        <w:r w:rsidRPr="009F4E0B">
                          <w:rPr>
                            <w:i/>
                            <w:iCs/>
                            <w:sz w:val="20"/>
                            <w:vertAlign w:val="subscript"/>
                          </w:rPr>
                          <w:t xml:space="preserve"> i, od, p</w:t>
                        </w:r>
                        <w:r w:rsidRPr="009F4E0B">
                          <w:rPr>
                            <w:iCs/>
                            <w:sz w:val="20"/>
                          </w:rPr>
                          <w:t xml:space="preserve"> = </w:t>
                        </w:r>
                        <w:r w:rsidRPr="009F4E0B">
                          <w:rPr>
                            <w:i/>
                            <w:iCs/>
                            <w:sz w:val="20"/>
                          </w:rPr>
                          <w:t xml:space="preserve">DAM Energy Only Offers Cleared </w:t>
                        </w:r>
                        <w:r w:rsidRPr="009F4E0B">
                          <w:rPr>
                            <w:iCs/>
                            <w:sz w:val="20"/>
                          </w:rPr>
                          <w:t xml:space="preserve">for interval </w:t>
                        </w:r>
                        <w:r w:rsidRPr="009F4E0B">
                          <w:rPr>
                            <w:i/>
                            <w:iCs/>
                            <w:sz w:val="20"/>
                          </w:rPr>
                          <w:t>i</w:t>
                        </w:r>
                        <w:r w:rsidRPr="009F4E0B">
                          <w:rPr>
                            <w:iCs/>
                            <w:sz w:val="20"/>
                          </w:rPr>
                          <w:t xml:space="preserve"> for Operating Day </w:t>
                        </w:r>
                        <w:r w:rsidRPr="009F4E0B">
                          <w:rPr>
                            <w:i/>
                            <w:iCs/>
                            <w:sz w:val="20"/>
                          </w:rPr>
                          <w:t>od</w:t>
                        </w:r>
                        <w:r w:rsidRPr="009F4E0B">
                          <w:rPr>
                            <w:iCs/>
                            <w:sz w:val="20"/>
                          </w:rPr>
                          <w:t xml:space="preserve"> at Settlement Point </w:t>
                        </w:r>
                        <w:r w:rsidRPr="009F4E0B">
                          <w:rPr>
                            <w:i/>
                            <w:iCs/>
                            <w:sz w:val="20"/>
                          </w:rPr>
                          <w:t>p</w:t>
                        </w:r>
                      </w:p>
                      <w:p w14:paraId="6E530556" w14:textId="77777777" w:rsidR="004033D4" w:rsidRPr="009F4E0B" w:rsidRDefault="004033D4" w:rsidP="004033D4">
                        <w:pPr>
                          <w:spacing w:after="60"/>
                          <w:ind w:left="1733" w:hanging="1440"/>
                          <w:rPr>
                            <w:iCs/>
                            <w:sz w:val="20"/>
                          </w:rPr>
                        </w:pPr>
                        <w:r w:rsidRPr="009F4E0B">
                          <w:rPr>
                            <w:iCs/>
                            <w:sz w:val="20"/>
                          </w:rPr>
                          <w:t>DAM TPO Cleared</w:t>
                        </w:r>
                        <w:r w:rsidRPr="009F4E0B">
                          <w:rPr>
                            <w:i/>
                            <w:iCs/>
                            <w:sz w:val="20"/>
                            <w:vertAlign w:val="subscript"/>
                          </w:rPr>
                          <w:t xml:space="preserve"> i, od, p</w:t>
                        </w:r>
                        <w:r w:rsidRPr="009F4E0B">
                          <w:rPr>
                            <w:iCs/>
                            <w:sz w:val="20"/>
                          </w:rPr>
                          <w:t xml:space="preserve"> = </w:t>
                        </w:r>
                        <w:r w:rsidRPr="009F4E0B">
                          <w:rPr>
                            <w:i/>
                            <w:iCs/>
                            <w:sz w:val="20"/>
                          </w:rPr>
                          <w:t>DAM Three-Part Offers Cleared</w:t>
                        </w:r>
                        <w:r w:rsidRPr="009F4E0B">
                          <w:rPr>
                            <w:iCs/>
                            <w:sz w:val="20"/>
                          </w:rPr>
                          <w:t xml:space="preserve"> for interval </w:t>
                        </w:r>
                        <w:r w:rsidRPr="009F4E0B">
                          <w:rPr>
                            <w:i/>
                            <w:iCs/>
                            <w:sz w:val="20"/>
                          </w:rPr>
                          <w:t>i</w:t>
                        </w:r>
                        <w:r w:rsidRPr="009F4E0B">
                          <w:rPr>
                            <w:iCs/>
                            <w:sz w:val="20"/>
                          </w:rPr>
                          <w:t xml:space="preserve"> for Operating Day </w:t>
                        </w:r>
                        <w:r w:rsidRPr="009F4E0B">
                          <w:rPr>
                            <w:i/>
                            <w:iCs/>
                            <w:sz w:val="20"/>
                          </w:rPr>
                          <w:t>od</w:t>
                        </w:r>
                        <w:r w:rsidRPr="009F4E0B">
                          <w:rPr>
                            <w:iCs/>
                            <w:sz w:val="20"/>
                          </w:rPr>
                          <w:t xml:space="preserve"> at Settlement Point </w:t>
                        </w:r>
                        <w:r w:rsidRPr="009F4E0B">
                          <w:rPr>
                            <w:i/>
                            <w:iCs/>
                            <w:sz w:val="20"/>
                          </w:rPr>
                          <w:t>p</w:t>
                        </w:r>
                      </w:p>
                      <w:p w14:paraId="0200B473" w14:textId="77777777" w:rsidR="004033D4" w:rsidRPr="009F4E0B" w:rsidRDefault="004033D4" w:rsidP="004033D4">
                        <w:pPr>
                          <w:spacing w:after="60"/>
                          <w:ind w:left="1733" w:hanging="1440"/>
                          <w:rPr>
                            <w:iCs/>
                            <w:sz w:val="20"/>
                          </w:rPr>
                        </w:pPr>
                        <w:r w:rsidRPr="009F4E0B">
                          <w:rPr>
                            <w:iCs/>
                            <w:sz w:val="20"/>
                          </w:rPr>
                          <w:t xml:space="preserve">DAM PTP Cleared </w:t>
                        </w:r>
                        <w:r w:rsidRPr="009F4E0B">
                          <w:rPr>
                            <w:i/>
                            <w:iCs/>
                            <w:sz w:val="20"/>
                            <w:vertAlign w:val="subscript"/>
                          </w:rPr>
                          <w:t>i, od, p</w:t>
                        </w:r>
                        <w:r w:rsidRPr="009F4E0B">
                          <w:rPr>
                            <w:iCs/>
                            <w:sz w:val="20"/>
                          </w:rPr>
                          <w:t xml:space="preserve"> = </w:t>
                        </w:r>
                        <w:r w:rsidRPr="009F4E0B">
                          <w:rPr>
                            <w:i/>
                            <w:iCs/>
                            <w:sz w:val="20"/>
                          </w:rPr>
                          <w:t xml:space="preserve">DAM Point-to-Point (PTP) Obligations Cleared </w:t>
                        </w:r>
                        <w:r w:rsidRPr="009F4E0B">
                          <w:rPr>
                            <w:iCs/>
                            <w:sz w:val="20"/>
                          </w:rPr>
                          <w:t xml:space="preserve">for interval </w:t>
                        </w:r>
                        <w:r w:rsidRPr="009F4E0B">
                          <w:rPr>
                            <w:i/>
                            <w:iCs/>
                            <w:sz w:val="20"/>
                          </w:rPr>
                          <w:t>i</w:t>
                        </w:r>
                        <w:r w:rsidRPr="009F4E0B">
                          <w:rPr>
                            <w:iCs/>
                            <w:sz w:val="20"/>
                          </w:rPr>
                          <w:t xml:space="preserve"> for Operating Day </w:t>
                        </w:r>
                        <w:r w:rsidRPr="009F4E0B">
                          <w:rPr>
                            <w:i/>
                            <w:iCs/>
                            <w:sz w:val="20"/>
                          </w:rPr>
                          <w:t>od</w:t>
                        </w:r>
                        <w:r w:rsidRPr="009F4E0B">
                          <w:rPr>
                            <w:iCs/>
                            <w:sz w:val="20"/>
                          </w:rPr>
                          <w:t xml:space="preserve"> at Settlement Point </w:t>
                        </w:r>
                        <w:r w:rsidRPr="009F4E0B">
                          <w:rPr>
                            <w:i/>
                            <w:iCs/>
                            <w:sz w:val="20"/>
                          </w:rPr>
                          <w:t>p</w:t>
                        </w:r>
                      </w:p>
                      <w:p w14:paraId="70174B29" w14:textId="4DD0887E" w:rsidR="004033D4" w:rsidRPr="009F4E0B" w:rsidRDefault="004033D4" w:rsidP="004033D4">
                        <w:pPr>
                          <w:spacing w:after="60"/>
                          <w:ind w:left="1733" w:hanging="1440"/>
                          <w:rPr>
                            <w:iCs/>
                            <w:sz w:val="20"/>
                          </w:rPr>
                        </w:pPr>
                        <w:r w:rsidRPr="009F4E0B">
                          <w:rPr>
                            <w:iCs/>
                            <w:sz w:val="20"/>
                          </w:rPr>
                          <w:t xml:space="preserve">DARTPTP </w:t>
                        </w:r>
                        <w:r w:rsidRPr="009F4E0B">
                          <w:rPr>
                            <w:i/>
                            <w:iCs/>
                            <w:sz w:val="20"/>
                            <w:vertAlign w:val="subscript"/>
                          </w:rPr>
                          <w:t>i, od, p</w:t>
                        </w:r>
                        <w:r w:rsidRPr="009F4E0B">
                          <w:rPr>
                            <w:iCs/>
                            <w:sz w:val="20"/>
                          </w:rPr>
                          <w:t xml:space="preserve"> =  </w:t>
                        </w:r>
                        <w:r w:rsidRPr="009F4E0B">
                          <w:rPr>
                            <w:i/>
                            <w:iCs/>
                            <w:sz w:val="20"/>
                          </w:rPr>
                          <w:t xml:space="preserve">Day-Ahead - Real-Time Spread </w:t>
                        </w:r>
                        <w:r w:rsidRPr="009F4E0B">
                          <w:rPr>
                            <w:iCs/>
                            <w:sz w:val="20"/>
                          </w:rPr>
                          <w:t xml:space="preserve">for value of PTP Obligation for interval </w:t>
                        </w:r>
                        <w:r w:rsidRPr="009F4E0B">
                          <w:rPr>
                            <w:i/>
                            <w:iCs/>
                            <w:sz w:val="20"/>
                          </w:rPr>
                          <w:t>i</w:t>
                        </w:r>
                        <w:r w:rsidRPr="009F4E0B">
                          <w:rPr>
                            <w:iCs/>
                            <w:sz w:val="20"/>
                          </w:rPr>
                          <w:t xml:space="preserve"> for Operating Day </w:t>
                        </w:r>
                        <w:r w:rsidRPr="009F4E0B">
                          <w:rPr>
                            <w:i/>
                            <w:iCs/>
                            <w:sz w:val="20"/>
                          </w:rPr>
                          <w:t>od</w:t>
                        </w:r>
                        <w:r w:rsidRPr="009F4E0B">
                          <w:rPr>
                            <w:iCs/>
                            <w:sz w:val="20"/>
                          </w:rPr>
                          <w:t xml:space="preserve"> at Settlement Point </w:t>
                        </w:r>
                        <w:r w:rsidRPr="009F4E0B">
                          <w:rPr>
                            <w:i/>
                            <w:iCs/>
                            <w:sz w:val="20"/>
                          </w:rPr>
                          <w:t>p</w:t>
                        </w:r>
                      </w:p>
                      <w:p w14:paraId="48AB4441" w14:textId="77777777" w:rsidR="004033D4" w:rsidRPr="009F4E0B" w:rsidRDefault="004033D4" w:rsidP="004033D4">
                        <w:pPr>
                          <w:spacing w:after="60"/>
                          <w:ind w:left="1733" w:hanging="1440"/>
                          <w:rPr>
                            <w:iCs/>
                            <w:sz w:val="20"/>
                          </w:rPr>
                        </w:pPr>
                        <w:r w:rsidRPr="009F4E0B">
                          <w:rPr>
                            <w:i/>
                            <w:iCs/>
                            <w:sz w:val="20"/>
                          </w:rPr>
                          <w:t>c</w:t>
                        </w:r>
                        <w:r w:rsidRPr="009F4E0B">
                          <w:rPr>
                            <w:iCs/>
                            <w:sz w:val="20"/>
                          </w:rPr>
                          <w:t xml:space="preserve"> = </w:t>
                        </w:r>
                        <w:r w:rsidRPr="009F4E0B">
                          <w:rPr>
                            <w:iCs/>
                            <w:sz w:val="20"/>
                          </w:rPr>
                          <w:tab/>
                          <w:t xml:space="preserve">Bilateral Counter-Party </w:t>
                        </w:r>
                      </w:p>
                      <w:p w14:paraId="6D6652CB" w14:textId="77777777" w:rsidR="004033D4" w:rsidRPr="009F4E0B" w:rsidRDefault="004033D4" w:rsidP="004033D4">
                        <w:pPr>
                          <w:spacing w:after="60"/>
                          <w:ind w:left="1733" w:hanging="1440"/>
                          <w:rPr>
                            <w:i/>
                            <w:iCs/>
                            <w:sz w:val="20"/>
                          </w:rPr>
                        </w:pPr>
                        <w:proofErr w:type="spellStart"/>
                        <w:r w:rsidRPr="009F4E0B">
                          <w:rPr>
                            <w:i/>
                            <w:iCs/>
                            <w:sz w:val="20"/>
                          </w:rPr>
                          <w:t>cif</w:t>
                        </w:r>
                        <w:proofErr w:type="spellEnd"/>
                        <w:r w:rsidRPr="009F4E0B">
                          <w:rPr>
                            <w:i/>
                            <w:iCs/>
                            <w:sz w:val="20"/>
                          </w:rPr>
                          <w:t xml:space="preserve"> =</w:t>
                        </w:r>
                        <w:r w:rsidRPr="009F4E0B">
                          <w:rPr>
                            <w:i/>
                            <w:iCs/>
                            <w:sz w:val="20"/>
                          </w:rPr>
                          <w:tab/>
                          <w:t>Cap Interval Factor</w:t>
                        </w:r>
                        <w:r w:rsidRPr="009F4E0B">
                          <w:rPr>
                            <w:iCs/>
                            <w:sz w:val="20"/>
                          </w:rPr>
                          <w:t xml:space="preserve"> - Represents the historic largest percentage of System-Wide Offer Cap (SWCAP) intervals during a calendar day</w:t>
                        </w:r>
                      </w:p>
                      <w:p w14:paraId="09832624" w14:textId="77777777" w:rsidR="004033D4" w:rsidRPr="009F4E0B" w:rsidRDefault="004033D4" w:rsidP="004033D4">
                        <w:pPr>
                          <w:spacing w:after="60"/>
                          <w:ind w:left="1733" w:hanging="1440"/>
                          <w:rPr>
                            <w:iCs/>
                            <w:sz w:val="20"/>
                          </w:rPr>
                        </w:pPr>
                        <w:r w:rsidRPr="009F4E0B">
                          <w:rPr>
                            <w:i/>
                            <w:iCs/>
                            <w:sz w:val="20"/>
                          </w:rPr>
                          <w:lastRenderedPageBreak/>
                          <w:t>e</w:t>
                        </w:r>
                        <w:r w:rsidRPr="009F4E0B">
                          <w:rPr>
                            <w:iCs/>
                            <w:sz w:val="20"/>
                          </w:rPr>
                          <w:t xml:space="preserve"> = </w:t>
                        </w:r>
                        <w:r w:rsidRPr="009F4E0B">
                          <w:rPr>
                            <w:iCs/>
                            <w:sz w:val="20"/>
                          </w:rPr>
                          <w:tab/>
                          <w:t xml:space="preserve">Most recent </w:t>
                        </w:r>
                        <w:r w:rsidRPr="009F4E0B">
                          <w:rPr>
                            <w:i/>
                            <w:iCs/>
                            <w:sz w:val="20"/>
                          </w:rPr>
                          <w:t>n</w:t>
                        </w:r>
                        <w:r w:rsidRPr="009F4E0B">
                          <w:rPr>
                            <w:iCs/>
                            <w:sz w:val="20"/>
                          </w:rPr>
                          <w:t xml:space="preserve"> Operating Days for which RTM Initial Settlement Statements are available</w:t>
                        </w:r>
                      </w:p>
                      <w:p w14:paraId="075AF83E" w14:textId="77777777" w:rsidR="004033D4" w:rsidRPr="009F4E0B" w:rsidRDefault="004033D4" w:rsidP="004033D4">
                        <w:pPr>
                          <w:spacing w:after="60"/>
                          <w:ind w:left="1733" w:hanging="1440"/>
                          <w:rPr>
                            <w:iCs/>
                            <w:sz w:val="20"/>
                          </w:rPr>
                        </w:pPr>
                        <w:r w:rsidRPr="009F4E0B">
                          <w:rPr>
                            <w:i/>
                            <w:iCs/>
                            <w:sz w:val="20"/>
                          </w:rPr>
                          <w:t>i</w:t>
                        </w:r>
                        <w:r w:rsidRPr="009F4E0B">
                          <w:rPr>
                            <w:iCs/>
                            <w:sz w:val="20"/>
                          </w:rPr>
                          <w:t xml:space="preserve"> = </w:t>
                        </w:r>
                        <w:r w:rsidRPr="009F4E0B">
                          <w:rPr>
                            <w:iCs/>
                            <w:sz w:val="20"/>
                          </w:rPr>
                          <w:tab/>
                          <w:t>Settlement Interval</w:t>
                        </w:r>
                      </w:p>
                      <w:p w14:paraId="47F208BD" w14:textId="77777777" w:rsidR="004033D4" w:rsidRPr="009F4E0B" w:rsidRDefault="004033D4" w:rsidP="004033D4">
                        <w:pPr>
                          <w:spacing w:after="60"/>
                          <w:ind w:left="1733" w:hanging="1440"/>
                          <w:rPr>
                            <w:iCs/>
                            <w:sz w:val="20"/>
                          </w:rPr>
                        </w:pPr>
                        <w:r w:rsidRPr="009F4E0B">
                          <w:rPr>
                            <w:i/>
                            <w:iCs/>
                            <w:sz w:val="20"/>
                          </w:rPr>
                          <w:t>n</w:t>
                        </w:r>
                        <w:r w:rsidRPr="009F4E0B">
                          <w:rPr>
                            <w:iCs/>
                            <w:sz w:val="20"/>
                          </w:rPr>
                          <w:t xml:space="preserve"> = </w:t>
                        </w:r>
                        <w:r w:rsidRPr="009F4E0B">
                          <w:rPr>
                            <w:iCs/>
                            <w:sz w:val="20"/>
                          </w:rPr>
                          <w:tab/>
                          <w:t>Days used for averaging</w:t>
                        </w:r>
                      </w:p>
                      <w:p w14:paraId="2B460690" w14:textId="77777777" w:rsidR="004033D4" w:rsidRPr="009F4E0B" w:rsidRDefault="004033D4" w:rsidP="004033D4">
                        <w:pPr>
                          <w:spacing w:after="60"/>
                          <w:ind w:left="1733" w:hanging="1440"/>
                          <w:rPr>
                            <w:i/>
                            <w:iCs/>
                            <w:sz w:val="20"/>
                          </w:rPr>
                        </w:pPr>
                        <w:r w:rsidRPr="009F4E0B">
                          <w:rPr>
                            <w:i/>
                            <w:iCs/>
                            <w:sz w:val="20"/>
                          </w:rPr>
                          <w:t>nm =</w:t>
                        </w:r>
                        <w:r w:rsidRPr="009F4E0B">
                          <w:rPr>
                            <w:i/>
                            <w:iCs/>
                            <w:sz w:val="20"/>
                          </w:rPr>
                          <w:tab/>
                        </w:r>
                        <w:r w:rsidRPr="009F4E0B">
                          <w:rPr>
                            <w:iCs/>
                            <w:sz w:val="20"/>
                          </w:rPr>
                          <w:t>Notional Multiplier</w:t>
                        </w:r>
                      </w:p>
                      <w:p w14:paraId="38769C3A" w14:textId="77777777" w:rsidR="004033D4" w:rsidRPr="009F4E0B" w:rsidRDefault="004033D4" w:rsidP="004033D4">
                        <w:pPr>
                          <w:spacing w:after="60"/>
                          <w:ind w:left="1733" w:hanging="1440"/>
                          <w:rPr>
                            <w:iCs/>
                            <w:sz w:val="20"/>
                          </w:rPr>
                        </w:pPr>
                        <w:r w:rsidRPr="009F4E0B">
                          <w:rPr>
                            <w:i/>
                            <w:iCs/>
                            <w:sz w:val="20"/>
                          </w:rPr>
                          <w:t>od</w:t>
                        </w:r>
                        <w:r w:rsidRPr="009F4E0B">
                          <w:rPr>
                            <w:iCs/>
                            <w:sz w:val="20"/>
                          </w:rPr>
                          <w:t xml:space="preserve"> = </w:t>
                        </w:r>
                        <w:r w:rsidRPr="009F4E0B">
                          <w:rPr>
                            <w:iCs/>
                            <w:sz w:val="20"/>
                          </w:rPr>
                          <w:tab/>
                          <w:t>Operating Day</w:t>
                        </w:r>
                      </w:p>
                      <w:p w14:paraId="7A9873BB" w14:textId="395435B6" w:rsidR="004033D4" w:rsidRPr="00367720" w:rsidRDefault="004033D4" w:rsidP="004033D4">
                        <w:pPr>
                          <w:pStyle w:val="TableBody"/>
                          <w:ind w:left="1762" w:hanging="1440"/>
                          <w:rPr>
                            <w:i/>
                          </w:rPr>
                        </w:pPr>
                        <w:r w:rsidRPr="009F4E0B">
                          <w:rPr>
                            <w:i/>
                          </w:rPr>
                          <w:t>p</w:t>
                        </w:r>
                        <w:r w:rsidRPr="009F4E0B">
                          <w:t xml:space="preserve"> = </w:t>
                        </w:r>
                        <w:r w:rsidRPr="009F4E0B">
                          <w:tab/>
                          <w:t>A Settlement Point</w:t>
                        </w:r>
                      </w:p>
                    </w:tc>
                  </w:tr>
                </w:tbl>
                <w:p w14:paraId="2990BF65" w14:textId="77777777" w:rsidR="004033D4" w:rsidRPr="00B35DA1" w:rsidRDefault="004033D4" w:rsidP="004033D4">
                  <w:pPr>
                    <w:pStyle w:val="TableBody"/>
                    <w:ind w:left="1710"/>
                  </w:pPr>
                </w:p>
              </w:tc>
            </w:tr>
          </w:tbl>
          <w:p w14:paraId="1960276B" w14:textId="77777777" w:rsidR="004033D4" w:rsidRPr="004F59D3" w:rsidRDefault="004033D4" w:rsidP="0031595F">
            <w:pPr>
              <w:pStyle w:val="TableBody"/>
              <w:rPr>
                <w:i/>
              </w:rPr>
            </w:pPr>
          </w:p>
        </w:tc>
      </w:tr>
      <w:tr w:rsidR="002D0D49" w14:paraId="7494BB88" w14:textId="77777777" w:rsidTr="009F2C2F">
        <w:trPr>
          <w:trHeight w:val="91"/>
        </w:trPr>
        <w:tc>
          <w:tcPr>
            <w:tcW w:w="1652" w:type="dxa"/>
          </w:tcPr>
          <w:p w14:paraId="74614C8B" w14:textId="77777777" w:rsidR="002D0D49" w:rsidRPr="00906156" w:rsidRDefault="002D0D49" w:rsidP="0031595F">
            <w:pPr>
              <w:pStyle w:val="TableBody"/>
            </w:pPr>
            <w:r w:rsidRPr="00906156">
              <w:lastRenderedPageBreak/>
              <w:t>IMCE</w:t>
            </w:r>
          </w:p>
        </w:tc>
        <w:tc>
          <w:tcPr>
            <w:tcW w:w="986" w:type="dxa"/>
          </w:tcPr>
          <w:p w14:paraId="53C26958" w14:textId="77777777" w:rsidR="002D0D49" w:rsidRPr="004F59D3" w:rsidRDefault="002D0D49" w:rsidP="0031595F">
            <w:pPr>
              <w:pStyle w:val="TableBody"/>
            </w:pPr>
            <w:r w:rsidRPr="004F59D3">
              <w:t>$</w:t>
            </w:r>
          </w:p>
        </w:tc>
        <w:tc>
          <w:tcPr>
            <w:tcW w:w="6694" w:type="dxa"/>
          </w:tcPr>
          <w:p w14:paraId="6450456F" w14:textId="77777777" w:rsidR="002D0D49" w:rsidRPr="004F59D3" w:rsidRDefault="002D0D49" w:rsidP="0031595F">
            <w:pPr>
              <w:pStyle w:val="TableBody"/>
            </w:pPr>
            <w:r w:rsidRPr="004F59D3">
              <w:rPr>
                <w:i/>
              </w:rPr>
              <w:t xml:space="preserve">Initial Minimum Current Exposure </w:t>
            </w:r>
          </w:p>
          <w:p w14:paraId="7684A5D0" w14:textId="77777777" w:rsidR="002D0D49" w:rsidRPr="00484E48" w:rsidRDefault="002D0D49" w:rsidP="0031595F">
            <w:pPr>
              <w:pStyle w:val="TableBody"/>
            </w:pPr>
          </w:p>
          <w:p w14:paraId="59DA0B61" w14:textId="734586B2" w:rsidR="002D0D49" w:rsidRPr="00367720" w:rsidRDefault="002D0D49" w:rsidP="0031595F">
            <w:pPr>
              <w:pStyle w:val="TableBody"/>
              <w:ind w:left="1757" w:hanging="1440"/>
            </w:pPr>
            <w:r w:rsidRPr="00484E48">
              <w:t xml:space="preserve">IMCE =   </w:t>
            </w:r>
            <w:r w:rsidRPr="00484E48">
              <w:tab/>
              <w:t>TOA * (</w:t>
            </w:r>
            <w:r w:rsidR="00E67BE0">
              <w:t>SW</w:t>
            </w:r>
            <w:r w:rsidRPr="00484E48">
              <w:t xml:space="preserve">CAP * </w:t>
            </w:r>
            <w:r w:rsidRPr="00367720">
              <w:rPr>
                <w:i/>
              </w:rPr>
              <w:t>nm</w:t>
            </w:r>
            <w:r w:rsidRPr="00367720">
              <w:t xml:space="preserve"> * </w:t>
            </w:r>
            <w:proofErr w:type="spellStart"/>
            <w:r w:rsidRPr="00367720">
              <w:rPr>
                <w:i/>
              </w:rPr>
              <w:t>cif</w:t>
            </w:r>
            <w:proofErr w:type="spellEnd"/>
            <w:r w:rsidRPr="00367720">
              <w:rPr>
                <w:i/>
              </w:rPr>
              <w:t>%</w:t>
            </w:r>
            <w:r w:rsidRPr="00367720">
              <w:t>)</w:t>
            </w:r>
          </w:p>
          <w:p w14:paraId="1901C950" w14:textId="1429B239" w:rsidR="002D0D49" w:rsidRPr="00367720" w:rsidRDefault="002D0D49" w:rsidP="009F2C2F">
            <w:pPr>
              <w:pStyle w:val="TableBody"/>
              <w:rPr>
                <w:i/>
              </w:rPr>
            </w:pPr>
            <w:r w:rsidRPr="00367720">
              <w:t xml:space="preserve"> </w:t>
            </w:r>
          </w:p>
        </w:tc>
      </w:tr>
      <w:tr w:rsidR="002D0D49" w14:paraId="77D72BA9" w14:textId="77777777" w:rsidTr="009F2C2F">
        <w:trPr>
          <w:trHeight w:val="91"/>
        </w:trPr>
        <w:tc>
          <w:tcPr>
            <w:tcW w:w="1652" w:type="dxa"/>
          </w:tcPr>
          <w:p w14:paraId="08EB3676" w14:textId="77777777" w:rsidR="002D0D49" w:rsidRPr="00906156" w:rsidRDefault="002D0D49" w:rsidP="0031595F">
            <w:pPr>
              <w:pStyle w:val="TableBody"/>
            </w:pPr>
            <w:r w:rsidRPr="00906156">
              <w:t>TOA</w:t>
            </w:r>
          </w:p>
        </w:tc>
        <w:tc>
          <w:tcPr>
            <w:tcW w:w="986" w:type="dxa"/>
          </w:tcPr>
          <w:p w14:paraId="42950FA1" w14:textId="77777777" w:rsidR="002D0D49" w:rsidRPr="004F59D3" w:rsidRDefault="002D0D49" w:rsidP="0031595F">
            <w:pPr>
              <w:pStyle w:val="TableBody"/>
            </w:pPr>
            <w:r w:rsidRPr="004F59D3">
              <w:t>None</w:t>
            </w:r>
          </w:p>
        </w:tc>
        <w:tc>
          <w:tcPr>
            <w:tcW w:w="6694" w:type="dxa"/>
          </w:tcPr>
          <w:p w14:paraId="6B856741" w14:textId="77777777" w:rsidR="002D0D49" w:rsidRPr="00367720" w:rsidRDefault="002D0D49" w:rsidP="0031595F">
            <w:pPr>
              <w:pStyle w:val="TableBody"/>
              <w:rPr>
                <w:i/>
              </w:rPr>
            </w:pPr>
            <w:r w:rsidRPr="004F59D3">
              <w:rPr>
                <w:i/>
              </w:rPr>
              <w:t>Trade-Only Activity</w:t>
            </w:r>
            <w:r w:rsidRPr="004F59D3">
              <w:t>—Counter-Party that does not represent either a Load or a generatio</w:t>
            </w:r>
            <w:r w:rsidRPr="00484E48">
              <w:t xml:space="preserve">n QSE.  </w:t>
            </w:r>
            <w:r w:rsidRPr="00484E48">
              <w:rPr>
                <w:iCs w:val="0"/>
              </w:rPr>
              <w:t>Set to “0” if Counter-Party represents a QSE that has an association with a</w:t>
            </w:r>
            <w:r w:rsidRPr="00484E48" w:rsidDel="0044096C">
              <w:rPr>
                <w:iCs w:val="0"/>
              </w:rPr>
              <w:t xml:space="preserve"> </w:t>
            </w:r>
            <w:r w:rsidRPr="00367720">
              <w:rPr>
                <w:iCs w:val="0"/>
              </w:rPr>
              <w:t>Load Serving Entity (LSE) or a Resource Entity, or if Counter-Party does not represent any QSE;</w:t>
            </w:r>
            <w:r w:rsidRPr="00367720">
              <w:rPr>
                <w:b/>
                <w:bCs/>
                <w:i/>
                <w:iCs w:val="0"/>
              </w:rPr>
              <w:t xml:space="preserve"> </w:t>
            </w:r>
            <w:r w:rsidRPr="00367720">
              <w:rPr>
                <w:iCs w:val="0"/>
              </w:rPr>
              <w:t>otherwise set to 1.</w:t>
            </w:r>
          </w:p>
        </w:tc>
      </w:tr>
      <w:tr w:rsidR="002D0D49" w14:paraId="107B6A72" w14:textId="77777777" w:rsidTr="009F2C2F">
        <w:trPr>
          <w:trHeight w:val="91"/>
        </w:trPr>
        <w:tc>
          <w:tcPr>
            <w:tcW w:w="1652" w:type="dxa"/>
          </w:tcPr>
          <w:p w14:paraId="14B2E6C3" w14:textId="77777777" w:rsidR="002D0D49" w:rsidRPr="00906156" w:rsidRDefault="002D0D49" w:rsidP="0031595F">
            <w:pPr>
              <w:pStyle w:val="TableBody"/>
              <w:rPr>
                <w:i/>
              </w:rPr>
            </w:pPr>
            <w:r w:rsidRPr="00906156">
              <w:rPr>
                <w:i/>
              </w:rPr>
              <w:t>q</w:t>
            </w:r>
          </w:p>
        </w:tc>
        <w:tc>
          <w:tcPr>
            <w:tcW w:w="986" w:type="dxa"/>
          </w:tcPr>
          <w:p w14:paraId="2E4B7DC4" w14:textId="1EA6EDF4" w:rsidR="002D0D49" w:rsidRPr="004F59D3" w:rsidRDefault="002D0D49" w:rsidP="0031595F">
            <w:pPr>
              <w:pStyle w:val="TableBody"/>
            </w:pPr>
            <w:r w:rsidRPr="004F59D3">
              <w:t>None</w:t>
            </w:r>
          </w:p>
        </w:tc>
        <w:tc>
          <w:tcPr>
            <w:tcW w:w="6694" w:type="dxa"/>
          </w:tcPr>
          <w:p w14:paraId="21248127" w14:textId="77777777" w:rsidR="002D0D49" w:rsidRPr="004F59D3" w:rsidRDefault="002D0D49" w:rsidP="0031595F">
            <w:pPr>
              <w:pStyle w:val="TableBody"/>
            </w:pPr>
            <w:r w:rsidRPr="004F59D3">
              <w:t>QSEs represented by Counter-Party.</w:t>
            </w:r>
          </w:p>
        </w:tc>
      </w:tr>
      <w:tr w:rsidR="002D0D49" w14:paraId="3A635143" w14:textId="77777777" w:rsidTr="009F2C2F">
        <w:trPr>
          <w:trHeight w:val="91"/>
        </w:trPr>
        <w:tc>
          <w:tcPr>
            <w:tcW w:w="1652" w:type="dxa"/>
          </w:tcPr>
          <w:p w14:paraId="69AF5082" w14:textId="77777777" w:rsidR="002D0D49" w:rsidRPr="00906156" w:rsidRDefault="002D0D49" w:rsidP="0031595F">
            <w:pPr>
              <w:pStyle w:val="TableBody"/>
              <w:rPr>
                <w:i/>
              </w:rPr>
            </w:pPr>
            <w:r w:rsidRPr="00906156">
              <w:rPr>
                <w:i/>
              </w:rPr>
              <w:t>a</w:t>
            </w:r>
          </w:p>
        </w:tc>
        <w:tc>
          <w:tcPr>
            <w:tcW w:w="986" w:type="dxa"/>
          </w:tcPr>
          <w:p w14:paraId="05B074CE" w14:textId="05037ACB" w:rsidR="002D0D49" w:rsidRPr="004F59D3" w:rsidRDefault="002D0D49" w:rsidP="0031595F">
            <w:pPr>
              <w:pStyle w:val="TableBody"/>
            </w:pPr>
            <w:r w:rsidRPr="004F59D3">
              <w:t>None</w:t>
            </w:r>
          </w:p>
        </w:tc>
        <w:tc>
          <w:tcPr>
            <w:tcW w:w="6694" w:type="dxa"/>
          </w:tcPr>
          <w:p w14:paraId="5D7DB3B0" w14:textId="77777777" w:rsidR="002D0D49" w:rsidRPr="004F59D3" w:rsidRDefault="002D0D49" w:rsidP="0031595F">
            <w:pPr>
              <w:pStyle w:val="TableBody"/>
            </w:pPr>
            <w:r w:rsidRPr="004F59D3">
              <w:t>CRR Account Holders represented by Counter-Party.</w:t>
            </w:r>
          </w:p>
        </w:tc>
      </w:tr>
      <w:tr w:rsidR="002D0D49" w14:paraId="11055758" w14:textId="77777777" w:rsidTr="009F2C2F">
        <w:trPr>
          <w:trHeight w:val="91"/>
        </w:trPr>
        <w:tc>
          <w:tcPr>
            <w:tcW w:w="1652" w:type="dxa"/>
          </w:tcPr>
          <w:p w14:paraId="0F314784" w14:textId="77777777" w:rsidR="002D0D49" w:rsidRPr="00951B55" w:rsidRDefault="002D0D49" w:rsidP="0031595F">
            <w:pPr>
              <w:pStyle w:val="TableBody"/>
            </w:pPr>
            <w:r>
              <w:t>IA</w:t>
            </w:r>
          </w:p>
        </w:tc>
        <w:tc>
          <w:tcPr>
            <w:tcW w:w="986" w:type="dxa"/>
          </w:tcPr>
          <w:p w14:paraId="70915410" w14:textId="77777777" w:rsidR="002D0D49" w:rsidRDefault="002D0D49" w:rsidP="0031595F">
            <w:pPr>
              <w:pStyle w:val="TableBody"/>
            </w:pPr>
            <w:r>
              <w:t>$</w:t>
            </w:r>
          </w:p>
        </w:tc>
        <w:tc>
          <w:tcPr>
            <w:tcW w:w="6694" w:type="dxa"/>
          </w:tcPr>
          <w:p w14:paraId="1252E419" w14:textId="77777777" w:rsidR="002D0D49" w:rsidRPr="00947170" w:rsidRDefault="002D0D49" w:rsidP="0031595F">
            <w:pPr>
              <w:pStyle w:val="TableBody"/>
            </w:pPr>
            <w:r w:rsidRPr="00CE545D">
              <w:rPr>
                <w:i/>
              </w:rPr>
              <w:t>Independent Amount</w:t>
            </w:r>
            <w:r>
              <w:t>—</w:t>
            </w:r>
            <w:r w:rsidRPr="00CE545D">
              <w:t>The amount required to be posted as defined in Section 16.16.1, Counter-Party Criteria.</w:t>
            </w:r>
          </w:p>
        </w:tc>
      </w:tr>
      <w:tr w:rsidR="002D0D49" w14:paraId="7322E519" w14:textId="77777777" w:rsidTr="009F2C2F">
        <w:trPr>
          <w:trHeight w:val="91"/>
        </w:trPr>
        <w:tc>
          <w:tcPr>
            <w:tcW w:w="1652" w:type="dxa"/>
          </w:tcPr>
          <w:p w14:paraId="14F490A8" w14:textId="77777777" w:rsidR="002D0D49" w:rsidRDefault="002D0D49" w:rsidP="0031595F">
            <w:pPr>
              <w:pStyle w:val="TableBody"/>
            </w:pPr>
            <w:r>
              <w:t>RFAF</w:t>
            </w:r>
          </w:p>
        </w:tc>
        <w:tc>
          <w:tcPr>
            <w:tcW w:w="986" w:type="dxa"/>
          </w:tcPr>
          <w:p w14:paraId="055E2DAA" w14:textId="77777777" w:rsidR="002D0D49" w:rsidRDefault="002D0D49" w:rsidP="0031595F">
            <w:pPr>
              <w:pStyle w:val="TableBody"/>
            </w:pPr>
            <w:r>
              <w:t>None</w:t>
            </w:r>
          </w:p>
        </w:tc>
        <w:tc>
          <w:tcPr>
            <w:tcW w:w="6694" w:type="dxa"/>
          </w:tcPr>
          <w:p w14:paraId="090A81D1" w14:textId="77777777" w:rsidR="002D0D49" w:rsidRPr="00CE545D" w:rsidRDefault="002D0D49" w:rsidP="0031595F">
            <w:pPr>
              <w:pStyle w:val="TableBody"/>
              <w:rPr>
                <w:i/>
              </w:rPr>
            </w:pPr>
            <w:r>
              <w:rPr>
                <w:i/>
              </w:rPr>
              <w:t>Real-Time Forward Adjustment Factor</w:t>
            </w:r>
            <w:r w:rsidRPr="00A549C5">
              <w:t>—</w:t>
            </w:r>
            <w:r w:rsidRPr="00CE545D">
              <w:t xml:space="preserve">The </w:t>
            </w:r>
            <w:r>
              <w:t xml:space="preserve">adjustment factor for RTM-related forward exposure as </w:t>
            </w:r>
            <w:r w:rsidRPr="00CE545D">
              <w:t xml:space="preserve">defined in Section </w:t>
            </w:r>
            <w:r w:rsidRPr="006E7FC0">
              <w:t>16.11.4.3.3, Forward Adjustment Factors</w:t>
            </w:r>
            <w:r w:rsidRPr="00CE545D">
              <w:t>.</w:t>
            </w:r>
          </w:p>
        </w:tc>
      </w:tr>
    </w:tbl>
    <w:p w14:paraId="1CBBD670" w14:textId="77777777" w:rsidR="002D0D49" w:rsidRDefault="002D0D49" w:rsidP="002D0D49">
      <w:pPr>
        <w:pStyle w:val="BodyText"/>
        <w:spacing w:before="240" w:after="0"/>
      </w:pPr>
      <w:r>
        <w:t xml:space="preserve">The above parameters are defined as follows: </w:t>
      </w: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48"/>
        <w:gridCol w:w="1702"/>
        <w:gridCol w:w="6120"/>
      </w:tblGrid>
      <w:tr w:rsidR="002D0D49" w:rsidRPr="00BE4766" w14:paraId="50ECFB23" w14:textId="77777777" w:rsidTr="002D0D49">
        <w:trPr>
          <w:trHeight w:val="351"/>
          <w:tblHeader/>
        </w:trPr>
        <w:tc>
          <w:tcPr>
            <w:tcW w:w="1448" w:type="dxa"/>
          </w:tcPr>
          <w:p w14:paraId="6D1E3EF5" w14:textId="77777777" w:rsidR="002D0D49" w:rsidRPr="00BE4766" w:rsidRDefault="002D0D49" w:rsidP="0031595F">
            <w:pPr>
              <w:pStyle w:val="TableHead"/>
            </w:pPr>
            <w:r>
              <w:t>Parameter</w:t>
            </w:r>
          </w:p>
        </w:tc>
        <w:tc>
          <w:tcPr>
            <w:tcW w:w="1702" w:type="dxa"/>
          </w:tcPr>
          <w:p w14:paraId="3C6226A7" w14:textId="77777777" w:rsidR="002D0D49" w:rsidRPr="00BE4766" w:rsidRDefault="002D0D49" w:rsidP="0031595F">
            <w:pPr>
              <w:pStyle w:val="TableHead"/>
            </w:pPr>
            <w:r w:rsidRPr="00BE4766">
              <w:t>Unit</w:t>
            </w:r>
          </w:p>
        </w:tc>
        <w:tc>
          <w:tcPr>
            <w:tcW w:w="6120" w:type="dxa"/>
          </w:tcPr>
          <w:p w14:paraId="1C71B301" w14:textId="77777777" w:rsidR="002D0D49" w:rsidRPr="00BE4766" w:rsidRDefault="002D0D49" w:rsidP="0031595F">
            <w:pPr>
              <w:pStyle w:val="TableHead"/>
            </w:pPr>
            <w:r>
              <w:t>Current Value*</w:t>
            </w:r>
          </w:p>
        </w:tc>
      </w:tr>
      <w:tr w:rsidR="002D0D49" w:rsidRPr="00BE4766" w14:paraId="4515A9BE" w14:textId="77777777" w:rsidTr="002D0D49">
        <w:trPr>
          <w:trHeight w:val="519"/>
        </w:trPr>
        <w:tc>
          <w:tcPr>
            <w:tcW w:w="1448" w:type="dxa"/>
          </w:tcPr>
          <w:p w14:paraId="2E6B5C63" w14:textId="77777777" w:rsidR="002D0D49" w:rsidRPr="004F59D3" w:rsidRDefault="002D0D49" w:rsidP="0031595F">
            <w:pPr>
              <w:pStyle w:val="TableBody"/>
              <w:rPr>
                <w:i/>
              </w:rPr>
            </w:pPr>
            <w:r w:rsidRPr="004F59D3">
              <w:rPr>
                <w:i/>
              </w:rPr>
              <w:t>nm</w:t>
            </w:r>
          </w:p>
        </w:tc>
        <w:tc>
          <w:tcPr>
            <w:tcW w:w="1702" w:type="dxa"/>
          </w:tcPr>
          <w:p w14:paraId="67C4004E" w14:textId="77777777" w:rsidR="002D0D49" w:rsidRPr="004F59D3" w:rsidRDefault="002D0D49" w:rsidP="0031595F">
            <w:pPr>
              <w:pStyle w:val="TableBody"/>
            </w:pPr>
            <w:r w:rsidRPr="004F59D3">
              <w:t>None</w:t>
            </w:r>
          </w:p>
        </w:tc>
        <w:tc>
          <w:tcPr>
            <w:tcW w:w="6120" w:type="dxa"/>
          </w:tcPr>
          <w:p w14:paraId="654C8EF8" w14:textId="77777777" w:rsidR="002D0D49" w:rsidRPr="00484E48" w:rsidRDefault="002D0D49" w:rsidP="0031595F">
            <w:pPr>
              <w:pStyle w:val="TableBody"/>
            </w:pPr>
            <w:r w:rsidRPr="00484E48">
              <w:t>50</w:t>
            </w:r>
          </w:p>
        </w:tc>
      </w:tr>
      <w:tr w:rsidR="002D0D49" w:rsidRPr="00BE4766" w14:paraId="4BD7A6C0" w14:textId="77777777" w:rsidTr="002D0D49">
        <w:trPr>
          <w:trHeight w:val="519"/>
        </w:trPr>
        <w:tc>
          <w:tcPr>
            <w:tcW w:w="1448" w:type="dxa"/>
          </w:tcPr>
          <w:p w14:paraId="6B1DBC35" w14:textId="77777777" w:rsidR="002D0D49" w:rsidRPr="004F59D3" w:rsidRDefault="002D0D49" w:rsidP="0031595F">
            <w:pPr>
              <w:pStyle w:val="TableBody"/>
              <w:rPr>
                <w:i/>
              </w:rPr>
            </w:pPr>
            <w:proofErr w:type="spellStart"/>
            <w:r w:rsidRPr="004F59D3">
              <w:rPr>
                <w:i/>
              </w:rPr>
              <w:t>cif</w:t>
            </w:r>
            <w:proofErr w:type="spellEnd"/>
          </w:p>
        </w:tc>
        <w:tc>
          <w:tcPr>
            <w:tcW w:w="1702" w:type="dxa"/>
          </w:tcPr>
          <w:p w14:paraId="6ECA2374" w14:textId="77777777" w:rsidR="002D0D49" w:rsidRPr="004F59D3" w:rsidRDefault="002D0D49" w:rsidP="0031595F">
            <w:pPr>
              <w:pStyle w:val="TableBody"/>
            </w:pPr>
            <w:r w:rsidRPr="004F59D3">
              <w:t>Percentage</w:t>
            </w:r>
          </w:p>
        </w:tc>
        <w:tc>
          <w:tcPr>
            <w:tcW w:w="6120" w:type="dxa"/>
          </w:tcPr>
          <w:p w14:paraId="5BBF100D" w14:textId="77777777" w:rsidR="002D0D49" w:rsidRPr="00484E48" w:rsidRDefault="002D0D49" w:rsidP="0031595F">
            <w:pPr>
              <w:pStyle w:val="TableBody"/>
            </w:pPr>
            <w:r w:rsidRPr="00484E48">
              <w:t>9%</w:t>
            </w:r>
          </w:p>
        </w:tc>
      </w:tr>
      <w:tr w:rsidR="002D0D49" w:rsidRPr="00BE4766" w14:paraId="2ACB7A72" w14:textId="77777777" w:rsidTr="002D0D49">
        <w:trPr>
          <w:trHeight w:val="519"/>
        </w:trPr>
        <w:tc>
          <w:tcPr>
            <w:tcW w:w="1448" w:type="dxa"/>
          </w:tcPr>
          <w:p w14:paraId="2B250066" w14:textId="77777777" w:rsidR="002D0D49" w:rsidRPr="008F4340" w:rsidRDefault="002D0D49" w:rsidP="0031595F">
            <w:pPr>
              <w:pStyle w:val="TableBody"/>
              <w:rPr>
                <w:i/>
              </w:rPr>
            </w:pPr>
            <w:r w:rsidRPr="008F4340">
              <w:rPr>
                <w:i/>
                <w:lang w:val="fr-FR"/>
              </w:rPr>
              <w:t>NUCADJ</w:t>
            </w:r>
          </w:p>
        </w:tc>
        <w:tc>
          <w:tcPr>
            <w:tcW w:w="1702" w:type="dxa"/>
          </w:tcPr>
          <w:p w14:paraId="458D0B11" w14:textId="77777777" w:rsidR="002D0D49" w:rsidRDefault="002D0D49" w:rsidP="0031595F">
            <w:pPr>
              <w:pStyle w:val="TableBody"/>
            </w:pPr>
            <w:r>
              <w:t>Percentage</w:t>
            </w:r>
          </w:p>
        </w:tc>
        <w:tc>
          <w:tcPr>
            <w:tcW w:w="6120" w:type="dxa"/>
          </w:tcPr>
          <w:p w14:paraId="4EEE65FD" w14:textId="77777777" w:rsidR="002D0D49" w:rsidRDefault="002D0D49" w:rsidP="0031595F">
            <w:pPr>
              <w:pStyle w:val="TableBody"/>
            </w:pPr>
            <w:r>
              <w:t>Minimum value of 20%.</w:t>
            </w:r>
          </w:p>
        </w:tc>
      </w:tr>
      <w:tr w:rsidR="002D0D49" w:rsidRPr="00BE4766" w14:paraId="5C27CF7D" w14:textId="77777777" w:rsidTr="002D0D49">
        <w:trPr>
          <w:trHeight w:val="519"/>
        </w:trPr>
        <w:tc>
          <w:tcPr>
            <w:tcW w:w="1448" w:type="dxa"/>
          </w:tcPr>
          <w:p w14:paraId="5B253197" w14:textId="77777777" w:rsidR="002D0D49" w:rsidRDefault="002D0D49" w:rsidP="0031595F">
            <w:pPr>
              <w:pStyle w:val="TableBody"/>
              <w:rPr>
                <w:i/>
              </w:rPr>
            </w:pPr>
            <w:r>
              <w:rPr>
                <w:i/>
              </w:rPr>
              <w:t>T1</w:t>
            </w:r>
          </w:p>
        </w:tc>
        <w:tc>
          <w:tcPr>
            <w:tcW w:w="1702" w:type="dxa"/>
          </w:tcPr>
          <w:p w14:paraId="3CEC6751" w14:textId="77777777" w:rsidR="002D0D49" w:rsidRDefault="002D0D49" w:rsidP="0031595F">
            <w:pPr>
              <w:pStyle w:val="TableBody"/>
            </w:pPr>
            <w:r>
              <w:t>Days</w:t>
            </w:r>
          </w:p>
        </w:tc>
        <w:tc>
          <w:tcPr>
            <w:tcW w:w="6120" w:type="dxa"/>
          </w:tcPr>
          <w:p w14:paraId="544452C2" w14:textId="77777777" w:rsidR="002D0D49" w:rsidRDefault="002D0D49" w:rsidP="0031595F">
            <w:pPr>
              <w:pStyle w:val="TableBody"/>
            </w:pPr>
            <w:r>
              <w:t>2</w:t>
            </w:r>
          </w:p>
        </w:tc>
      </w:tr>
      <w:tr w:rsidR="002D0D49" w:rsidRPr="00BE4766" w14:paraId="14D849AF" w14:textId="77777777" w:rsidTr="002D0D49">
        <w:trPr>
          <w:trHeight w:val="519"/>
        </w:trPr>
        <w:tc>
          <w:tcPr>
            <w:tcW w:w="1448" w:type="dxa"/>
          </w:tcPr>
          <w:p w14:paraId="7E4FE7A4" w14:textId="77777777" w:rsidR="002D0D49" w:rsidRDefault="002D0D49" w:rsidP="0031595F">
            <w:pPr>
              <w:pStyle w:val="TableBody"/>
              <w:rPr>
                <w:i/>
              </w:rPr>
            </w:pPr>
            <w:r>
              <w:rPr>
                <w:i/>
              </w:rPr>
              <w:t>T2</w:t>
            </w:r>
          </w:p>
        </w:tc>
        <w:tc>
          <w:tcPr>
            <w:tcW w:w="1702" w:type="dxa"/>
          </w:tcPr>
          <w:p w14:paraId="5A767ABC" w14:textId="77777777" w:rsidR="002D0D49" w:rsidRDefault="002D0D49" w:rsidP="0031595F">
            <w:pPr>
              <w:pStyle w:val="TableBody"/>
            </w:pPr>
            <w:r>
              <w:t>Days</w:t>
            </w:r>
          </w:p>
        </w:tc>
        <w:tc>
          <w:tcPr>
            <w:tcW w:w="6120" w:type="dxa"/>
          </w:tcPr>
          <w:p w14:paraId="0E4F5764" w14:textId="77777777" w:rsidR="002D0D49" w:rsidRDefault="002D0D49" w:rsidP="0031595F">
            <w:pPr>
              <w:pStyle w:val="TableBody"/>
              <w:rPr>
                <w:i/>
              </w:rPr>
            </w:pPr>
            <w:r>
              <w:t>5</w:t>
            </w:r>
          </w:p>
        </w:tc>
      </w:tr>
      <w:tr w:rsidR="002D0D49" w:rsidRPr="00BE4766" w14:paraId="5855A457" w14:textId="77777777" w:rsidTr="002D0D49">
        <w:trPr>
          <w:trHeight w:val="519"/>
        </w:trPr>
        <w:tc>
          <w:tcPr>
            <w:tcW w:w="1448" w:type="dxa"/>
          </w:tcPr>
          <w:p w14:paraId="488F7473" w14:textId="77777777" w:rsidR="002D0D49" w:rsidRDefault="002D0D49" w:rsidP="0031595F">
            <w:pPr>
              <w:pStyle w:val="TableBody"/>
              <w:rPr>
                <w:i/>
              </w:rPr>
            </w:pPr>
            <w:r>
              <w:rPr>
                <w:i/>
              </w:rPr>
              <w:t>T3</w:t>
            </w:r>
          </w:p>
        </w:tc>
        <w:tc>
          <w:tcPr>
            <w:tcW w:w="1702" w:type="dxa"/>
          </w:tcPr>
          <w:p w14:paraId="42732A42" w14:textId="77777777" w:rsidR="002D0D49" w:rsidRDefault="002D0D49" w:rsidP="0031595F">
            <w:pPr>
              <w:pStyle w:val="TableBody"/>
            </w:pPr>
            <w:r w:rsidRPr="00AD0E0C">
              <w:t>Days</w:t>
            </w:r>
          </w:p>
        </w:tc>
        <w:tc>
          <w:tcPr>
            <w:tcW w:w="6120" w:type="dxa"/>
          </w:tcPr>
          <w:p w14:paraId="5728EE95" w14:textId="77777777" w:rsidR="002D0D49" w:rsidRDefault="002D0D49" w:rsidP="0031595F">
            <w:pPr>
              <w:pStyle w:val="TableBody"/>
              <w:rPr>
                <w:i/>
              </w:rPr>
            </w:pPr>
            <w:r>
              <w:t>5</w:t>
            </w:r>
          </w:p>
        </w:tc>
      </w:tr>
      <w:tr w:rsidR="002D0D49" w:rsidRPr="00BE4766" w14:paraId="0F5C2904" w14:textId="77777777" w:rsidTr="002D0D49">
        <w:trPr>
          <w:trHeight w:val="519"/>
        </w:trPr>
        <w:tc>
          <w:tcPr>
            <w:tcW w:w="1448" w:type="dxa"/>
          </w:tcPr>
          <w:p w14:paraId="688E921E" w14:textId="77777777" w:rsidR="002D0D49" w:rsidRDefault="002D0D49" w:rsidP="0031595F">
            <w:pPr>
              <w:pStyle w:val="TableBody"/>
              <w:rPr>
                <w:i/>
              </w:rPr>
            </w:pPr>
            <w:r>
              <w:rPr>
                <w:i/>
              </w:rPr>
              <w:t>T4</w:t>
            </w:r>
          </w:p>
        </w:tc>
        <w:tc>
          <w:tcPr>
            <w:tcW w:w="1702" w:type="dxa"/>
          </w:tcPr>
          <w:p w14:paraId="4088740C" w14:textId="77777777" w:rsidR="002D0D49" w:rsidRDefault="002D0D49" w:rsidP="0031595F">
            <w:pPr>
              <w:pStyle w:val="TableBody"/>
            </w:pPr>
            <w:r w:rsidRPr="00AD0E0C">
              <w:t>Days</w:t>
            </w:r>
          </w:p>
        </w:tc>
        <w:tc>
          <w:tcPr>
            <w:tcW w:w="6120" w:type="dxa"/>
          </w:tcPr>
          <w:p w14:paraId="4DD8C075" w14:textId="77777777" w:rsidR="002D0D49" w:rsidRDefault="002D0D49" w:rsidP="0031595F">
            <w:pPr>
              <w:pStyle w:val="TableBody"/>
            </w:pPr>
            <w:r>
              <w:t>1</w:t>
            </w:r>
          </w:p>
        </w:tc>
      </w:tr>
      <w:tr w:rsidR="002D0D49" w:rsidRPr="00BE4766" w14:paraId="4148A062" w14:textId="77777777" w:rsidTr="002D0D49">
        <w:trPr>
          <w:trHeight w:val="519"/>
        </w:trPr>
        <w:tc>
          <w:tcPr>
            <w:tcW w:w="1448" w:type="dxa"/>
          </w:tcPr>
          <w:p w14:paraId="5D9E3021" w14:textId="77777777" w:rsidR="002D0D49" w:rsidRDefault="002D0D49" w:rsidP="0031595F">
            <w:pPr>
              <w:pStyle w:val="TableBody"/>
              <w:rPr>
                <w:i/>
              </w:rPr>
            </w:pPr>
            <w:r>
              <w:rPr>
                <w:i/>
              </w:rPr>
              <w:t>T5</w:t>
            </w:r>
          </w:p>
        </w:tc>
        <w:tc>
          <w:tcPr>
            <w:tcW w:w="1702" w:type="dxa"/>
          </w:tcPr>
          <w:p w14:paraId="18A94C3D" w14:textId="77777777" w:rsidR="002D0D49" w:rsidRDefault="002D0D49" w:rsidP="0031595F">
            <w:pPr>
              <w:pStyle w:val="TableBody"/>
            </w:pPr>
            <w:r w:rsidRPr="00AD0E0C">
              <w:t>Days</w:t>
            </w:r>
          </w:p>
        </w:tc>
        <w:tc>
          <w:tcPr>
            <w:tcW w:w="6120" w:type="dxa"/>
          </w:tcPr>
          <w:p w14:paraId="31DE895E" w14:textId="77777777" w:rsidR="002D0D49" w:rsidRDefault="002D0D49" w:rsidP="0031595F">
            <w:pPr>
              <w:pStyle w:val="TableBody"/>
              <w:rPr>
                <w:i/>
              </w:rPr>
            </w:pPr>
            <w:r>
              <w:t>For a Counter-Party that represents Load this value is equal to 5, otherwise this value is equal to 2.</w:t>
            </w:r>
          </w:p>
        </w:tc>
      </w:tr>
      <w:tr w:rsidR="002D0D49" w:rsidRPr="00BE4766" w14:paraId="64DA81C6" w14:textId="77777777" w:rsidTr="002D0D49">
        <w:trPr>
          <w:trHeight w:val="519"/>
        </w:trPr>
        <w:tc>
          <w:tcPr>
            <w:tcW w:w="1448" w:type="dxa"/>
          </w:tcPr>
          <w:p w14:paraId="1A3DA326" w14:textId="77777777" w:rsidR="002D0D49" w:rsidRPr="008F4340" w:rsidRDefault="002D0D49" w:rsidP="0031595F">
            <w:pPr>
              <w:pStyle w:val="TableBody"/>
              <w:rPr>
                <w:i/>
              </w:rPr>
            </w:pPr>
            <w:r w:rsidRPr="008F4340">
              <w:rPr>
                <w:i/>
              </w:rPr>
              <w:t>BTCF</w:t>
            </w:r>
          </w:p>
        </w:tc>
        <w:tc>
          <w:tcPr>
            <w:tcW w:w="1702" w:type="dxa"/>
          </w:tcPr>
          <w:p w14:paraId="49A8B096" w14:textId="77777777" w:rsidR="002D0D49" w:rsidRDefault="002D0D49" w:rsidP="0031595F">
            <w:pPr>
              <w:pStyle w:val="TableBody"/>
            </w:pPr>
            <w:r>
              <w:t>Percentage</w:t>
            </w:r>
          </w:p>
        </w:tc>
        <w:tc>
          <w:tcPr>
            <w:tcW w:w="6120" w:type="dxa"/>
          </w:tcPr>
          <w:p w14:paraId="678B44C7" w14:textId="77777777" w:rsidR="002D0D49" w:rsidRDefault="002D0D49" w:rsidP="0031595F">
            <w:pPr>
              <w:pStyle w:val="TableBody"/>
            </w:pPr>
            <w:r>
              <w:t>80%</w:t>
            </w:r>
          </w:p>
        </w:tc>
      </w:tr>
      <w:tr w:rsidR="002D0D49" w:rsidRPr="00BE4766" w14:paraId="38A43523" w14:textId="77777777" w:rsidTr="002D0D49">
        <w:trPr>
          <w:trHeight w:val="519"/>
        </w:trPr>
        <w:tc>
          <w:tcPr>
            <w:tcW w:w="1448" w:type="dxa"/>
          </w:tcPr>
          <w:p w14:paraId="2DB16FF5" w14:textId="77777777" w:rsidR="002D0D49" w:rsidRPr="008F4340" w:rsidRDefault="002D0D49" w:rsidP="0031595F">
            <w:pPr>
              <w:pStyle w:val="TableBody"/>
              <w:rPr>
                <w:i/>
              </w:rPr>
            </w:pPr>
            <w:r>
              <w:rPr>
                <w:i/>
              </w:rPr>
              <w:t>n</w:t>
            </w:r>
          </w:p>
        </w:tc>
        <w:tc>
          <w:tcPr>
            <w:tcW w:w="1702" w:type="dxa"/>
          </w:tcPr>
          <w:p w14:paraId="0B20DA7B" w14:textId="77777777" w:rsidR="002D0D49" w:rsidRDefault="002D0D49" w:rsidP="0031595F">
            <w:pPr>
              <w:pStyle w:val="TableBody"/>
            </w:pPr>
            <w:r>
              <w:t>Days</w:t>
            </w:r>
          </w:p>
        </w:tc>
        <w:tc>
          <w:tcPr>
            <w:tcW w:w="6120" w:type="dxa"/>
          </w:tcPr>
          <w:p w14:paraId="066A574F" w14:textId="77777777" w:rsidR="002D0D49" w:rsidRDefault="002D0D49" w:rsidP="0031595F">
            <w:pPr>
              <w:pStyle w:val="TableBody"/>
            </w:pPr>
            <w:r>
              <w:t>14</w:t>
            </w:r>
          </w:p>
        </w:tc>
      </w:tr>
      <w:tr w:rsidR="002D0D49" w:rsidRPr="00BE4766" w14:paraId="5C5110EA" w14:textId="77777777" w:rsidTr="002D0D49">
        <w:trPr>
          <w:trHeight w:val="519"/>
        </w:trPr>
        <w:tc>
          <w:tcPr>
            <w:tcW w:w="9270" w:type="dxa"/>
            <w:gridSpan w:val="3"/>
          </w:tcPr>
          <w:p w14:paraId="0E97457A" w14:textId="77777777" w:rsidR="002D0D49" w:rsidRDefault="002D0D49" w:rsidP="0031595F">
            <w:pPr>
              <w:pStyle w:val="TableBody"/>
            </w:pPr>
            <w:r>
              <w:lastRenderedPageBreak/>
              <w:t xml:space="preserve">*  </w:t>
            </w:r>
            <w:r w:rsidRPr="00126667">
              <w:t xml:space="preserve">The </w:t>
            </w:r>
            <w:r>
              <w:t xml:space="preserve">current value for the </w:t>
            </w:r>
            <w:r w:rsidRPr="00126667">
              <w:t xml:space="preserve">parameters referenced in </w:t>
            </w:r>
            <w:r>
              <w:t xml:space="preserve">this table above </w:t>
            </w:r>
            <w:r w:rsidRPr="00126667">
              <w:t>will be recommended by TAC and approved by the ERCOT Board.  ERCOT shall update parameter values on the first day of the month following ERCOT Board approval unless otherwise directed by the ERCOT Board.  ERCOT shall provide a Market Notice prior to implementation of a revised parameter value</w:t>
            </w:r>
            <w:r>
              <w:t>.</w:t>
            </w:r>
          </w:p>
        </w:tc>
      </w:tr>
    </w:tbl>
    <w:p w14:paraId="2D02D8AB" w14:textId="77777777" w:rsidR="00856F40" w:rsidRDefault="00856F40" w:rsidP="00E45FD4">
      <w:pPr>
        <w:pStyle w:val="BodyTextNumbered"/>
        <w:spacing w:before="240"/>
      </w:pPr>
      <w:r>
        <w:t>(3)</w:t>
      </w:r>
      <w:r>
        <w:tab/>
        <w:t>If ERCOT, in its sole discretion, determines that the TPEA or the TPES for a Counter-Party calculated under paragraphs (1) or (2) above does not adequately match the financial risk created by that Counter-Party’s activities under these Protocols, then ERCOT may set a different TPEA or TPES for that Counter-Party.  ERCOT shall, to the extent practical, give to the Counter-Party the information used to determine that different TPEA or TPES.  ERCOT shall provide written or electronic Notice to the Counter-Party of the basis for ERCOT’s assessment of the Counter-Party’s financial risk and the resulting creditworthiness requirements.</w:t>
      </w:r>
    </w:p>
    <w:p w14:paraId="613EF508" w14:textId="77777777" w:rsidR="00856F40" w:rsidRDefault="00856F40" w:rsidP="00C9406C">
      <w:pPr>
        <w:pStyle w:val="H4"/>
        <w:keepNext w:val="0"/>
        <w:spacing w:before="0"/>
        <w:ind w:left="720" w:hanging="720"/>
        <w:outlineLvl w:val="9"/>
        <w:rPr>
          <w:b/>
        </w:rPr>
      </w:pPr>
      <w:bookmarkStart w:id="477" w:name="_Toc344279648"/>
      <w:bookmarkStart w:id="478" w:name="_Toc344279748"/>
      <w:bookmarkStart w:id="479" w:name="_Toc349821800"/>
      <w:r w:rsidRPr="00D77FC8">
        <w:rPr>
          <w:iCs/>
        </w:rPr>
        <w:t>(4)</w:t>
      </w:r>
      <w:r w:rsidRPr="00D77FC8">
        <w:rPr>
          <w:iCs/>
        </w:rPr>
        <w:tab/>
        <w:t>ERCOT shall monitor and calculate each Counter-Party’s TPEA and TPES daily.</w:t>
      </w:r>
      <w:bookmarkEnd w:id="477"/>
      <w:bookmarkEnd w:id="478"/>
      <w:bookmarkEnd w:id="479"/>
    </w:p>
    <w:p w14:paraId="474B16BD" w14:textId="77777777" w:rsidR="00F56ABB" w:rsidRPr="00D63F95" w:rsidRDefault="00727E32" w:rsidP="00866318">
      <w:pPr>
        <w:pStyle w:val="H4"/>
        <w:keepNext w:val="0"/>
        <w:ind w:left="1267" w:hanging="1267"/>
        <w:rPr>
          <w:b/>
        </w:rPr>
      </w:pPr>
      <w:bookmarkStart w:id="480" w:name="_Toc390438967"/>
      <w:bookmarkStart w:id="481" w:name="_Toc405897664"/>
      <w:bookmarkStart w:id="482" w:name="_Toc415055768"/>
      <w:bookmarkStart w:id="483" w:name="_Toc415055894"/>
      <w:bookmarkStart w:id="484" w:name="_Toc415055993"/>
      <w:bookmarkStart w:id="485" w:name="_Toc415056094"/>
      <w:bookmarkStart w:id="486" w:name="_Toc148960872"/>
      <w:r w:rsidRPr="004F59D3">
        <w:rPr>
          <w:b/>
        </w:rPr>
        <w:t>16.11.4.2</w:t>
      </w:r>
      <w:r w:rsidRPr="00D63F95">
        <w:rPr>
          <w:b/>
        </w:rPr>
        <w:tab/>
        <w:t>Determination of Counter-Party Initial Estimated Liability</w:t>
      </w:r>
      <w:bookmarkEnd w:id="480"/>
      <w:bookmarkEnd w:id="481"/>
      <w:bookmarkEnd w:id="482"/>
      <w:bookmarkEnd w:id="483"/>
      <w:bookmarkEnd w:id="484"/>
      <w:bookmarkEnd w:id="485"/>
      <w:bookmarkEnd w:id="486"/>
    </w:p>
    <w:p w14:paraId="26B41A8B" w14:textId="77777777" w:rsidR="00FC1C5F" w:rsidRDefault="00727E32">
      <w:pPr>
        <w:pStyle w:val="List"/>
        <w:ind w:left="720"/>
      </w:pPr>
      <w:r>
        <w:t>(1)</w:t>
      </w:r>
      <w:r>
        <w:tab/>
      </w:r>
      <w:r w:rsidR="002D0D49">
        <w:t xml:space="preserve">For each Counter-Party, </w:t>
      </w:r>
      <w:r w:rsidR="002D0D49" w:rsidRPr="004F59D3">
        <w:t>except those Counter-Parties that are only CRR Account Holders,</w:t>
      </w:r>
      <w:r w:rsidR="002D0D49">
        <w:t xml:space="preserve"> ERCOT shall determine </w:t>
      </w:r>
      <w:r w:rsidR="0058051D">
        <w:t xml:space="preserve">an Initial Estimated Liability (IEL) </w:t>
      </w:r>
      <w:r w:rsidR="002D0D49">
        <w:t>for purposes of Section 16.11.3, Alternative Means of Satisfying ERCOT Creditworthiness Requirements.</w:t>
      </w:r>
    </w:p>
    <w:p w14:paraId="666AFDB7" w14:textId="77777777" w:rsidR="000370C5" w:rsidRDefault="000370C5" w:rsidP="000370C5">
      <w:pPr>
        <w:pStyle w:val="List"/>
        <w:ind w:left="720"/>
      </w:pPr>
      <w:r>
        <w:t>(2)</w:t>
      </w:r>
      <w:r>
        <w:tab/>
        <w:t xml:space="preserve">For a Counter-Party that </w:t>
      </w:r>
      <w:r w:rsidR="00023149">
        <w:t>has all its</w:t>
      </w:r>
      <w:r>
        <w:t xml:space="preserve"> QSE</w:t>
      </w:r>
      <w:r w:rsidR="00023149">
        <w:t>s</w:t>
      </w:r>
      <w:r>
        <w:t xml:space="preserve"> representing only LSEs, ERCOT shall calculate the IEL using the following formula: </w:t>
      </w:r>
    </w:p>
    <w:p w14:paraId="319450AA" w14:textId="77777777" w:rsidR="000370C5" w:rsidRDefault="000370C5" w:rsidP="000370C5">
      <w:pPr>
        <w:pStyle w:val="List"/>
        <w:rPr>
          <w:b/>
          <w:lang w:val="es-ES"/>
        </w:rPr>
      </w:pPr>
      <w:r>
        <w:rPr>
          <w:b/>
          <w:lang w:val="es-ES"/>
        </w:rPr>
        <w:t xml:space="preserve">IEL = DEL </w:t>
      </w:r>
      <w:r w:rsidRPr="00753977">
        <w:rPr>
          <w:b/>
          <w:lang w:val="es-ES"/>
        </w:rPr>
        <w:t>*</w:t>
      </w:r>
      <w:r>
        <w:rPr>
          <w:b/>
          <w:lang w:val="es-ES"/>
        </w:rPr>
        <w:t xml:space="preserve"> Max [0.2, RTEFL] </w:t>
      </w:r>
      <w:r w:rsidRPr="00753977">
        <w:rPr>
          <w:b/>
          <w:lang w:val="es-ES"/>
        </w:rPr>
        <w:t>*</w:t>
      </w:r>
      <w:r>
        <w:rPr>
          <w:b/>
          <w:lang w:val="es-ES"/>
        </w:rPr>
        <w:t xml:space="preserve"> RTAEP </w:t>
      </w:r>
      <w:r w:rsidRPr="00753977">
        <w:rPr>
          <w:b/>
          <w:lang w:val="es-ES"/>
        </w:rPr>
        <w:t>*</w:t>
      </w:r>
      <w:r>
        <w:rPr>
          <w:b/>
          <w:lang w:val="es-ES"/>
        </w:rPr>
        <w:t xml:space="preserve"> (M1 + M2)</w:t>
      </w:r>
    </w:p>
    <w:p w14:paraId="21E754EA" w14:textId="77777777" w:rsidR="000370C5" w:rsidRDefault="000370C5" w:rsidP="000370C5">
      <w:pPr>
        <w:pStyle w:val="BodyTextIndent"/>
        <w:spacing w:after="0"/>
        <w:ind w:left="0"/>
        <w:rPr>
          <w:iCs w:val="0"/>
        </w:rPr>
      </w:pPr>
      <w:r>
        <w:rPr>
          <w:iCs w:val="0"/>
        </w:rPr>
        <w:t>The above variables are defined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74"/>
        <w:gridCol w:w="839"/>
        <w:gridCol w:w="6588"/>
      </w:tblGrid>
      <w:tr w:rsidR="000370C5" w14:paraId="6BCA4948" w14:textId="77777777" w:rsidTr="000370C5">
        <w:tc>
          <w:tcPr>
            <w:tcW w:w="1574" w:type="dxa"/>
          </w:tcPr>
          <w:p w14:paraId="42B14F9A" w14:textId="77777777" w:rsidR="000370C5" w:rsidRDefault="000370C5" w:rsidP="000370C5">
            <w:pPr>
              <w:pStyle w:val="TableHead"/>
            </w:pPr>
            <w:r>
              <w:t>Variable</w:t>
            </w:r>
          </w:p>
        </w:tc>
        <w:tc>
          <w:tcPr>
            <w:tcW w:w="694" w:type="dxa"/>
          </w:tcPr>
          <w:p w14:paraId="2747A26F" w14:textId="77777777" w:rsidR="000370C5" w:rsidRDefault="000370C5" w:rsidP="000370C5">
            <w:pPr>
              <w:pStyle w:val="TableHead"/>
              <w:jc w:val="center"/>
            </w:pPr>
            <w:r>
              <w:t>Unit</w:t>
            </w:r>
          </w:p>
        </w:tc>
        <w:tc>
          <w:tcPr>
            <w:tcW w:w="6588" w:type="dxa"/>
          </w:tcPr>
          <w:p w14:paraId="022F4DDA" w14:textId="77777777" w:rsidR="000370C5" w:rsidRDefault="000370C5" w:rsidP="000370C5">
            <w:pPr>
              <w:pStyle w:val="TableHead"/>
            </w:pPr>
            <w:r>
              <w:t>Description</w:t>
            </w:r>
          </w:p>
        </w:tc>
      </w:tr>
      <w:tr w:rsidR="000370C5" w14:paraId="2961F599" w14:textId="77777777" w:rsidTr="000370C5">
        <w:tc>
          <w:tcPr>
            <w:tcW w:w="1574" w:type="dxa"/>
          </w:tcPr>
          <w:p w14:paraId="4A6A4BFD" w14:textId="77777777" w:rsidR="000370C5" w:rsidRDefault="000370C5" w:rsidP="000370C5">
            <w:pPr>
              <w:pStyle w:val="TableBody"/>
            </w:pPr>
            <w:r>
              <w:t>IEL</w:t>
            </w:r>
          </w:p>
        </w:tc>
        <w:tc>
          <w:tcPr>
            <w:tcW w:w="694" w:type="dxa"/>
          </w:tcPr>
          <w:p w14:paraId="6AF20AFD" w14:textId="77777777" w:rsidR="000370C5" w:rsidRDefault="000370C5" w:rsidP="000370C5">
            <w:pPr>
              <w:pStyle w:val="TableBody"/>
            </w:pPr>
            <w:r>
              <w:t>$</w:t>
            </w:r>
          </w:p>
        </w:tc>
        <w:tc>
          <w:tcPr>
            <w:tcW w:w="6588" w:type="dxa"/>
          </w:tcPr>
          <w:p w14:paraId="629C8332" w14:textId="77777777" w:rsidR="000370C5" w:rsidRDefault="000370C5" w:rsidP="000370C5">
            <w:pPr>
              <w:pStyle w:val="TableBody"/>
            </w:pPr>
            <w:r w:rsidRPr="00B67540">
              <w:rPr>
                <w:i/>
              </w:rPr>
              <w:t>Initial Estimated Liability</w:t>
            </w:r>
            <w:r w:rsidRPr="00B67540">
              <w:rPr>
                <w:color w:val="000000"/>
              </w:rPr>
              <w:sym w:font="Symbol" w:char="F0BE"/>
            </w:r>
            <w:r>
              <w:t>The Counter-Party’s</w:t>
            </w:r>
            <w:r w:rsidR="00C3054D" w:rsidRPr="00C3054D">
              <w:t xml:space="preserve"> Initial Estimated Liability</w:t>
            </w:r>
            <w:r>
              <w:t>.</w:t>
            </w:r>
          </w:p>
        </w:tc>
      </w:tr>
      <w:tr w:rsidR="000370C5" w14:paraId="105BDDFD" w14:textId="77777777" w:rsidTr="000370C5">
        <w:tc>
          <w:tcPr>
            <w:tcW w:w="1574" w:type="dxa"/>
          </w:tcPr>
          <w:p w14:paraId="2E17BFA8" w14:textId="77777777" w:rsidR="000370C5" w:rsidRDefault="000370C5" w:rsidP="000370C5">
            <w:pPr>
              <w:pStyle w:val="TableBody"/>
            </w:pPr>
            <w:smartTag w:uri="urn:schemas-microsoft-com:office:smarttags" w:element="State">
              <w:smartTag w:uri="urn:schemas-microsoft-com:office:smarttags" w:element="place">
                <w:r>
                  <w:t>DEL</w:t>
                </w:r>
              </w:smartTag>
            </w:smartTag>
          </w:p>
        </w:tc>
        <w:tc>
          <w:tcPr>
            <w:tcW w:w="694" w:type="dxa"/>
          </w:tcPr>
          <w:p w14:paraId="60205809" w14:textId="77777777" w:rsidR="000370C5" w:rsidRDefault="000370C5" w:rsidP="000370C5">
            <w:pPr>
              <w:pStyle w:val="TableBody"/>
            </w:pPr>
            <w:r>
              <w:t>MWh</w:t>
            </w:r>
          </w:p>
        </w:tc>
        <w:tc>
          <w:tcPr>
            <w:tcW w:w="6588" w:type="dxa"/>
          </w:tcPr>
          <w:p w14:paraId="53DE4076" w14:textId="77777777" w:rsidR="000370C5" w:rsidRDefault="000370C5" w:rsidP="000370C5">
            <w:pPr>
              <w:pStyle w:val="TableBody"/>
            </w:pPr>
            <w:r w:rsidRPr="00B67540">
              <w:rPr>
                <w:i/>
              </w:rPr>
              <w:t>Daily Estimated Load</w:t>
            </w:r>
            <w:r w:rsidRPr="00B67540">
              <w:rPr>
                <w:color w:val="000000"/>
              </w:rPr>
              <w:sym w:font="Symbol" w:char="F0BE"/>
            </w:r>
            <w:r>
              <w:t xml:space="preserve">The Counter-Party’s estimated average daily Load as determined by ERCOT based on information provided by the Counter-Party. </w:t>
            </w:r>
          </w:p>
        </w:tc>
      </w:tr>
      <w:tr w:rsidR="000370C5" w14:paraId="2C92EA43" w14:textId="77777777" w:rsidTr="000370C5">
        <w:tc>
          <w:tcPr>
            <w:tcW w:w="1574" w:type="dxa"/>
          </w:tcPr>
          <w:p w14:paraId="2F5FF4B3" w14:textId="77777777" w:rsidR="000370C5" w:rsidRDefault="000370C5" w:rsidP="000370C5">
            <w:pPr>
              <w:pStyle w:val="TableBody"/>
            </w:pPr>
            <w:r>
              <w:t>RTEFL</w:t>
            </w:r>
          </w:p>
        </w:tc>
        <w:tc>
          <w:tcPr>
            <w:tcW w:w="694" w:type="dxa"/>
          </w:tcPr>
          <w:p w14:paraId="0F3B3CF0" w14:textId="77777777" w:rsidR="000370C5" w:rsidRDefault="000370C5" w:rsidP="000370C5">
            <w:pPr>
              <w:pStyle w:val="TableBody"/>
            </w:pPr>
            <w:r>
              <w:t>none</w:t>
            </w:r>
          </w:p>
        </w:tc>
        <w:tc>
          <w:tcPr>
            <w:tcW w:w="6588" w:type="dxa"/>
          </w:tcPr>
          <w:p w14:paraId="6E9D88B8" w14:textId="77777777" w:rsidR="000370C5" w:rsidRDefault="000370C5" w:rsidP="00E12AFD">
            <w:pPr>
              <w:pStyle w:val="TableBody"/>
            </w:pPr>
            <w:r w:rsidRPr="00B67540">
              <w:rPr>
                <w:i/>
              </w:rPr>
              <w:t>Real-Time Energy Factor for Load</w:t>
            </w:r>
            <w:r w:rsidRPr="00B67540">
              <w:rPr>
                <w:color w:val="000000"/>
              </w:rPr>
              <w:sym w:font="Symbol" w:char="F0BE"/>
            </w:r>
            <w:r>
              <w:t>The ratio of the Counter-Party’s estimated energy pur</w:t>
            </w:r>
            <w:r w:rsidR="00E12AFD">
              <w:t xml:space="preserve">chases in the </w:t>
            </w:r>
            <w:r>
              <w:t>RTM as determined by ERCOT based on information provided by the Counter-Party, to the Counter-Party’s Daily Estimated Load.</w:t>
            </w:r>
          </w:p>
        </w:tc>
      </w:tr>
      <w:tr w:rsidR="000370C5" w14:paraId="6564F50A" w14:textId="77777777" w:rsidTr="000370C5">
        <w:tc>
          <w:tcPr>
            <w:tcW w:w="1574" w:type="dxa"/>
          </w:tcPr>
          <w:p w14:paraId="1B31EA14" w14:textId="77777777" w:rsidR="000370C5" w:rsidRPr="00B67540" w:rsidRDefault="000370C5" w:rsidP="000370C5">
            <w:pPr>
              <w:pStyle w:val="TableBody"/>
              <w:rPr>
                <w:color w:val="000000"/>
              </w:rPr>
            </w:pPr>
            <w:r w:rsidRPr="00B67540">
              <w:rPr>
                <w:color w:val="000000"/>
              </w:rPr>
              <w:t>RTAEP</w:t>
            </w:r>
          </w:p>
        </w:tc>
        <w:tc>
          <w:tcPr>
            <w:tcW w:w="694" w:type="dxa"/>
          </w:tcPr>
          <w:p w14:paraId="64EDBDA8" w14:textId="77777777" w:rsidR="000370C5" w:rsidRDefault="000370C5" w:rsidP="000370C5">
            <w:pPr>
              <w:pStyle w:val="TableBody"/>
            </w:pPr>
            <w:r>
              <w:t>$/MWh</w:t>
            </w:r>
          </w:p>
        </w:tc>
        <w:tc>
          <w:tcPr>
            <w:tcW w:w="6588" w:type="dxa"/>
          </w:tcPr>
          <w:p w14:paraId="0F91BF4F" w14:textId="77777777" w:rsidR="000370C5" w:rsidRPr="00B67540" w:rsidRDefault="000370C5" w:rsidP="000370C5">
            <w:pPr>
              <w:pStyle w:val="TableBody"/>
              <w:rPr>
                <w:color w:val="000000"/>
              </w:rPr>
            </w:pPr>
            <w:r w:rsidRPr="00B67540">
              <w:rPr>
                <w:i/>
              </w:rPr>
              <w:t>Real-Time Average Energy Price</w:t>
            </w:r>
            <w:r w:rsidRPr="00B67540">
              <w:rPr>
                <w:color w:val="000000"/>
              </w:rPr>
              <w:sym w:font="Symbol" w:char="F0BE"/>
            </w:r>
            <w:r w:rsidRPr="00B67540">
              <w:rPr>
                <w:color w:val="000000"/>
              </w:rPr>
              <w:t xml:space="preserve">Average Settlement Point Price for the “ERCOT 345” as defined in Section 3.5.2.5, ERCOT Hub Average 345 kV Hub (ERCOT 345), based upon the previous seven days’ average Real-Time Settlement Point Prices. </w:t>
            </w:r>
          </w:p>
        </w:tc>
      </w:tr>
    </w:tbl>
    <w:p w14:paraId="6D197B70" w14:textId="77777777" w:rsidR="000370C5" w:rsidRDefault="000370C5" w:rsidP="000370C5">
      <w:pPr>
        <w:pStyle w:val="List"/>
        <w:spacing w:before="240"/>
        <w:ind w:left="720"/>
      </w:pPr>
      <w:r>
        <w:t>(3)</w:t>
      </w:r>
      <w:r>
        <w:tab/>
        <w:t xml:space="preserve">For a Counter-Party that </w:t>
      </w:r>
      <w:r w:rsidR="00023149">
        <w:t>has all its</w:t>
      </w:r>
      <w:r>
        <w:t xml:space="preserve"> QSE</w:t>
      </w:r>
      <w:r w:rsidR="00023149">
        <w:t>s</w:t>
      </w:r>
      <w:r>
        <w:t xml:space="preserve"> representing only Resources, ERCOT shall calculate the IEL using the following formula: </w:t>
      </w:r>
    </w:p>
    <w:p w14:paraId="05A16CBB" w14:textId="77777777" w:rsidR="000370C5" w:rsidRDefault="000370C5" w:rsidP="000370C5">
      <w:pPr>
        <w:pStyle w:val="List"/>
        <w:rPr>
          <w:lang w:val="es-ES"/>
        </w:rPr>
      </w:pPr>
      <w:r w:rsidRPr="00753977">
        <w:rPr>
          <w:b/>
          <w:lang w:val="es-ES"/>
        </w:rPr>
        <w:t>IEL</w:t>
      </w:r>
      <w:r w:rsidRPr="00753977">
        <w:rPr>
          <w:b/>
          <w:lang w:val="es-ES"/>
        </w:rPr>
        <w:tab/>
        <w:t>=</w:t>
      </w:r>
      <w:r w:rsidRPr="00753977">
        <w:rPr>
          <w:b/>
          <w:lang w:val="es-ES"/>
        </w:rPr>
        <w:tab/>
        <w:t>DEG * Max [0.2, RTEFG] * RTAEP * (M1 + M2)</w:t>
      </w:r>
    </w:p>
    <w:p w14:paraId="1CD4EAEC" w14:textId="77777777" w:rsidR="000370C5" w:rsidRDefault="000370C5" w:rsidP="000370C5">
      <w:pPr>
        <w:pStyle w:val="BodyTextIndent"/>
        <w:spacing w:after="0"/>
        <w:ind w:left="0"/>
        <w:rPr>
          <w:iCs w:val="0"/>
        </w:rPr>
      </w:pPr>
      <w:r>
        <w:rPr>
          <w:iCs w:val="0"/>
        </w:rPr>
        <w:lastRenderedPageBreak/>
        <w:t>The above variables are defined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74"/>
        <w:gridCol w:w="874"/>
        <w:gridCol w:w="6408"/>
      </w:tblGrid>
      <w:tr w:rsidR="000370C5" w14:paraId="729820C2" w14:textId="77777777" w:rsidTr="000370C5">
        <w:trPr>
          <w:tblHeader/>
        </w:trPr>
        <w:tc>
          <w:tcPr>
            <w:tcW w:w="1574" w:type="dxa"/>
          </w:tcPr>
          <w:p w14:paraId="2F4520EC" w14:textId="77777777" w:rsidR="000370C5" w:rsidRPr="00B67540" w:rsidRDefault="000370C5" w:rsidP="000370C5">
            <w:pPr>
              <w:pStyle w:val="TableHead"/>
              <w:rPr>
                <w:color w:val="000000"/>
              </w:rPr>
            </w:pPr>
            <w:r w:rsidRPr="00B67540">
              <w:rPr>
                <w:color w:val="000000"/>
              </w:rPr>
              <w:t>Variable</w:t>
            </w:r>
          </w:p>
        </w:tc>
        <w:tc>
          <w:tcPr>
            <w:tcW w:w="874" w:type="dxa"/>
          </w:tcPr>
          <w:p w14:paraId="0A0CD8A0" w14:textId="77777777" w:rsidR="000370C5" w:rsidRPr="00B67540" w:rsidRDefault="000370C5" w:rsidP="000370C5">
            <w:pPr>
              <w:pStyle w:val="TableHead"/>
              <w:jc w:val="center"/>
              <w:rPr>
                <w:color w:val="000000"/>
              </w:rPr>
            </w:pPr>
            <w:r w:rsidRPr="00B67540">
              <w:rPr>
                <w:color w:val="000000"/>
              </w:rPr>
              <w:t>Unit</w:t>
            </w:r>
          </w:p>
        </w:tc>
        <w:tc>
          <w:tcPr>
            <w:tcW w:w="6408" w:type="dxa"/>
          </w:tcPr>
          <w:p w14:paraId="29DF3244" w14:textId="77777777" w:rsidR="000370C5" w:rsidRPr="00B67540" w:rsidRDefault="000370C5" w:rsidP="000370C5">
            <w:pPr>
              <w:pStyle w:val="TableHead"/>
              <w:rPr>
                <w:color w:val="000000"/>
              </w:rPr>
            </w:pPr>
            <w:r w:rsidRPr="00B67540">
              <w:rPr>
                <w:color w:val="000000"/>
              </w:rPr>
              <w:t>Description</w:t>
            </w:r>
          </w:p>
        </w:tc>
      </w:tr>
      <w:tr w:rsidR="000370C5" w14:paraId="5149DB8B" w14:textId="77777777" w:rsidTr="000370C5">
        <w:tc>
          <w:tcPr>
            <w:tcW w:w="1574" w:type="dxa"/>
          </w:tcPr>
          <w:p w14:paraId="512DAC4F" w14:textId="77777777" w:rsidR="000370C5" w:rsidRPr="00B67540" w:rsidRDefault="000370C5" w:rsidP="000370C5">
            <w:pPr>
              <w:pStyle w:val="TableBody"/>
              <w:rPr>
                <w:color w:val="000000"/>
              </w:rPr>
            </w:pPr>
            <w:r w:rsidRPr="00B67540">
              <w:rPr>
                <w:color w:val="000000"/>
              </w:rPr>
              <w:t>IEL</w:t>
            </w:r>
          </w:p>
        </w:tc>
        <w:tc>
          <w:tcPr>
            <w:tcW w:w="874" w:type="dxa"/>
          </w:tcPr>
          <w:p w14:paraId="60383A06" w14:textId="77777777" w:rsidR="000370C5" w:rsidRPr="00B67540" w:rsidRDefault="000370C5" w:rsidP="000370C5">
            <w:pPr>
              <w:pStyle w:val="TableBody"/>
              <w:rPr>
                <w:color w:val="000000"/>
              </w:rPr>
            </w:pPr>
            <w:r w:rsidRPr="00B67540">
              <w:rPr>
                <w:color w:val="000000"/>
              </w:rPr>
              <w:t>$</w:t>
            </w:r>
          </w:p>
        </w:tc>
        <w:tc>
          <w:tcPr>
            <w:tcW w:w="6408" w:type="dxa"/>
          </w:tcPr>
          <w:p w14:paraId="6816E486" w14:textId="77777777" w:rsidR="000370C5" w:rsidRPr="00B67540" w:rsidRDefault="000370C5" w:rsidP="000370C5">
            <w:pPr>
              <w:pStyle w:val="TableBody"/>
              <w:rPr>
                <w:color w:val="000000"/>
              </w:rPr>
            </w:pPr>
            <w:r w:rsidRPr="00B67540">
              <w:rPr>
                <w:i/>
                <w:color w:val="000000"/>
              </w:rPr>
              <w:t>Initial Estimated Liability</w:t>
            </w:r>
            <w:r w:rsidRPr="00B67540">
              <w:rPr>
                <w:color w:val="000000"/>
              </w:rPr>
              <w:sym w:font="Symbol" w:char="F0BE"/>
            </w:r>
            <w:r w:rsidRPr="00B67540">
              <w:rPr>
                <w:color w:val="000000"/>
              </w:rPr>
              <w:t>The Counter-Party’s Initial Estimated Liability.</w:t>
            </w:r>
          </w:p>
        </w:tc>
      </w:tr>
      <w:tr w:rsidR="000370C5" w14:paraId="5BC89D86" w14:textId="77777777" w:rsidTr="000370C5">
        <w:tc>
          <w:tcPr>
            <w:tcW w:w="1574" w:type="dxa"/>
          </w:tcPr>
          <w:p w14:paraId="19784ECC" w14:textId="77777777" w:rsidR="000370C5" w:rsidRPr="00B67540" w:rsidRDefault="000370C5" w:rsidP="000370C5">
            <w:pPr>
              <w:pStyle w:val="TableBody"/>
              <w:rPr>
                <w:color w:val="000000"/>
              </w:rPr>
            </w:pPr>
            <w:r w:rsidRPr="00B67540">
              <w:rPr>
                <w:color w:val="000000"/>
              </w:rPr>
              <w:t>DEG</w:t>
            </w:r>
          </w:p>
        </w:tc>
        <w:tc>
          <w:tcPr>
            <w:tcW w:w="874" w:type="dxa"/>
          </w:tcPr>
          <w:p w14:paraId="37739FC8" w14:textId="77777777" w:rsidR="000370C5" w:rsidRPr="00B67540" w:rsidRDefault="000370C5" w:rsidP="000370C5">
            <w:pPr>
              <w:pStyle w:val="TableBody"/>
              <w:rPr>
                <w:i/>
                <w:color w:val="000000"/>
              </w:rPr>
            </w:pPr>
            <w:r w:rsidRPr="00B67540">
              <w:rPr>
                <w:color w:val="000000"/>
              </w:rPr>
              <w:t>MWh</w:t>
            </w:r>
          </w:p>
        </w:tc>
        <w:tc>
          <w:tcPr>
            <w:tcW w:w="6408" w:type="dxa"/>
          </w:tcPr>
          <w:p w14:paraId="69C593EB" w14:textId="77777777" w:rsidR="000370C5" w:rsidRPr="00B67540" w:rsidRDefault="000370C5" w:rsidP="000370C5">
            <w:pPr>
              <w:pStyle w:val="TableBody"/>
              <w:rPr>
                <w:color w:val="000000"/>
              </w:rPr>
            </w:pPr>
            <w:r w:rsidRPr="00B67540">
              <w:rPr>
                <w:i/>
                <w:color w:val="000000"/>
              </w:rPr>
              <w:t>Daily Estimated Generation</w:t>
            </w:r>
            <w:r w:rsidRPr="00B67540">
              <w:rPr>
                <w:color w:val="000000"/>
              </w:rPr>
              <w:sym w:font="Symbol" w:char="F0BE"/>
            </w:r>
            <w:r w:rsidRPr="00B67540">
              <w:rPr>
                <w:color w:val="000000"/>
              </w:rPr>
              <w:t>The Counter-Party’s estimated average daily generation</w:t>
            </w:r>
            <w:r>
              <w:t xml:space="preserve"> as determined by ERCOT based on information provided by the Counter-Party</w:t>
            </w:r>
            <w:r w:rsidRPr="00B67540">
              <w:rPr>
                <w:color w:val="000000"/>
              </w:rPr>
              <w:t>.</w:t>
            </w:r>
          </w:p>
        </w:tc>
      </w:tr>
      <w:tr w:rsidR="000370C5" w14:paraId="4DFF228B" w14:textId="77777777" w:rsidTr="000370C5">
        <w:tc>
          <w:tcPr>
            <w:tcW w:w="1574" w:type="dxa"/>
          </w:tcPr>
          <w:p w14:paraId="3A5000E3" w14:textId="77777777" w:rsidR="000370C5" w:rsidRPr="00B67540" w:rsidRDefault="000370C5" w:rsidP="000370C5">
            <w:pPr>
              <w:pStyle w:val="TableBody"/>
              <w:rPr>
                <w:color w:val="000000"/>
              </w:rPr>
            </w:pPr>
            <w:r w:rsidRPr="00B67540">
              <w:rPr>
                <w:color w:val="000000"/>
              </w:rPr>
              <w:t>RTEFG</w:t>
            </w:r>
          </w:p>
        </w:tc>
        <w:tc>
          <w:tcPr>
            <w:tcW w:w="874" w:type="dxa"/>
          </w:tcPr>
          <w:p w14:paraId="2A3ECAD3" w14:textId="77777777" w:rsidR="000370C5" w:rsidRPr="00B67540" w:rsidRDefault="000370C5" w:rsidP="000370C5">
            <w:pPr>
              <w:pStyle w:val="TableBody"/>
              <w:rPr>
                <w:color w:val="000000"/>
              </w:rPr>
            </w:pPr>
            <w:r w:rsidRPr="00B67540">
              <w:rPr>
                <w:color w:val="000000"/>
              </w:rPr>
              <w:t>none</w:t>
            </w:r>
          </w:p>
        </w:tc>
        <w:tc>
          <w:tcPr>
            <w:tcW w:w="6408" w:type="dxa"/>
          </w:tcPr>
          <w:p w14:paraId="45F7C9A2" w14:textId="77777777" w:rsidR="000370C5" w:rsidRPr="00B67540" w:rsidRDefault="000370C5" w:rsidP="009B0BEE">
            <w:pPr>
              <w:pStyle w:val="TableBody"/>
              <w:rPr>
                <w:color w:val="000000"/>
              </w:rPr>
            </w:pPr>
            <w:r w:rsidRPr="00B67540">
              <w:rPr>
                <w:i/>
                <w:color w:val="000000"/>
              </w:rPr>
              <w:t>Real-Time Energy Factor for Generation</w:t>
            </w:r>
            <w:r w:rsidRPr="00B67540">
              <w:rPr>
                <w:color w:val="000000"/>
              </w:rPr>
              <w:sym w:font="Symbol" w:char="F0BE"/>
            </w:r>
            <w:r>
              <w:t xml:space="preserve">The ratio of the Counter-Party’s </w:t>
            </w:r>
            <w:r w:rsidR="009B0BEE">
              <w:t xml:space="preserve">QSE to QSE </w:t>
            </w:r>
            <w:r>
              <w:t>estimated energy sales as determined by ERCOT based on information provided by the Counter-Party, to the Counter-Party’s Daily Estimated Generation.</w:t>
            </w:r>
          </w:p>
        </w:tc>
      </w:tr>
      <w:tr w:rsidR="000370C5" w14:paraId="0608F5DC" w14:textId="77777777" w:rsidTr="000370C5">
        <w:tc>
          <w:tcPr>
            <w:tcW w:w="1574" w:type="dxa"/>
          </w:tcPr>
          <w:p w14:paraId="4FDD0E67" w14:textId="77777777" w:rsidR="000370C5" w:rsidRPr="00B67540" w:rsidRDefault="000370C5" w:rsidP="000370C5">
            <w:pPr>
              <w:pStyle w:val="TableBody"/>
              <w:rPr>
                <w:color w:val="000000"/>
              </w:rPr>
            </w:pPr>
            <w:r w:rsidRPr="00B67540">
              <w:rPr>
                <w:color w:val="000000"/>
              </w:rPr>
              <w:t>RTAEP</w:t>
            </w:r>
          </w:p>
        </w:tc>
        <w:tc>
          <w:tcPr>
            <w:tcW w:w="874" w:type="dxa"/>
          </w:tcPr>
          <w:p w14:paraId="6E7E7270" w14:textId="77777777" w:rsidR="000370C5" w:rsidRPr="00B67540" w:rsidRDefault="000370C5" w:rsidP="000370C5">
            <w:pPr>
              <w:pStyle w:val="TableBody"/>
              <w:rPr>
                <w:color w:val="000000"/>
              </w:rPr>
            </w:pPr>
            <w:r w:rsidRPr="00B67540">
              <w:rPr>
                <w:color w:val="000000"/>
              </w:rPr>
              <w:t>$/MWh</w:t>
            </w:r>
          </w:p>
        </w:tc>
        <w:tc>
          <w:tcPr>
            <w:tcW w:w="6408" w:type="dxa"/>
          </w:tcPr>
          <w:p w14:paraId="03F9178C" w14:textId="77777777" w:rsidR="000370C5" w:rsidRPr="00B67540" w:rsidRDefault="000370C5" w:rsidP="000370C5">
            <w:pPr>
              <w:pStyle w:val="TableBody"/>
              <w:rPr>
                <w:color w:val="000000"/>
              </w:rPr>
            </w:pPr>
            <w:r w:rsidRPr="00B67540">
              <w:rPr>
                <w:i/>
                <w:color w:val="000000"/>
              </w:rPr>
              <w:t>Real-Time Average Energy Price</w:t>
            </w:r>
            <w:r w:rsidRPr="00B67540">
              <w:rPr>
                <w:color w:val="000000"/>
              </w:rPr>
              <w:sym w:font="Symbol" w:char="F0BE"/>
            </w:r>
            <w:r w:rsidRPr="00B67540">
              <w:rPr>
                <w:color w:val="000000"/>
              </w:rPr>
              <w:t>Average Settlement Point Price for the “ERCOT 345” as defined in Section 3.5.2.5 based upon the previous seven days average Real-Time Settlement Point Prices.</w:t>
            </w:r>
          </w:p>
        </w:tc>
      </w:tr>
    </w:tbl>
    <w:p w14:paraId="20CC9B8A" w14:textId="77777777" w:rsidR="000370C5" w:rsidRDefault="000370C5" w:rsidP="000370C5">
      <w:pPr>
        <w:pStyle w:val="List"/>
        <w:spacing w:before="240"/>
        <w:ind w:left="720"/>
      </w:pPr>
      <w:r>
        <w:t>(4)</w:t>
      </w:r>
      <w:r>
        <w:tab/>
        <w:t xml:space="preserve">For a Counter-Party that </w:t>
      </w:r>
      <w:r w:rsidR="00023149">
        <w:t>has</w:t>
      </w:r>
      <w:r>
        <w:t xml:space="preserve"> QSE</w:t>
      </w:r>
      <w:r w:rsidR="00023149">
        <w:t>s</w:t>
      </w:r>
      <w:r>
        <w:t xml:space="preserve"> representing both LSE and Resources, ERCOT shall calculate the Counter-Party’s IEL using the following formula:</w:t>
      </w:r>
    </w:p>
    <w:p w14:paraId="6477D3D3" w14:textId="77777777" w:rsidR="000370C5" w:rsidRDefault="000370C5" w:rsidP="000370C5">
      <w:pPr>
        <w:pStyle w:val="BodyText"/>
        <w:tabs>
          <w:tab w:val="left" w:pos="1440"/>
        </w:tabs>
        <w:ind w:left="2160" w:hanging="1440"/>
      </w:pPr>
      <w:r w:rsidRPr="00753977">
        <w:rPr>
          <w:b/>
        </w:rPr>
        <w:t>IEL</w:t>
      </w:r>
      <w:r w:rsidRPr="00753977">
        <w:rPr>
          <w:b/>
        </w:rPr>
        <w:tab/>
        <w:t>=</w:t>
      </w:r>
      <w:r w:rsidRPr="00753977">
        <w:rPr>
          <w:b/>
        </w:rPr>
        <w:tab/>
        <w:t xml:space="preserve">DEL * Max [0.1, RTEFL] * RTAEP </w:t>
      </w:r>
      <w:r w:rsidRPr="00753977">
        <w:t>*</w:t>
      </w:r>
      <w:r w:rsidRPr="00753977">
        <w:rPr>
          <w:b/>
        </w:rPr>
        <w:t xml:space="preserve"> (M1 + M2) + DEG * Max [0.1, RTEFG] * RTAEP * (M1 + M2)</w:t>
      </w:r>
    </w:p>
    <w:p w14:paraId="6406258F" w14:textId="77777777" w:rsidR="000370C5" w:rsidRDefault="000370C5" w:rsidP="000370C5">
      <w:pPr>
        <w:pStyle w:val="BodyTextIndent"/>
        <w:spacing w:after="0"/>
        <w:ind w:left="0"/>
        <w:rPr>
          <w:iCs w:val="0"/>
        </w:rPr>
      </w:pPr>
      <w:r>
        <w:rPr>
          <w:iCs w:val="0"/>
        </w:rPr>
        <w:t xml:space="preserve">The above variables are defined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74"/>
        <w:gridCol w:w="874"/>
        <w:gridCol w:w="6408"/>
      </w:tblGrid>
      <w:tr w:rsidR="000370C5" w14:paraId="57A3DB74" w14:textId="77777777" w:rsidTr="000370C5">
        <w:trPr>
          <w:cantSplit/>
          <w:tblHeader/>
        </w:trPr>
        <w:tc>
          <w:tcPr>
            <w:tcW w:w="1574" w:type="dxa"/>
          </w:tcPr>
          <w:p w14:paraId="5ADBCBF8" w14:textId="77777777" w:rsidR="000370C5" w:rsidRDefault="000370C5" w:rsidP="000370C5">
            <w:pPr>
              <w:pStyle w:val="TableHead"/>
            </w:pPr>
            <w:r>
              <w:t>Variable</w:t>
            </w:r>
          </w:p>
        </w:tc>
        <w:tc>
          <w:tcPr>
            <w:tcW w:w="874" w:type="dxa"/>
          </w:tcPr>
          <w:p w14:paraId="3D2CCDF3" w14:textId="77777777" w:rsidR="000370C5" w:rsidRDefault="000370C5" w:rsidP="000370C5">
            <w:pPr>
              <w:pStyle w:val="TableHead"/>
            </w:pPr>
            <w:r>
              <w:t>Unit</w:t>
            </w:r>
          </w:p>
        </w:tc>
        <w:tc>
          <w:tcPr>
            <w:tcW w:w="6408" w:type="dxa"/>
          </w:tcPr>
          <w:p w14:paraId="7AE5A97B" w14:textId="77777777" w:rsidR="000370C5" w:rsidRDefault="000370C5" w:rsidP="000370C5">
            <w:pPr>
              <w:pStyle w:val="TableHead"/>
            </w:pPr>
            <w:r>
              <w:t>Description</w:t>
            </w:r>
          </w:p>
        </w:tc>
      </w:tr>
      <w:tr w:rsidR="000370C5" w14:paraId="6AA9984A" w14:textId="77777777" w:rsidTr="000370C5">
        <w:trPr>
          <w:cantSplit/>
          <w:tblHeader/>
        </w:trPr>
        <w:tc>
          <w:tcPr>
            <w:tcW w:w="1574" w:type="dxa"/>
          </w:tcPr>
          <w:p w14:paraId="4426D013" w14:textId="77777777" w:rsidR="000370C5" w:rsidRDefault="000370C5" w:rsidP="000370C5">
            <w:pPr>
              <w:pStyle w:val="TableBody"/>
            </w:pPr>
            <w:r>
              <w:t>IEL</w:t>
            </w:r>
          </w:p>
        </w:tc>
        <w:tc>
          <w:tcPr>
            <w:tcW w:w="874" w:type="dxa"/>
          </w:tcPr>
          <w:p w14:paraId="20094810" w14:textId="77777777" w:rsidR="000370C5" w:rsidRDefault="000370C5" w:rsidP="000370C5">
            <w:pPr>
              <w:pStyle w:val="TableBody"/>
            </w:pPr>
            <w:r>
              <w:t>$</w:t>
            </w:r>
          </w:p>
        </w:tc>
        <w:tc>
          <w:tcPr>
            <w:tcW w:w="6408" w:type="dxa"/>
          </w:tcPr>
          <w:p w14:paraId="1F1E5B84" w14:textId="77777777" w:rsidR="000370C5" w:rsidRDefault="000370C5" w:rsidP="000370C5">
            <w:pPr>
              <w:pStyle w:val="TableBody"/>
            </w:pPr>
            <w:r w:rsidRPr="00B67540">
              <w:rPr>
                <w:i/>
              </w:rPr>
              <w:t>Initial Estimated Liability</w:t>
            </w:r>
            <w:r w:rsidRPr="00B67540">
              <w:sym w:font="Symbol" w:char="F0BE"/>
            </w:r>
            <w:r>
              <w:t>The Counter-Party’s Initial Estimated Liability.</w:t>
            </w:r>
          </w:p>
        </w:tc>
      </w:tr>
      <w:tr w:rsidR="000370C5" w14:paraId="0A6C37C5" w14:textId="77777777" w:rsidTr="000370C5">
        <w:trPr>
          <w:cantSplit/>
          <w:trHeight w:val="89"/>
          <w:tblHeader/>
        </w:trPr>
        <w:tc>
          <w:tcPr>
            <w:tcW w:w="1574" w:type="dxa"/>
          </w:tcPr>
          <w:p w14:paraId="074437B6" w14:textId="77777777" w:rsidR="000370C5" w:rsidRDefault="000370C5" w:rsidP="000370C5">
            <w:pPr>
              <w:pStyle w:val="TableBody"/>
            </w:pPr>
            <w:smartTag w:uri="urn:schemas-microsoft-com:office:smarttags" w:element="State">
              <w:smartTag w:uri="urn:schemas-microsoft-com:office:smarttags" w:element="place">
                <w:r>
                  <w:t>DEL</w:t>
                </w:r>
              </w:smartTag>
            </w:smartTag>
          </w:p>
        </w:tc>
        <w:tc>
          <w:tcPr>
            <w:tcW w:w="874" w:type="dxa"/>
          </w:tcPr>
          <w:p w14:paraId="5F19F903" w14:textId="77777777" w:rsidR="000370C5" w:rsidRDefault="000370C5" w:rsidP="000370C5">
            <w:pPr>
              <w:pStyle w:val="TableBody"/>
            </w:pPr>
            <w:r>
              <w:t>MWh</w:t>
            </w:r>
          </w:p>
        </w:tc>
        <w:tc>
          <w:tcPr>
            <w:tcW w:w="6408" w:type="dxa"/>
          </w:tcPr>
          <w:p w14:paraId="0272D544" w14:textId="77777777" w:rsidR="000370C5" w:rsidRDefault="000370C5" w:rsidP="000370C5">
            <w:pPr>
              <w:pStyle w:val="TableBody"/>
            </w:pPr>
            <w:r w:rsidRPr="00B67540">
              <w:rPr>
                <w:i/>
              </w:rPr>
              <w:t>Daily Estimated Load</w:t>
            </w:r>
            <w:r w:rsidRPr="00B67540">
              <w:sym w:font="Symbol" w:char="F0BE"/>
            </w:r>
            <w:r>
              <w:t>The Counter-Party’s estimated average daily Load as determined by ERCOT based on information provided by the Counter-Party.</w:t>
            </w:r>
          </w:p>
        </w:tc>
      </w:tr>
      <w:tr w:rsidR="000370C5" w14:paraId="4D81AF51" w14:textId="77777777" w:rsidTr="000370C5">
        <w:trPr>
          <w:cantSplit/>
          <w:tblHeader/>
        </w:trPr>
        <w:tc>
          <w:tcPr>
            <w:tcW w:w="1574" w:type="dxa"/>
          </w:tcPr>
          <w:p w14:paraId="74A43E88" w14:textId="77777777" w:rsidR="000370C5" w:rsidRDefault="000370C5" w:rsidP="000370C5">
            <w:pPr>
              <w:pStyle w:val="TableBody"/>
            </w:pPr>
            <w:r>
              <w:t>DEG</w:t>
            </w:r>
          </w:p>
        </w:tc>
        <w:tc>
          <w:tcPr>
            <w:tcW w:w="874" w:type="dxa"/>
          </w:tcPr>
          <w:p w14:paraId="5BFFE08E" w14:textId="77777777" w:rsidR="000370C5" w:rsidRDefault="000370C5" w:rsidP="000370C5">
            <w:pPr>
              <w:pStyle w:val="TableBody"/>
            </w:pPr>
            <w:r>
              <w:t>MWh</w:t>
            </w:r>
          </w:p>
        </w:tc>
        <w:tc>
          <w:tcPr>
            <w:tcW w:w="6408" w:type="dxa"/>
          </w:tcPr>
          <w:p w14:paraId="02568D91" w14:textId="77777777" w:rsidR="000370C5" w:rsidRDefault="000370C5" w:rsidP="000370C5">
            <w:pPr>
              <w:pStyle w:val="TableBody"/>
            </w:pPr>
            <w:r w:rsidRPr="00B67540">
              <w:rPr>
                <w:i/>
              </w:rPr>
              <w:t>Daily Estimated Generation</w:t>
            </w:r>
            <w:r w:rsidRPr="00B67540">
              <w:sym w:font="Symbol" w:char="F0BE"/>
            </w:r>
            <w:r w:rsidRPr="00B67540">
              <w:rPr>
                <w:color w:val="000000"/>
              </w:rPr>
              <w:t>The Counter-Party’s estimated average daily generation</w:t>
            </w:r>
            <w:r>
              <w:t xml:space="preserve"> as determined by ERCOT based on information provided by the Counter-Party</w:t>
            </w:r>
            <w:r w:rsidRPr="00B67540">
              <w:rPr>
                <w:color w:val="000000"/>
              </w:rPr>
              <w:t>.</w:t>
            </w:r>
          </w:p>
        </w:tc>
      </w:tr>
      <w:tr w:rsidR="000370C5" w14:paraId="42BB3D32" w14:textId="77777777" w:rsidTr="000370C5">
        <w:trPr>
          <w:cantSplit/>
          <w:tblHeader/>
        </w:trPr>
        <w:tc>
          <w:tcPr>
            <w:tcW w:w="1574" w:type="dxa"/>
          </w:tcPr>
          <w:p w14:paraId="032FA6C0" w14:textId="77777777" w:rsidR="000370C5" w:rsidRDefault="000370C5" w:rsidP="000370C5">
            <w:pPr>
              <w:pStyle w:val="TableBody"/>
            </w:pPr>
            <w:r>
              <w:t>RTEFL</w:t>
            </w:r>
          </w:p>
        </w:tc>
        <w:tc>
          <w:tcPr>
            <w:tcW w:w="874" w:type="dxa"/>
          </w:tcPr>
          <w:p w14:paraId="561CC294" w14:textId="77777777" w:rsidR="000370C5" w:rsidRDefault="000370C5" w:rsidP="000370C5">
            <w:pPr>
              <w:pStyle w:val="TableBody"/>
            </w:pPr>
            <w:r>
              <w:t>none</w:t>
            </w:r>
          </w:p>
        </w:tc>
        <w:tc>
          <w:tcPr>
            <w:tcW w:w="6408" w:type="dxa"/>
          </w:tcPr>
          <w:p w14:paraId="286195C4" w14:textId="77777777" w:rsidR="000370C5" w:rsidRDefault="000370C5" w:rsidP="000370C5">
            <w:pPr>
              <w:pStyle w:val="TableBody"/>
            </w:pPr>
            <w:r w:rsidRPr="00B67540">
              <w:rPr>
                <w:i/>
              </w:rPr>
              <w:t>Real-Time Energy Factor for Load</w:t>
            </w:r>
            <w:r w:rsidRPr="00B67540">
              <w:sym w:font="Symbol" w:char="F0BE"/>
            </w:r>
            <w:r>
              <w:t>The ratio of the Counter-Party’s estimated energy purchases in the RTM as determined by ERCOT based on information provided by the Counter-Party, to the Counter-Party’s Daily Estimated Load.</w:t>
            </w:r>
          </w:p>
        </w:tc>
      </w:tr>
      <w:tr w:rsidR="000370C5" w14:paraId="537F599D" w14:textId="77777777" w:rsidTr="000370C5">
        <w:trPr>
          <w:cantSplit/>
          <w:tblHeader/>
        </w:trPr>
        <w:tc>
          <w:tcPr>
            <w:tcW w:w="1574" w:type="dxa"/>
          </w:tcPr>
          <w:p w14:paraId="24277B76" w14:textId="77777777" w:rsidR="000370C5" w:rsidRDefault="000370C5" w:rsidP="000370C5">
            <w:pPr>
              <w:pStyle w:val="TableBody"/>
            </w:pPr>
            <w:r>
              <w:t>RTAEP</w:t>
            </w:r>
          </w:p>
        </w:tc>
        <w:tc>
          <w:tcPr>
            <w:tcW w:w="874" w:type="dxa"/>
          </w:tcPr>
          <w:p w14:paraId="19B81E9C" w14:textId="77777777" w:rsidR="000370C5" w:rsidRDefault="000370C5" w:rsidP="000370C5">
            <w:pPr>
              <w:pStyle w:val="TableBody"/>
            </w:pPr>
            <w:r>
              <w:t>$/MWh</w:t>
            </w:r>
          </w:p>
        </w:tc>
        <w:tc>
          <w:tcPr>
            <w:tcW w:w="6408" w:type="dxa"/>
          </w:tcPr>
          <w:p w14:paraId="477AF7C0" w14:textId="77777777" w:rsidR="000370C5" w:rsidRDefault="000370C5" w:rsidP="000370C5">
            <w:pPr>
              <w:pStyle w:val="TableBody"/>
            </w:pPr>
            <w:r w:rsidRPr="00B67540">
              <w:rPr>
                <w:i/>
              </w:rPr>
              <w:t>Real-Time Average Energy Price</w:t>
            </w:r>
            <w:r w:rsidRPr="00B67540">
              <w:sym w:font="Symbol" w:char="F0BE"/>
            </w:r>
            <w:r w:rsidRPr="00B67540">
              <w:rPr>
                <w:color w:val="000000"/>
              </w:rPr>
              <w:t>Average Settlement Point Price for the “ERCOT 345” as defined in Section 3.5.2.5 based upon the previous seven days’ average Real-Time Settlement Point Prices.</w:t>
            </w:r>
          </w:p>
        </w:tc>
      </w:tr>
      <w:tr w:rsidR="000370C5" w14:paraId="78F5152D" w14:textId="77777777" w:rsidTr="000370C5">
        <w:tblPrEx>
          <w:tblLook w:val="01E0" w:firstRow="1" w:lastRow="1" w:firstColumn="1" w:lastColumn="1" w:noHBand="0" w:noVBand="0"/>
        </w:tblPrEx>
        <w:trPr>
          <w:cantSplit/>
          <w:tblHeader/>
        </w:trPr>
        <w:tc>
          <w:tcPr>
            <w:tcW w:w="1574" w:type="dxa"/>
          </w:tcPr>
          <w:p w14:paraId="579DC635" w14:textId="77777777" w:rsidR="000370C5" w:rsidRDefault="000370C5" w:rsidP="000370C5">
            <w:pPr>
              <w:pStyle w:val="TableBody"/>
            </w:pPr>
            <w:r>
              <w:t>RTEFG</w:t>
            </w:r>
          </w:p>
        </w:tc>
        <w:tc>
          <w:tcPr>
            <w:tcW w:w="874" w:type="dxa"/>
          </w:tcPr>
          <w:p w14:paraId="5AC9C7DA" w14:textId="77777777" w:rsidR="000370C5" w:rsidRDefault="000370C5" w:rsidP="000370C5">
            <w:pPr>
              <w:pStyle w:val="TableBody"/>
            </w:pPr>
            <w:r>
              <w:t>none</w:t>
            </w:r>
          </w:p>
        </w:tc>
        <w:tc>
          <w:tcPr>
            <w:tcW w:w="6408" w:type="dxa"/>
          </w:tcPr>
          <w:p w14:paraId="0A04E5EB" w14:textId="77777777" w:rsidR="000370C5" w:rsidRPr="00B67540" w:rsidRDefault="000370C5" w:rsidP="009B0BEE">
            <w:pPr>
              <w:pStyle w:val="TableBody"/>
              <w:rPr>
                <w:i/>
              </w:rPr>
            </w:pPr>
            <w:r w:rsidRPr="00B67540">
              <w:rPr>
                <w:i/>
              </w:rPr>
              <w:t>Real-Time Energy Factor for Generation</w:t>
            </w:r>
            <w:r>
              <w:t xml:space="preserve">—The ratio of the Counter-Party’s </w:t>
            </w:r>
            <w:r w:rsidR="009B0BEE">
              <w:t xml:space="preserve">QSE to QSE </w:t>
            </w:r>
            <w:r>
              <w:t>estimated energy sales as determined by ERCOT, based on information provided by the Counter-Party, to the Counter-Party’s Daily Estimated Generation.</w:t>
            </w:r>
          </w:p>
        </w:tc>
      </w:tr>
    </w:tbl>
    <w:p w14:paraId="6D3A5103" w14:textId="77777777" w:rsidR="009B0BEE" w:rsidRDefault="00727E32" w:rsidP="004A233E">
      <w:pPr>
        <w:pStyle w:val="List"/>
        <w:spacing w:before="240"/>
        <w:ind w:left="720"/>
      </w:pPr>
      <w:r>
        <w:t>(5)</w:t>
      </w:r>
      <w:r>
        <w:tab/>
      </w:r>
      <w:r w:rsidR="009B0BEE">
        <w:t xml:space="preserve">For a Counter-Party that has all its QSEs representing neither Load nor generation, and that is not representing a CRR Account Holder, the IEL is equal to IMCE as defined in paragraph (2) of Section 16.11.4.1, </w:t>
      </w:r>
      <w:r w:rsidR="009B0BEE" w:rsidRPr="004526B8">
        <w:t>Determination of Total Potential Exposure for a Counter-Party</w:t>
      </w:r>
      <w:r w:rsidR="009B0BEE">
        <w:t>.</w:t>
      </w:r>
    </w:p>
    <w:p w14:paraId="7142CF0E" w14:textId="77777777" w:rsidR="00082575" w:rsidRDefault="009B0BEE" w:rsidP="009B0BEE">
      <w:pPr>
        <w:spacing w:after="240"/>
      </w:pPr>
      <w:r>
        <w:t>(6)</w:t>
      </w:r>
      <w:r>
        <w:tab/>
      </w:r>
      <w:r w:rsidR="00727E32">
        <w:t>For a Counter-Party that is only a CRR Account Holder and is not a QSE, the IEL is zero.</w:t>
      </w:r>
    </w:p>
    <w:p w14:paraId="2B0E4CBD" w14:textId="77777777" w:rsidR="00AF167A" w:rsidRPr="0002450E" w:rsidRDefault="00AF167A" w:rsidP="00AF167A">
      <w:pPr>
        <w:pStyle w:val="H4"/>
        <w:rPr>
          <w:b/>
          <w:bCs/>
        </w:rPr>
      </w:pPr>
      <w:bookmarkStart w:id="487" w:name="_Toc390438968"/>
      <w:bookmarkStart w:id="488" w:name="_Toc405897665"/>
      <w:bookmarkStart w:id="489" w:name="_Toc415055769"/>
      <w:bookmarkStart w:id="490" w:name="_Toc415055895"/>
      <w:bookmarkStart w:id="491" w:name="_Toc415055994"/>
      <w:bookmarkStart w:id="492" w:name="_Toc415056095"/>
      <w:bookmarkStart w:id="493" w:name="_Toc148960873"/>
      <w:r w:rsidRPr="0002450E">
        <w:rPr>
          <w:b/>
          <w:bCs/>
        </w:rPr>
        <w:lastRenderedPageBreak/>
        <w:t>16.11.4.3</w:t>
      </w:r>
      <w:r w:rsidRPr="0002450E">
        <w:rPr>
          <w:b/>
          <w:bCs/>
        </w:rPr>
        <w:tab/>
        <w:t>Determination of Counter-Party Estimated Aggregate Liability</w:t>
      </w:r>
      <w:bookmarkEnd w:id="487"/>
      <w:bookmarkEnd w:id="488"/>
      <w:bookmarkEnd w:id="489"/>
      <w:bookmarkEnd w:id="490"/>
      <w:bookmarkEnd w:id="491"/>
      <w:bookmarkEnd w:id="492"/>
      <w:bookmarkEnd w:id="493"/>
    </w:p>
    <w:p w14:paraId="5EA2C3DA" w14:textId="77777777" w:rsidR="00DF0271" w:rsidRDefault="00DF0271" w:rsidP="00DF0271">
      <w:pPr>
        <w:pStyle w:val="List"/>
        <w:ind w:left="720"/>
      </w:pPr>
      <w:r>
        <w:t>(1)</w:t>
      </w:r>
      <w:r>
        <w:tab/>
        <w:t xml:space="preserve">After a Counter-Party commences activity in ERCOT markets, ERCOT shall monitor and calculate the Counter-Party’s EAL based on the formulas below.  </w:t>
      </w:r>
    </w:p>
    <w:p w14:paraId="25407031" w14:textId="5A963065" w:rsidR="00DF0271" w:rsidRPr="00183BC3" w:rsidRDefault="00DF0271" w:rsidP="00DF0271">
      <w:pPr>
        <w:pStyle w:val="BodyText"/>
        <w:tabs>
          <w:tab w:val="left" w:pos="1440"/>
        </w:tabs>
        <w:ind w:left="2160" w:hanging="1440"/>
        <w:rPr>
          <w:b/>
          <w:i/>
        </w:rPr>
      </w:pPr>
      <w:r w:rsidRPr="00753977">
        <w:rPr>
          <w:b/>
        </w:rPr>
        <w:t>EAL</w:t>
      </w:r>
      <w:r>
        <w:rPr>
          <w:b/>
        </w:rPr>
        <w:t xml:space="preserve"> </w:t>
      </w:r>
      <w:r w:rsidRPr="00D77426">
        <w:rPr>
          <w:b/>
          <w:i/>
          <w:vertAlign w:val="subscript"/>
        </w:rPr>
        <w:t>q</w:t>
      </w:r>
      <w:r w:rsidRPr="00277384">
        <w:rPr>
          <w:b/>
        </w:rPr>
        <w:t xml:space="preserve"> </w:t>
      </w:r>
      <w:r w:rsidRPr="00753977">
        <w:rPr>
          <w:b/>
        </w:rPr>
        <w:t>=</w:t>
      </w:r>
      <w:r w:rsidRPr="00753977">
        <w:rPr>
          <w:b/>
        </w:rPr>
        <w:tab/>
      </w:r>
      <w:r w:rsidRPr="00D77426">
        <w:rPr>
          <w:b/>
        </w:rPr>
        <w:t>Max [IEL</w:t>
      </w:r>
      <w:r>
        <w:rPr>
          <w:b/>
        </w:rPr>
        <w:t xml:space="preserve"> during the first 40-day period only beginning on the date that the Counter-Party commences activity in ERCOT markets</w:t>
      </w:r>
      <w:r w:rsidRPr="00D77426">
        <w:rPr>
          <w:b/>
        </w:rPr>
        <w:t xml:space="preserve">, </w:t>
      </w:r>
      <w:r>
        <w:rPr>
          <w:b/>
        </w:rPr>
        <w:t xml:space="preserve">RFAF * </w:t>
      </w:r>
      <w:r w:rsidRPr="00D77426">
        <w:rPr>
          <w:b/>
        </w:rPr>
        <w:t xml:space="preserve">Max {RTLE during the previous </w:t>
      </w:r>
      <w:proofErr w:type="spellStart"/>
      <w:r w:rsidRPr="00934A67">
        <w:rPr>
          <w:b/>
          <w:i/>
        </w:rPr>
        <w:t>lrq</w:t>
      </w:r>
      <w:proofErr w:type="spellEnd"/>
      <w:r>
        <w:rPr>
          <w:b/>
          <w:i/>
        </w:rPr>
        <w:t xml:space="preserve"> </w:t>
      </w:r>
      <w:r w:rsidRPr="00D77426">
        <w:rPr>
          <w:b/>
        </w:rPr>
        <w:t>day</w:t>
      </w:r>
      <w:r>
        <w:rPr>
          <w:b/>
        </w:rPr>
        <w:t>s</w:t>
      </w:r>
      <w:r w:rsidRPr="00D77426">
        <w:rPr>
          <w:b/>
        </w:rPr>
        <w:t>}, RTLF]</w:t>
      </w:r>
      <w:r>
        <w:rPr>
          <w:b/>
        </w:rPr>
        <w:t xml:space="preserve"> + DFAF * DALE</w:t>
      </w:r>
      <w:r w:rsidRPr="00D77426">
        <w:rPr>
          <w:b/>
        </w:rPr>
        <w:t xml:space="preserve"> + Max [RTLCNS, Max {URTA during the previous </w:t>
      </w:r>
      <w:proofErr w:type="spellStart"/>
      <w:r w:rsidRPr="00934A67">
        <w:rPr>
          <w:b/>
          <w:i/>
        </w:rPr>
        <w:t>lrq</w:t>
      </w:r>
      <w:proofErr w:type="spellEnd"/>
      <w:r>
        <w:rPr>
          <w:b/>
          <w:i/>
        </w:rPr>
        <w:t xml:space="preserve"> </w:t>
      </w:r>
      <w:r w:rsidRPr="00D77426">
        <w:rPr>
          <w:b/>
        </w:rPr>
        <w:t>day</w:t>
      </w:r>
      <w:r>
        <w:rPr>
          <w:b/>
        </w:rPr>
        <w:t>s</w:t>
      </w:r>
      <w:r w:rsidRPr="00D77426">
        <w:rPr>
          <w:b/>
        </w:rPr>
        <w:t>}] + OUT</w:t>
      </w:r>
      <w:r w:rsidRPr="00277384">
        <w:rPr>
          <w:b/>
          <w:i/>
          <w:vertAlign w:val="subscript"/>
        </w:rPr>
        <w:t xml:space="preserve"> q</w:t>
      </w:r>
      <w:r w:rsidRPr="00753977">
        <w:rPr>
          <w:b/>
        </w:rPr>
        <w:t xml:space="preserve"> </w:t>
      </w:r>
      <w:r>
        <w:rPr>
          <w:b/>
        </w:rPr>
        <w:t>+ ILE</w:t>
      </w:r>
      <w:r>
        <w:rPr>
          <w:b/>
          <w:vertAlign w:val="subscript"/>
        </w:rPr>
        <w:t xml:space="preserve"> </w:t>
      </w:r>
      <w:r>
        <w:rPr>
          <w:b/>
          <w:i/>
          <w:vertAlign w:val="subscript"/>
        </w:rPr>
        <w:t>q</w:t>
      </w:r>
    </w:p>
    <w:p w14:paraId="341CD427" w14:textId="4ECB82B5" w:rsidR="00DF0271" w:rsidRDefault="00DF0271" w:rsidP="00DF0271">
      <w:pPr>
        <w:pStyle w:val="BodyText"/>
        <w:tabs>
          <w:tab w:val="left" w:pos="1440"/>
        </w:tabs>
        <w:ind w:left="2160" w:hanging="1440"/>
        <w:rPr>
          <w:b/>
        </w:rPr>
      </w:pPr>
      <w:r w:rsidRPr="004F59D3">
        <w:rPr>
          <w:b/>
        </w:rPr>
        <w:t xml:space="preserve">EAL </w:t>
      </w:r>
      <w:r w:rsidRPr="004F59D3">
        <w:rPr>
          <w:b/>
          <w:i/>
          <w:vertAlign w:val="subscript"/>
        </w:rPr>
        <w:t>t</w:t>
      </w:r>
      <w:r w:rsidRPr="004F59D3">
        <w:rPr>
          <w:b/>
        </w:rPr>
        <w:t xml:space="preserve"> =</w:t>
      </w:r>
      <w:r w:rsidRPr="004F59D3">
        <w:rPr>
          <w:b/>
        </w:rPr>
        <w:tab/>
        <w:t xml:space="preserve">Max [RFAF * Max {RTLE during the previous </w:t>
      </w:r>
      <w:proofErr w:type="spellStart"/>
      <w:r w:rsidRPr="004F59D3">
        <w:rPr>
          <w:b/>
          <w:i/>
        </w:rPr>
        <w:t>lrt</w:t>
      </w:r>
      <w:proofErr w:type="spellEnd"/>
      <w:r w:rsidRPr="004F59D3">
        <w:rPr>
          <w:b/>
        </w:rPr>
        <w:t xml:space="preserve"> days}, RTLF] + DFAF * DALE + Max [RTLCNS, Max {URTA during the previous </w:t>
      </w:r>
      <w:proofErr w:type="spellStart"/>
      <w:r w:rsidRPr="004F59D3">
        <w:rPr>
          <w:b/>
          <w:i/>
        </w:rPr>
        <w:t>lrt</w:t>
      </w:r>
      <w:proofErr w:type="spellEnd"/>
      <w:r w:rsidRPr="004F59D3">
        <w:rPr>
          <w:b/>
        </w:rPr>
        <w:t xml:space="preserve"> days}] + OUT</w:t>
      </w:r>
      <w:r w:rsidRPr="004F59D3">
        <w:rPr>
          <w:b/>
          <w:i/>
          <w:vertAlign w:val="subscript"/>
        </w:rPr>
        <w:t xml:space="preserve"> t</w:t>
      </w:r>
      <w:r w:rsidRPr="00753977">
        <w:rPr>
          <w:b/>
        </w:rPr>
        <w:t xml:space="preserve"> </w:t>
      </w:r>
    </w:p>
    <w:p w14:paraId="5103B987" w14:textId="77777777" w:rsidR="00DF0271" w:rsidRDefault="00DF0271" w:rsidP="00DF0271">
      <w:pPr>
        <w:pStyle w:val="BodyText"/>
        <w:tabs>
          <w:tab w:val="left" w:pos="1440"/>
        </w:tabs>
        <w:ind w:left="2160" w:hanging="1440"/>
        <w:rPr>
          <w:b/>
          <w:i/>
          <w:vertAlign w:val="subscript"/>
        </w:rPr>
      </w:pPr>
      <w:r w:rsidRPr="00D77426">
        <w:rPr>
          <w:b/>
        </w:rPr>
        <w:t>EAL</w:t>
      </w:r>
      <w:r>
        <w:rPr>
          <w:b/>
        </w:rPr>
        <w:t xml:space="preserve"> </w:t>
      </w:r>
      <w:r w:rsidRPr="00D77426">
        <w:rPr>
          <w:b/>
          <w:i/>
          <w:vertAlign w:val="subscript"/>
        </w:rPr>
        <w:t>a</w:t>
      </w:r>
      <w:r w:rsidRPr="00D77426">
        <w:rPr>
          <w:b/>
        </w:rPr>
        <w:t xml:space="preserve"> =</w:t>
      </w:r>
      <w:r>
        <w:rPr>
          <w:b/>
        </w:rPr>
        <w:tab/>
      </w:r>
      <w:r w:rsidRPr="00D77426">
        <w:rPr>
          <w:b/>
        </w:rPr>
        <w:t>OUT</w:t>
      </w:r>
      <w:r w:rsidRPr="00277384">
        <w:rPr>
          <w:b/>
          <w:i/>
          <w:vertAlign w:val="subscript"/>
        </w:rPr>
        <w:t xml:space="preserve"> a</w:t>
      </w:r>
    </w:p>
    <w:p w14:paraId="16F15653" w14:textId="77777777" w:rsidR="00DF0271" w:rsidRPr="00C42795" w:rsidRDefault="00DF0271" w:rsidP="00DF0271">
      <w:pPr>
        <w:pStyle w:val="BodyText"/>
        <w:tabs>
          <w:tab w:val="left" w:pos="1440"/>
        </w:tabs>
        <w:rPr>
          <w:b/>
          <w:bCs/>
        </w:rPr>
      </w:pPr>
      <w:r w:rsidRPr="00AE1A71">
        <w:t xml:space="preserve">ERCOT </w:t>
      </w:r>
      <w:r>
        <w:t xml:space="preserve">may </w:t>
      </w:r>
      <w:r w:rsidRPr="00AE1A71">
        <w:t xml:space="preserve">adjust the number of days used in determining the highest RTLE and/or URTA, and/or to exclude specific Operating Days to calculate </w:t>
      </w:r>
      <w:r>
        <w:t>RTLE</w:t>
      </w:r>
      <w:r w:rsidRPr="00AE1A71">
        <w:t xml:space="preserve">, URTA, </w:t>
      </w:r>
      <w:r>
        <w:t xml:space="preserve">OUT, </w:t>
      </w:r>
      <w:r w:rsidRPr="00AE1A71">
        <w:t>or DALE</w:t>
      </w:r>
      <w:r>
        <w:t>.</w:t>
      </w:r>
    </w:p>
    <w:p w14:paraId="43895F4E" w14:textId="77777777" w:rsidR="00DF0271" w:rsidRDefault="00DF0271" w:rsidP="00DF0271">
      <w:pPr>
        <w:pStyle w:val="BodyTextIndent"/>
        <w:spacing w:after="0"/>
        <w:ind w:left="0"/>
        <w:rPr>
          <w:iCs w:val="0"/>
        </w:rPr>
      </w:pPr>
      <w:r>
        <w:rPr>
          <w:iCs w:val="0"/>
        </w:rPr>
        <w:t xml:space="preserve">The above variables are defined as follows: </w:t>
      </w:r>
    </w:p>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03"/>
        <w:gridCol w:w="886"/>
        <w:gridCol w:w="6701"/>
      </w:tblGrid>
      <w:tr w:rsidR="00DF0271" w:rsidRPr="003D0DC1" w14:paraId="58EAB5C6" w14:textId="77777777" w:rsidTr="0031595F">
        <w:trPr>
          <w:trHeight w:val="351"/>
          <w:tblHeader/>
        </w:trPr>
        <w:tc>
          <w:tcPr>
            <w:tcW w:w="1503" w:type="dxa"/>
          </w:tcPr>
          <w:p w14:paraId="081A132C" w14:textId="77777777" w:rsidR="00DF0271" w:rsidRPr="00BE4766" w:rsidRDefault="00DF0271" w:rsidP="0031595F">
            <w:pPr>
              <w:pStyle w:val="TableHead"/>
            </w:pPr>
            <w:r w:rsidRPr="00BE4766">
              <w:t>Variable</w:t>
            </w:r>
          </w:p>
        </w:tc>
        <w:tc>
          <w:tcPr>
            <w:tcW w:w="886" w:type="dxa"/>
          </w:tcPr>
          <w:p w14:paraId="6B5E3EAC" w14:textId="77777777" w:rsidR="00DF0271" w:rsidRPr="00BE4766" w:rsidRDefault="00DF0271" w:rsidP="0031595F">
            <w:pPr>
              <w:pStyle w:val="TableHead"/>
            </w:pPr>
            <w:r w:rsidRPr="00BE4766">
              <w:t>Unit</w:t>
            </w:r>
          </w:p>
        </w:tc>
        <w:tc>
          <w:tcPr>
            <w:tcW w:w="6701" w:type="dxa"/>
          </w:tcPr>
          <w:p w14:paraId="19973576" w14:textId="77777777" w:rsidR="00DF0271" w:rsidRPr="00BE4766" w:rsidRDefault="00DF0271" w:rsidP="0031595F">
            <w:pPr>
              <w:pStyle w:val="TableHead"/>
            </w:pPr>
            <w:r w:rsidRPr="00BE4766">
              <w:t>Description</w:t>
            </w:r>
          </w:p>
        </w:tc>
      </w:tr>
      <w:tr w:rsidR="00DF0271" w:rsidRPr="003D0DC1" w14:paraId="552B0677" w14:textId="77777777" w:rsidTr="0031595F">
        <w:trPr>
          <w:trHeight w:val="519"/>
        </w:trPr>
        <w:tc>
          <w:tcPr>
            <w:tcW w:w="1503" w:type="dxa"/>
          </w:tcPr>
          <w:p w14:paraId="3F4C58D4" w14:textId="77777777" w:rsidR="00DF0271" w:rsidRPr="00BE4766" w:rsidRDefault="00DF0271" w:rsidP="0031595F">
            <w:pPr>
              <w:pStyle w:val="TableBody"/>
            </w:pPr>
            <w:r w:rsidRPr="00BE4766">
              <w:t>EAL</w:t>
            </w:r>
            <w:r w:rsidRPr="00277384">
              <w:rPr>
                <w:b/>
                <w:i/>
                <w:vertAlign w:val="subscript"/>
              </w:rPr>
              <w:t xml:space="preserve"> </w:t>
            </w:r>
            <w:r w:rsidRPr="00D36347">
              <w:rPr>
                <w:i/>
                <w:vertAlign w:val="subscript"/>
              </w:rPr>
              <w:t>q</w:t>
            </w:r>
          </w:p>
        </w:tc>
        <w:tc>
          <w:tcPr>
            <w:tcW w:w="886" w:type="dxa"/>
          </w:tcPr>
          <w:p w14:paraId="6EF88611" w14:textId="77777777" w:rsidR="00DF0271" w:rsidRPr="00BE4766" w:rsidRDefault="00DF0271" w:rsidP="0031595F">
            <w:pPr>
              <w:pStyle w:val="TableBody"/>
            </w:pPr>
            <w:r w:rsidRPr="00BE4766">
              <w:t>$</w:t>
            </w:r>
          </w:p>
        </w:tc>
        <w:tc>
          <w:tcPr>
            <w:tcW w:w="6701" w:type="dxa"/>
          </w:tcPr>
          <w:p w14:paraId="4F3C3E33" w14:textId="77777777" w:rsidR="00DF0271" w:rsidRPr="00BE4766" w:rsidRDefault="00DF0271" w:rsidP="0031595F">
            <w:pPr>
              <w:pStyle w:val="TableBody"/>
              <w:rPr>
                <w:i/>
              </w:rPr>
            </w:pPr>
            <w:r w:rsidRPr="00BE4766">
              <w:rPr>
                <w:i/>
              </w:rPr>
              <w:t xml:space="preserve">Estimated Aggregate Liability for </w:t>
            </w:r>
            <w:r>
              <w:rPr>
                <w:i/>
              </w:rPr>
              <w:t>all the</w:t>
            </w:r>
            <w:r w:rsidRPr="00BE4766">
              <w:rPr>
                <w:i/>
              </w:rPr>
              <w:t xml:space="preserve"> QSE</w:t>
            </w:r>
            <w:r>
              <w:rPr>
                <w:i/>
              </w:rPr>
              <w:t>s</w:t>
            </w:r>
            <w:r w:rsidRPr="00BE4766">
              <w:t xml:space="preserve"> represented </w:t>
            </w:r>
            <w:r w:rsidRPr="004F59D3">
              <w:t>by a Counter-Party if at least one QSE represented by the Counter-Party represents either Load or generation.</w:t>
            </w:r>
          </w:p>
        </w:tc>
      </w:tr>
      <w:tr w:rsidR="00DF0271" w:rsidRPr="003D0DC1" w14:paraId="3B8F1FA5" w14:textId="77777777" w:rsidTr="0031595F">
        <w:trPr>
          <w:trHeight w:val="519"/>
        </w:trPr>
        <w:tc>
          <w:tcPr>
            <w:tcW w:w="1503" w:type="dxa"/>
          </w:tcPr>
          <w:p w14:paraId="6EA3D832" w14:textId="77777777" w:rsidR="00DF0271" w:rsidRPr="004F59D3" w:rsidRDefault="00DF0271" w:rsidP="0031595F">
            <w:pPr>
              <w:pStyle w:val="TableBody"/>
            </w:pPr>
            <w:r w:rsidRPr="004F59D3">
              <w:t xml:space="preserve">EAL </w:t>
            </w:r>
            <w:r w:rsidRPr="004F59D3">
              <w:rPr>
                <w:i/>
                <w:vertAlign w:val="subscript"/>
              </w:rPr>
              <w:t>t</w:t>
            </w:r>
          </w:p>
        </w:tc>
        <w:tc>
          <w:tcPr>
            <w:tcW w:w="886" w:type="dxa"/>
          </w:tcPr>
          <w:p w14:paraId="1EA9F59F" w14:textId="77777777" w:rsidR="00DF0271" w:rsidRPr="00484E48" w:rsidRDefault="00DF0271" w:rsidP="0031595F">
            <w:pPr>
              <w:pStyle w:val="TableBody"/>
            </w:pPr>
            <w:r w:rsidRPr="00484E48">
              <w:t>$</w:t>
            </w:r>
          </w:p>
        </w:tc>
        <w:tc>
          <w:tcPr>
            <w:tcW w:w="6701" w:type="dxa"/>
          </w:tcPr>
          <w:p w14:paraId="7940872F" w14:textId="77777777" w:rsidR="00DF0271" w:rsidRPr="00367720" w:rsidRDefault="00DF0271" w:rsidP="0031595F">
            <w:pPr>
              <w:pStyle w:val="TableBody"/>
              <w:rPr>
                <w:i/>
              </w:rPr>
            </w:pPr>
            <w:r w:rsidRPr="00484E48">
              <w:rPr>
                <w:i/>
              </w:rPr>
              <w:t>Estimated Aggregate Liability for all the QSEs</w:t>
            </w:r>
            <w:r w:rsidRPr="00367720">
              <w:t xml:space="preserve"> represented by a Counter-Party if none of the QSEs represented by the Counter-Party represent either Load or generation.</w:t>
            </w:r>
          </w:p>
        </w:tc>
      </w:tr>
      <w:tr w:rsidR="00DF0271" w:rsidRPr="003D0DC1" w14:paraId="230AF888" w14:textId="77777777" w:rsidTr="0031595F">
        <w:trPr>
          <w:trHeight w:val="519"/>
        </w:trPr>
        <w:tc>
          <w:tcPr>
            <w:tcW w:w="1503" w:type="dxa"/>
          </w:tcPr>
          <w:p w14:paraId="7CBDC34C" w14:textId="77777777" w:rsidR="00DF0271" w:rsidRPr="00484E48" w:rsidRDefault="00DF0271" w:rsidP="0031595F">
            <w:pPr>
              <w:pStyle w:val="TableBody"/>
            </w:pPr>
            <w:r w:rsidRPr="004F59D3">
              <w:t>EAL</w:t>
            </w:r>
            <w:r w:rsidRPr="004F59D3">
              <w:rPr>
                <w:b/>
                <w:i/>
                <w:vertAlign w:val="subscript"/>
              </w:rPr>
              <w:t xml:space="preserve"> </w:t>
            </w:r>
            <w:r w:rsidRPr="004F59D3">
              <w:rPr>
                <w:i/>
                <w:vertAlign w:val="subscript"/>
              </w:rPr>
              <w:t>a</w:t>
            </w:r>
          </w:p>
        </w:tc>
        <w:tc>
          <w:tcPr>
            <w:tcW w:w="886" w:type="dxa"/>
          </w:tcPr>
          <w:p w14:paraId="16FA29F5" w14:textId="77777777" w:rsidR="00DF0271" w:rsidRPr="00484E48" w:rsidRDefault="00DF0271" w:rsidP="0031595F">
            <w:pPr>
              <w:pStyle w:val="TableBody"/>
            </w:pPr>
            <w:r w:rsidRPr="00484E48">
              <w:t>$</w:t>
            </w:r>
          </w:p>
        </w:tc>
        <w:tc>
          <w:tcPr>
            <w:tcW w:w="6701" w:type="dxa"/>
          </w:tcPr>
          <w:p w14:paraId="16284C7C" w14:textId="77777777" w:rsidR="00DF0271" w:rsidRPr="00367720" w:rsidRDefault="00DF0271" w:rsidP="0031595F">
            <w:pPr>
              <w:pStyle w:val="TableBody"/>
              <w:rPr>
                <w:i/>
              </w:rPr>
            </w:pPr>
            <w:r w:rsidRPr="00367720">
              <w:rPr>
                <w:i/>
              </w:rPr>
              <w:t>Estimated Aggregate Liability for all the CRR Account Holders</w:t>
            </w:r>
            <w:r w:rsidRPr="00367720">
              <w:t xml:space="preserve"> represented by the Counter-Party.</w:t>
            </w:r>
          </w:p>
        </w:tc>
      </w:tr>
      <w:tr w:rsidR="00DF0271" w:rsidRPr="003D0DC1" w14:paraId="6BAB699E" w14:textId="77777777" w:rsidTr="0031595F">
        <w:trPr>
          <w:trHeight w:val="91"/>
        </w:trPr>
        <w:tc>
          <w:tcPr>
            <w:tcW w:w="1503" w:type="dxa"/>
          </w:tcPr>
          <w:p w14:paraId="76ED37D2" w14:textId="77777777" w:rsidR="00DF0271" w:rsidRPr="00BE4766" w:rsidRDefault="00DF0271" w:rsidP="0031595F">
            <w:pPr>
              <w:pStyle w:val="TableBody"/>
            </w:pPr>
            <w:r w:rsidRPr="00BE4766">
              <w:t>IEL</w:t>
            </w:r>
          </w:p>
        </w:tc>
        <w:tc>
          <w:tcPr>
            <w:tcW w:w="886" w:type="dxa"/>
          </w:tcPr>
          <w:p w14:paraId="058358E5" w14:textId="77777777" w:rsidR="00DF0271" w:rsidRPr="00BE4766" w:rsidRDefault="00DF0271" w:rsidP="0031595F">
            <w:pPr>
              <w:pStyle w:val="TableBody"/>
            </w:pPr>
            <w:r w:rsidRPr="00BE4766">
              <w:t>$</w:t>
            </w:r>
          </w:p>
        </w:tc>
        <w:tc>
          <w:tcPr>
            <w:tcW w:w="6701" w:type="dxa"/>
          </w:tcPr>
          <w:p w14:paraId="1AF6085C" w14:textId="77777777" w:rsidR="00DF0271" w:rsidRPr="00BE4766" w:rsidRDefault="00DF0271" w:rsidP="0031595F">
            <w:pPr>
              <w:pStyle w:val="TableBody"/>
            </w:pPr>
            <w:r w:rsidRPr="00BE4766">
              <w:rPr>
                <w:i/>
              </w:rPr>
              <w:t xml:space="preserve">Initial Estimated Liability for </w:t>
            </w:r>
            <w:r>
              <w:rPr>
                <w:i/>
              </w:rPr>
              <w:t xml:space="preserve">all </w:t>
            </w:r>
            <w:r w:rsidRPr="00BE4766">
              <w:rPr>
                <w:i/>
              </w:rPr>
              <w:t>the QSE</w:t>
            </w:r>
            <w:r>
              <w:rPr>
                <w:i/>
              </w:rPr>
              <w:t>s</w:t>
            </w:r>
            <w:r w:rsidRPr="00BE4766">
              <w:t xml:space="preserve"> represented by the Counter-Party</w:t>
            </w:r>
            <w:r w:rsidRPr="00C44724">
              <w:t xml:space="preserve"> if at least one QSE represented by the Counter-Party represents either Load or generation as defined in paragraphs (1), (2), (3) and (4) of Section 16.11.</w:t>
            </w:r>
            <w:r>
              <w:t>4.</w:t>
            </w:r>
            <w:r w:rsidRPr="00C44724">
              <w:t>2, Determination of Counter-Party Initial Estimated Liability</w:t>
            </w:r>
            <w:r w:rsidRPr="00BE4766">
              <w:t>.</w:t>
            </w:r>
          </w:p>
        </w:tc>
      </w:tr>
      <w:tr w:rsidR="00DF0271" w:rsidRPr="003D0DC1" w14:paraId="2C75A29C" w14:textId="77777777" w:rsidTr="0031595F">
        <w:trPr>
          <w:trHeight w:val="91"/>
        </w:trPr>
        <w:tc>
          <w:tcPr>
            <w:tcW w:w="1503" w:type="dxa"/>
          </w:tcPr>
          <w:p w14:paraId="29FFB515" w14:textId="77777777" w:rsidR="00DF0271" w:rsidRPr="00BE4766" w:rsidRDefault="00DF0271" w:rsidP="0031595F">
            <w:pPr>
              <w:pStyle w:val="TableBody"/>
              <w:rPr>
                <w:i/>
              </w:rPr>
            </w:pPr>
            <w:r>
              <w:rPr>
                <w:i/>
              </w:rPr>
              <w:t>q</w:t>
            </w:r>
          </w:p>
        </w:tc>
        <w:tc>
          <w:tcPr>
            <w:tcW w:w="886" w:type="dxa"/>
          </w:tcPr>
          <w:p w14:paraId="51D2A2A5" w14:textId="77777777" w:rsidR="00DF0271" w:rsidRPr="00BE4766" w:rsidRDefault="00DF0271" w:rsidP="0031595F">
            <w:pPr>
              <w:pStyle w:val="TableBody"/>
            </w:pPr>
          </w:p>
        </w:tc>
        <w:tc>
          <w:tcPr>
            <w:tcW w:w="6701" w:type="dxa"/>
          </w:tcPr>
          <w:p w14:paraId="18B680BD" w14:textId="77777777" w:rsidR="00DF0271" w:rsidRPr="00BE4766" w:rsidRDefault="00DF0271" w:rsidP="0031595F">
            <w:pPr>
              <w:pStyle w:val="TableBody"/>
            </w:pPr>
            <w:r w:rsidRPr="00BE4766">
              <w:t>QSE</w:t>
            </w:r>
            <w:r>
              <w:t>s</w:t>
            </w:r>
            <w:r w:rsidRPr="00BE4766">
              <w:t xml:space="preserve"> represented by Counter-Party.</w:t>
            </w:r>
          </w:p>
        </w:tc>
      </w:tr>
      <w:tr w:rsidR="00DF0271" w:rsidRPr="003D0DC1" w14:paraId="29DE967E" w14:textId="77777777" w:rsidTr="0031595F">
        <w:trPr>
          <w:trHeight w:val="91"/>
        </w:trPr>
        <w:tc>
          <w:tcPr>
            <w:tcW w:w="1503" w:type="dxa"/>
          </w:tcPr>
          <w:p w14:paraId="37EC0D3E" w14:textId="77777777" w:rsidR="00DF0271" w:rsidRDefault="00DF0271" w:rsidP="0031595F">
            <w:pPr>
              <w:pStyle w:val="TableBody"/>
              <w:rPr>
                <w:i/>
              </w:rPr>
            </w:pPr>
            <w:r>
              <w:rPr>
                <w:i/>
              </w:rPr>
              <w:t>t</w:t>
            </w:r>
          </w:p>
        </w:tc>
        <w:tc>
          <w:tcPr>
            <w:tcW w:w="886" w:type="dxa"/>
          </w:tcPr>
          <w:p w14:paraId="75C4E3CE" w14:textId="77777777" w:rsidR="00DF0271" w:rsidRPr="00BE4766" w:rsidRDefault="00DF0271" w:rsidP="0031595F">
            <w:pPr>
              <w:pStyle w:val="TableBody"/>
            </w:pPr>
          </w:p>
        </w:tc>
        <w:tc>
          <w:tcPr>
            <w:tcW w:w="6701" w:type="dxa"/>
          </w:tcPr>
          <w:p w14:paraId="1D643F56" w14:textId="058F9B4C" w:rsidR="00DF0271" w:rsidRPr="00BE4766" w:rsidRDefault="00DF0271" w:rsidP="0031595F">
            <w:pPr>
              <w:pStyle w:val="TableBody"/>
            </w:pPr>
            <w:r w:rsidRPr="00545E0B">
              <w:t>QSEs represented by a Counter-Party if none of the QSEs represented by the Counter-Party represent either Load or generation</w:t>
            </w:r>
            <w:r w:rsidR="002C3748">
              <w:t>.</w:t>
            </w:r>
          </w:p>
        </w:tc>
      </w:tr>
      <w:tr w:rsidR="00DF0271" w:rsidRPr="003D0DC1" w14:paraId="1631C39D" w14:textId="77777777" w:rsidTr="0031595F">
        <w:trPr>
          <w:trHeight w:val="91"/>
        </w:trPr>
        <w:tc>
          <w:tcPr>
            <w:tcW w:w="1503" w:type="dxa"/>
          </w:tcPr>
          <w:p w14:paraId="5B4027DA" w14:textId="77777777" w:rsidR="00DF0271" w:rsidRPr="00BE4766" w:rsidRDefault="00DF0271" w:rsidP="0031595F">
            <w:pPr>
              <w:pStyle w:val="TableBody"/>
              <w:rPr>
                <w:i/>
              </w:rPr>
            </w:pPr>
            <w:r>
              <w:rPr>
                <w:i/>
              </w:rPr>
              <w:t>a</w:t>
            </w:r>
          </w:p>
        </w:tc>
        <w:tc>
          <w:tcPr>
            <w:tcW w:w="886" w:type="dxa"/>
          </w:tcPr>
          <w:p w14:paraId="4745CC5B" w14:textId="77777777" w:rsidR="00DF0271" w:rsidRPr="00BE4766" w:rsidRDefault="00DF0271" w:rsidP="0031595F">
            <w:pPr>
              <w:pStyle w:val="TableBody"/>
            </w:pPr>
          </w:p>
        </w:tc>
        <w:tc>
          <w:tcPr>
            <w:tcW w:w="6701" w:type="dxa"/>
          </w:tcPr>
          <w:p w14:paraId="5BBDAA0E" w14:textId="77777777" w:rsidR="00DF0271" w:rsidRPr="00BE4766" w:rsidRDefault="00DF0271" w:rsidP="0031595F">
            <w:pPr>
              <w:pStyle w:val="TableBody"/>
            </w:pPr>
            <w:r w:rsidRPr="00BE4766">
              <w:t>CRR Account Holder</w:t>
            </w:r>
            <w:r>
              <w:t>s</w:t>
            </w:r>
            <w:r w:rsidRPr="00BE4766">
              <w:t xml:space="preserve"> represented by Counter-Party.</w:t>
            </w:r>
          </w:p>
        </w:tc>
      </w:tr>
      <w:tr w:rsidR="00DF0271" w:rsidRPr="003D0DC1" w14:paraId="1DF94383" w14:textId="77777777" w:rsidTr="0031595F">
        <w:trPr>
          <w:trHeight w:val="593"/>
        </w:trPr>
        <w:tc>
          <w:tcPr>
            <w:tcW w:w="1503" w:type="dxa"/>
          </w:tcPr>
          <w:p w14:paraId="0E2A206D" w14:textId="77777777" w:rsidR="00DF0271" w:rsidRPr="00BE4766" w:rsidRDefault="00DF0271" w:rsidP="0031595F">
            <w:pPr>
              <w:pStyle w:val="TableBody"/>
            </w:pPr>
            <w:r w:rsidRPr="00BE4766">
              <w:t>RTLE</w:t>
            </w:r>
          </w:p>
        </w:tc>
        <w:tc>
          <w:tcPr>
            <w:tcW w:w="886" w:type="dxa"/>
          </w:tcPr>
          <w:p w14:paraId="012AA688" w14:textId="77777777" w:rsidR="00DF0271" w:rsidRPr="00BE4766" w:rsidRDefault="00DF0271" w:rsidP="0031595F">
            <w:pPr>
              <w:pStyle w:val="TableBody"/>
            </w:pPr>
            <w:r w:rsidRPr="00BE4766">
              <w:t>$</w:t>
            </w:r>
          </w:p>
        </w:tc>
        <w:tc>
          <w:tcPr>
            <w:tcW w:w="6701" w:type="dxa"/>
          </w:tcPr>
          <w:p w14:paraId="5C4353F8" w14:textId="71455659" w:rsidR="00DF0271" w:rsidRPr="00BE4766" w:rsidRDefault="00941CD9" w:rsidP="0031595F">
            <w:pPr>
              <w:pStyle w:val="TableBody"/>
            </w:pPr>
            <w:r w:rsidRPr="00BE4766">
              <w:rPr>
                <w:i/>
              </w:rPr>
              <w:t>Real</w:t>
            </w:r>
            <w:r>
              <w:rPr>
                <w:i/>
              </w:rPr>
              <w:t>-</w:t>
            </w:r>
            <w:r w:rsidR="00DF0271" w:rsidRPr="00BE4766">
              <w:rPr>
                <w:i/>
              </w:rPr>
              <w:t>Time Liability Extrapolated</w:t>
            </w:r>
            <w:r w:rsidR="00DF0271" w:rsidRPr="00BE4766">
              <w:t>—M1 multiplied by the sum of the net amount</w:t>
            </w:r>
            <w:r w:rsidR="00DF0271">
              <w:t>, with zero substituted for missing values,</w:t>
            </w:r>
            <w:r w:rsidR="00DF0271" w:rsidRPr="00BE4766">
              <w:t xml:space="preserve"> due to</w:t>
            </w:r>
            <w:r w:rsidR="00DF0271">
              <w:t xml:space="preserve"> or from</w:t>
            </w:r>
            <w:r w:rsidR="00DF0271" w:rsidRPr="00BE4766">
              <w:t xml:space="preserve"> ERCOT by the Counter-Party</w:t>
            </w:r>
            <w:r w:rsidR="00DF0271">
              <w:t xml:space="preserve"> in the 14 most recent Operating Days for which</w:t>
            </w:r>
            <w:r w:rsidR="00DF0271" w:rsidRPr="00BE4766">
              <w:t xml:space="preserve"> </w:t>
            </w:r>
            <w:r w:rsidR="00DF0271">
              <w:t>RTM</w:t>
            </w:r>
            <w:r w:rsidR="00DF0271" w:rsidRPr="00BE4766">
              <w:t xml:space="preserve"> Initial Statements </w:t>
            </w:r>
            <w:r w:rsidR="00DF0271">
              <w:t xml:space="preserve">are produced for Counter-Parties according to the ERCOT Settlement Calendar </w:t>
            </w:r>
            <w:r w:rsidR="00DF0271" w:rsidRPr="00BE4766">
              <w:t>divided by 14.</w:t>
            </w:r>
          </w:p>
        </w:tc>
      </w:tr>
      <w:tr w:rsidR="00DF0271" w:rsidRPr="003D0DC1" w14:paraId="0D1C249E" w14:textId="77777777" w:rsidTr="0031595F">
        <w:trPr>
          <w:trHeight w:val="350"/>
        </w:trPr>
        <w:tc>
          <w:tcPr>
            <w:tcW w:w="1503" w:type="dxa"/>
          </w:tcPr>
          <w:p w14:paraId="7E9FC58A" w14:textId="77777777" w:rsidR="00DF0271" w:rsidRPr="00BE4766" w:rsidRDefault="00DF0271" w:rsidP="0031595F">
            <w:pPr>
              <w:pStyle w:val="TableBody"/>
            </w:pPr>
            <w:r w:rsidRPr="00BE4766">
              <w:t>URTA</w:t>
            </w:r>
          </w:p>
        </w:tc>
        <w:tc>
          <w:tcPr>
            <w:tcW w:w="886" w:type="dxa"/>
          </w:tcPr>
          <w:p w14:paraId="526A2DE0" w14:textId="77777777" w:rsidR="00DF0271" w:rsidRPr="00BE4766" w:rsidRDefault="00DF0271" w:rsidP="0031595F">
            <w:pPr>
              <w:pStyle w:val="TableBody"/>
            </w:pPr>
            <w:r w:rsidRPr="00BE4766">
              <w:t>$</w:t>
            </w:r>
          </w:p>
        </w:tc>
        <w:tc>
          <w:tcPr>
            <w:tcW w:w="6701" w:type="dxa"/>
          </w:tcPr>
          <w:p w14:paraId="4E6ED632" w14:textId="77777777" w:rsidR="00DF0271" w:rsidRPr="00BE4766" w:rsidRDefault="00DF0271" w:rsidP="0031595F">
            <w:pPr>
              <w:pStyle w:val="TableBody"/>
              <w:rPr>
                <w:i/>
              </w:rPr>
            </w:pPr>
            <w:r w:rsidRPr="00BE4766">
              <w:rPr>
                <w:i/>
              </w:rPr>
              <w:t>Unbilled Real</w:t>
            </w:r>
            <w:r>
              <w:rPr>
                <w:i/>
              </w:rPr>
              <w:t>-</w:t>
            </w:r>
            <w:r w:rsidRPr="00BE4766">
              <w:rPr>
                <w:i/>
              </w:rPr>
              <w:t>Time Amount</w:t>
            </w:r>
            <w:r w:rsidRPr="00BE4766">
              <w:t>—M2 multiplied by the sum of the net amount</w:t>
            </w:r>
            <w:r>
              <w:t>, with zero substituted for missing values,</w:t>
            </w:r>
            <w:r w:rsidRPr="00BE4766">
              <w:t xml:space="preserve"> due to</w:t>
            </w:r>
            <w:r>
              <w:t xml:space="preserve"> or from</w:t>
            </w:r>
            <w:r w:rsidRPr="00BE4766">
              <w:t xml:space="preserve"> ERCOT by the Counter-Party</w:t>
            </w:r>
            <w:r>
              <w:t xml:space="preserve"> in the 14 most recent Operating Days for which</w:t>
            </w:r>
            <w:r w:rsidRPr="00BE4766">
              <w:t xml:space="preserve"> RTM Initial Statements </w:t>
            </w:r>
            <w:r>
              <w:t>are produced for Counter-Parties according to the ERCOT Settlement Calendar</w:t>
            </w:r>
            <w:r w:rsidRPr="00BE4766">
              <w:t xml:space="preserve"> divided by 14.</w:t>
            </w:r>
          </w:p>
        </w:tc>
      </w:tr>
      <w:tr w:rsidR="00DF0271" w:rsidRPr="003D0DC1" w14:paraId="0640B979" w14:textId="77777777" w:rsidTr="0031595F">
        <w:trPr>
          <w:trHeight w:val="350"/>
        </w:trPr>
        <w:tc>
          <w:tcPr>
            <w:tcW w:w="1503" w:type="dxa"/>
          </w:tcPr>
          <w:p w14:paraId="0BB57CD2" w14:textId="77777777" w:rsidR="00DF0271" w:rsidRPr="00BE4766" w:rsidRDefault="00DF0271" w:rsidP="0031595F">
            <w:pPr>
              <w:pStyle w:val="TableBody"/>
            </w:pPr>
            <w:r w:rsidRPr="00BE4766">
              <w:lastRenderedPageBreak/>
              <w:t>RTL</w:t>
            </w:r>
          </w:p>
        </w:tc>
        <w:tc>
          <w:tcPr>
            <w:tcW w:w="886" w:type="dxa"/>
          </w:tcPr>
          <w:p w14:paraId="4C823956" w14:textId="77777777" w:rsidR="00DF0271" w:rsidRPr="00BE4766" w:rsidRDefault="00DF0271" w:rsidP="0031595F">
            <w:pPr>
              <w:pStyle w:val="TableBody"/>
            </w:pPr>
            <w:r w:rsidRPr="00BE4766">
              <w:t>$</w:t>
            </w:r>
          </w:p>
        </w:tc>
        <w:tc>
          <w:tcPr>
            <w:tcW w:w="6701" w:type="dxa"/>
          </w:tcPr>
          <w:p w14:paraId="3ADE8929" w14:textId="77777777" w:rsidR="00DF0271" w:rsidRPr="00BE4766" w:rsidRDefault="00DF0271" w:rsidP="0031595F">
            <w:pPr>
              <w:pStyle w:val="TableBody"/>
              <w:rPr>
                <w:i/>
              </w:rPr>
            </w:pPr>
            <w:r w:rsidRPr="00BE4766">
              <w:rPr>
                <w:i/>
                <w:iCs w:val="0"/>
              </w:rPr>
              <w:t>Real-Time Liability</w:t>
            </w:r>
            <w:r w:rsidRPr="00BE4766">
              <w:rPr>
                <w:iCs w:val="0"/>
              </w:rPr>
              <w:t>—The estimated or settled amounts due to</w:t>
            </w:r>
            <w:r>
              <w:rPr>
                <w:iCs w:val="0"/>
              </w:rPr>
              <w:t xml:space="preserve"> or from</w:t>
            </w:r>
            <w:r w:rsidRPr="00BE4766">
              <w:rPr>
                <w:iCs w:val="0"/>
              </w:rPr>
              <w:t xml:space="preserve"> ERCOT due to activities in the R</w:t>
            </w:r>
            <w:r w:rsidRPr="005548A2">
              <w:rPr>
                <w:iCs w:val="0"/>
              </w:rPr>
              <w:t>TM for an Operating Day, as defined in Section 16.11.4.3.2, Real-Time Liability Estimate</w:t>
            </w:r>
            <w:r w:rsidRPr="00BE4766">
              <w:rPr>
                <w:iCs w:val="0"/>
              </w:rPr>
              <w:t>.</w:t>
            </w:r>
          </w:p>
        </w:tc>
      </w:tr>
      <w:tr w:rsidR="00DF0271" w:rsidRPr="003D0DC1" w14:paraId="6D710D5D" w14:textId="77777777" w:rsidTr="0031595F">
        <w:trPr>
          <w:trHeight w:val="350"/>
        </w:trPr>
        <w:tc>
          <w:tcPr>
            <w:tcW w:w="1503" w:type="dxa"/>
          </w:tcPr>
          <w:p w14:paraId="7C1806AF" w14:textId="77777777" w:rsidR="00DF0271" w:rsidRPr="00BE4766" w:rsidRDefault="00DF0271" w:rsidP="0031595F">
            <w:pPr>
              <w:pStyle w:val="TableBody"/>
            </w:pPr>
            <w:r w:rsidRPr="00BE4766">
              <w:t>RTLCNS</w:t>
            </w:r>
          </w:p>
        </w:tc>
        <w:tc>
          <w:tcPr>
            <w:tcW w:w="886" w:type="dxa"/>
          </w:tcPr>
          <w:p w14:paraId="40C55C76" w14:textId="77777777" w:rsidR="00DF0271" w:rsidRPr="00BE4766" w:rsidRDefault="00DF0271" w:rsidP="0031595F">
            <w:pPr>
              <w:pStyle w:val="TableBody"/>
            </w:pPr>
            <w:r w:rsidRPr="00BE4766">
              <w:t>$</w:t>
            </w:r>
          </w:p>
        </w:tc>
        <w:tc>
          <w:tcPr>
            <w:tcW w:w="6701" w:type="dxa"/>
          </w:tcPr>
          <w:p w14:paraId="6E79027E" w14:textId="0C0E86D3" w:rsidR="00DF0271" w:rsidRPr="005548A2" w:rsidRDefault="00941CD9" w:rsidP="0031595F">
            <w:pPr>
              <w:pStyle w:val="TableBody"/>
              <w:rPr>
                <w:i/>
              </w:rPr>
            </w:pPr>
            <w:r w:rsidRPr="005548A2">
              <w:rPr>
                <w:i/>
              </w:rPr>
              <w:t>Real</w:t>
            </w:r>
            <w:r>
              <w:rPr>
                <w:i/>
              </w:rPr>
              <w:t>-</w:t>
            </w:r>
            <w:r w:rsidR="00DF0271" w:rsidRPr="005548A2">
              <w:rPr>
                <w:i/>
              </w:rPr>
              <w:t>Time Liability Completed and Not Settled</w:t>
            </w:r>
            <w:r w:rsidR="00DF0271" w:rsidRPr="005548A2">
              <w:t xml:space="preserve">—For each Operating Day that is completed but not settled, ERCOT shall calculate RTL adjusted up by </w:t>
            </w:r>
            <w:proofErr w:type="spellStart"/>
            <w:r w:rsidR="00DF0271" w:rsidRPr="005548A2">
              <w:rPr>
                <w:i/>
              </w:rPr>
              <w:t>rtlcu</w:t>
            </w:r>
            <w:proofErr w:type="spellEnd"/>
            <w:r w:rsidR="00DF0271" w:rsidRPr="005548A2">
              <w:rPr>
                <w:i/>
              </w:rPr>
              <w:t xml:space="preserve">% </w:t>
            </w:r>
            <w:r w:rsidR="00DF0271" w:rsidRPr="005548A2">
              <w:t xml:space="preserve">if there is a net amount due to ERCOT or adjusted down by </w:t>
            </w:r>
            <w:proofErr w:type="spellStart"/>
            <w:r w:rsidR="00DF0271" w:rsidRPr="005548A2">
              <w:rPr>
                <w:i/>
              </w:rPr>
              <w:t>rtlcd</w:t>
            </w:r>
            <w:proofErr w:type="spellEnd"/>
            <w:r w:rsidR="00DF0271" w:rsidRPr="005548A2">
              <w:rPr>
                <w:i/>
              </w:rPr>
              <w:t>%</w:t>
            </w:r>
            <w:r w:rsidR="00DF0271" w:rsidRPr="005548A2">
              <w:t xml:space="preserve"> if there is a net amount due to the QSE. </w:t>
            </w:r>
          </w:p>
          <w:p w14:paraId="33617DA2" w14:textId="77777777" w:rsidR="00DF0271" w:rsidRPr="005548A2" w:rsidRDefault="00DF0271" w:rsidP="0031595F">
            <w:pPr>
              <w:rPr>
                <w:sz w:val="20"/>
              </w:rPr>
            </w:pPr>
          </w:p>
          <w:p w14:paraId="3E1D6C05" w14:textId="77777777" w:rsidR="00DF0271" w:rsidRDefault="00DF0271" w:rsidP="0031595F">
            <w:pPr>
              <w:ind w:left="720"/>
              <w:rPr>
                <w:sz w:val="20"/>
              </w:rPr>
            </w:pPr>
            <w:r w:rsidRPr="005548A2">
              <w:rPr>
                <w:sz w:val="20"/>
              </w:rPr>
              <w:t>RTLCNS = Sum of Max RTL(</w:t>
            </w:r>
            <w:proofErr w:type="spellStart"/>
            <w:r w:rsidRPr="005548A2">
              <w:rPr>
                <w:i/>
                <w:iCs/>
                <w:sz w:val="20"/>
              </w:rPr>
              <w:t>rtlcu</w:t>
            </w:r>
            <w:proofErr w:type="spellEnd"/>
            <w:r w:rsidRPr="005548A2">
              <w:rPr>
                <w:i/>
                <w:iCs/>
                <w:sz w:val="20"/>
              </w:rPr>
              <w:t>%</w:t>
            </w:r>
            <w:r w:rsidRPr="005548A2">
              <w:rPr>
                <w:sz w:val="20"/>
              </w:rPr>
              <w:t xml:space="preserve"> * RTL, </w:t>
            </w:r>
            <w:proofErr w:type="spellStart"/>
            <w:r w:rsidRPr="005548A2">
              <w:rPr>
                <w:i/>
                <w:sz w:val="20"/>
              </w:rPr>
              <w:t>rtlcd</w:t>
            </w:r>
            <w:proofErr w:type="spellEnd"/>
            <w:r w:rsidRPr="005548A2">
              <w:rPr>
                <w:i/>
                <w:sz w:val="20"/>
              </w:rPr>
              <w:t>%</w:t>
            </w:r>
            <w:r w:rsidRPr="005548A2">
              <w:rPr>
                <w:sz w:val="20"/>
              </w:rPr>
              <w:t xml:space="preserve"> * RTL) for all completed and not settled Operating Days</w:t>
            </w:r>
          </w:p>
          <w:p w14:paraId="09C5D030" w14:textId="77777777" w:rsidR="00DF0271" w:rsidRPr="005548A2" w:rsidRDefault="00DF0271" w:rsidP="0031595F">
            <w:pPr>
              <w:ind w:left="720"/>
              <w:rPr>
                <w:sz w:val="20"/>
              </w:rPr>
            </w:pPr>
          </w:p>
          <w:p w14:paraId="04D08926" w14:textId="77777777" w:rsidR="00DF0271" w:rsidRPr="005548A2" w:rsidRDefault="00DF0271" w:rsidP="0031595F">
            <w:pPr>
              <w:tabs>
                <w:tab w:val="right" w:pos="9360"/>
              </w:tabs>
              <w:spacing w:after="60"/>
              <w:rPr>
                <w:iCs/>
                <w:sz w:val="20"/>
              </w:rPr>
            </w:pPr>
            <w:r w:rsidRPr="005548A2">
              <w:rPr>
                <w:iCs/>
                <w:sz w:val="20"/>
              </w:rPr>
              <w:t>Where:</w:t>
            </w:r>
          </w:p>
          <w:p w14:paraId="4F2A23C3" w14:textId="77777777" w:rsidR="00DF0271" w:rsidRPr="005548A2" w:rsidRDefault="00DF0271" w:rsidP="0031595F">
            <w:pPr>
              <w:tabs>
                <w:tab w:val="right" w:pos="9360"/>
              </w:tabs>
              <w:rPr>
                <w:iCs/>
                <w:sz w:val="20"/>
              </w:rPr>
            </w:pPr>
          </w:p>
          <w:p w14:paraId="1EAAC915" w14:textId="77777777" w:rsidR="00DF0271" w:rsidRPr="005548A2" w:rsidRDefault="00DF0271" w:rsidP="0031595F">
            <w:pPr>
              <w:ind w:left="1913" w:hanging="1440"/>
              <w:rPr>
                <w:i/>
                <w:sz w:val="20"/>
              </w:rPr>
            </w:pPr>
            <w:proofErr w:type="spellStart"/>
            <w:r w:rsidRPr="005548A2">
              <w:rPr>
                <w:i/>
                <w:sz w:val="20"/>
              </w:rPr>
              <w:t>rtlcu</w:t>
            </w:r>
            <w:proofErr w:type="spellEnd"/>
            <w:r w:rsidRPr="005548A2">
              <w:rPr>
                <w:sz w:val="20"/>
              </w:rPr>
              <w:t xml:space="preserve"> =</w:t>
            </w:r>
            <w:r w:rsidRPr="005548A2">
              <w:rPr>
                <w:sz w:val="20"/>
              </w:rPr>
              <w:tab/>
              <w:t>Real-Time Liability Markup</w:t>
            </w:r>
          </w:p>
          <w:p w14:paraId="18F0EAEC" w14:textId="77777777" w:rsidR="00DF0271" w:rsidRPr="005548A2" w:rsidRDefault="00DF0271" w:rsidP="0031595F">
            <w:pPr>
              <w:ind w:left="1913" w:hanging="1440"/>
              <w:rPr>
                <w:i/>
                <w:sz w:val="20"/>
              </w:rPr>
            </w:pPr>
            <w:proofErr w:type="spellStart"/>
            <w:r w:rsidRPr="005548A2">
              <w:rPr>
                <w:i/>
                <w:sz w:val="20"/>
              </w:rPr>
              <w:t>rtlcd</w:t>
            </w:r>
            <w:proofErr w:type="spellEnd"/>
            <w:r w:rsidRPr="005548A2">
              <w:rPr>
                <w:i/>
                <w:sz w:val="20"/>
              </w:rPr>
              <w:t xml:space="preserve"> </w:t>
            </w:r>
            <w:r w:rsidRPr="005548A2">
              <w:rPr>
                <w:sz w:val="20"/>
              </w:rPr>
              <w:t>=</w:t>
            </w:r>
            <w:r w:rsidRPr="005548A2">
              <w:rPr>
                <w:sz w:val="20"/>
              </w:rPr>
              <w:tab/>
              <w:t>Real-Time Li</w:t>
            </w:r>
            <w:r>
              <w:rPr>
                <w:sz w:val="20"/>
              </w:rPr>
              <w:t>a</w:t>
            </w:r>
            <w:r w:rsidRPr="005548A2">
              <w:rPr>
                <w:sz w:val="20"/>
              </w:rPr>
              <w:t>bility Markdown</w:t>
            </w:r>
          </w:p>
        </w:tc>
      </w:tr>
      <w:tr w:rsidR="00DF0271" w:rsidRPr="003D0DC1" w14:paraId="04DCE2DB" w14:textId="77777777" w:rsidTr="0031595F">
        <w:trPr>
          <w:trHeight w:val="350"/>
        </w:trPr>
        <w:tc>
          <w:tcPr>
            <w:tcW w:w="1503" w:type="dxa"/>
          </w:tcPr>
          <w:p w14:paraId="251A9A61" w14:textId="77777777" w:rsidR="00DF0271" w:rsidRPr="00BE4766" w:rsidRDefault="00DF0271" w:rsidP="0031595F">
            <w:pPr>
              <w:pStyle w:val="TableBody"/>
              <w:tabs>
                <w:tab w:val="right" w:pos="9360"/>
              </w:tabs>
              <w:rPr>
                <w:noProof/>
              </w:rPr>
            </w:pPr>
            <w:r w:rsidRPr="00BE4766">
              <w:t>RTLF</w:t>
            </w:r>
          </w:p>
        </w:tc>
        <w:tc>
          <w:tcPr>
            <w:tcW w:w="886" w:type="dxa"/>
          </w:tcPr>
          <w:p w14:paraId="08A13CCE" w14:textId="77777777" w:rsidR="00DF0271" w:rsidRPr="00BE4766" w:rsidRDefault="00DF0271" w:rsidP="0031595F">
            <w:pPr>
              <w:pStyle w:val="TableBody"/>
              <w:tabs>
                <w:tab w:val="right" w:pos="9360"/>
              </w:tabs>
              <w:rPr>
                <w:noProof/>
              </w:rPr>
            </w:pPr>
            <w:r w:rsidRPr="00BE4766">
              <w:t>$</w:t>
            </w:r>
          </w:p>
        </w:tc>
        <w:tc>
          <w:tcPr>
            <w:tcW w:w="6701" w:type="dxa"/>
          </w:tcPr>
          <w:p w14:paraId="2CA65BD7" w14:textId="2457151C" w:rsidR="00DF0271" w:rsidRPr="005548A2" w:rsidRDefault="00DF0271" w:rsidP="0031595F">
            <w:pPr>
              <w:rPr>
                <w:sz w:val="20"/>
              </w:rPr>
            </w:pPr>
            <w:r w:rsidRPr="005548A2">
              <w:rPr>
                <w:i/>
                <w:sz w:val="20"/>
              </w:rPr>
              <w:t>Real-Time Liability Forward</w:t>
            </w:r>
            <w:r w:rsidRPr="005548A2">
              <w:rPr>
                <w:sz w:val="20"/>
              </w:rPr>
              <w:t>—</w:t>
            </w:r>
            <w:proofErr w:type="spellStart"/>
            <w:r w:rsidRPr="005548A2">
              <w:rPr>
                <w:sz w:val="20"/>
              </w:rPr>
              <w:t>rtlfp</w:t>
            </w:r>
            <w:proofErr w:type="spellEnd"/>
            <w:r w:rsidRPr="005548A2">
              <w:rPr>
                <w:sz w:val="20"/>
              </w:rPr>
              <w:t xml:space="preserve">% of the sum of estimated RTL from the most recent seven Operating Days.   </w:t>
            </w:r>
          </w:p>
          <w:p w14:paraId="051E1902" w14:textId="77777777" w:rsidR="00DF0271" w:rsidRPr="005548A2" w:rsidRDefault="00DF0271" w:rsidP="0031595F">
            <w:pPr>
              <w:jc w:val="both"/>
              <w:rPr>
                <w:sz w:val="20"/>
              </w:rPr>
            </w:pPr>
          </w:p>
          <w:p w14:paraId="6EB2034B" w14:textId="77777777" w:rsidR="00DF0271" w:rsidRPr="005548A2" w:rsidRDefault="00DF0271" w:rsidP="0031595F">
            <w:pPr>
              <w:ind w:left="720"/>
              <w:jc w:val="both"/>
              <w:rPr>
                <w:sz w:val="20"/>
              </w:rPr>
            </w:pPr>
            <w:r w:rsidRPr="005548A2">
              <w:rPr>
                <w:sz w:val="20"/>
              </w:rPr>
              <w:t xml:space="preserve">RTLF = </w:t>
            </w:r>
            <w:proofErr w:type="spellStart"/>
            <w:r w:rsidRPr="005548A2">
              <w:rPr>
                <w:i/>
                <w:iCs/>
                <w:sz w:val="20"/>
              </w:rPr>
              <w:t>rtlf</w:t>
            </w:r>
            <w:proofErr w:type="spellEnd"/>
            <w:r w:rsidRPr="005548A2">
              <w:rPr>
                <w:i/>
                <w:iCs/>
                <w:sz w:val="20"/>
              </w:rPr>
              <w:t>%</w:t>
            </w:r>
            <w:r w:rsidRPr="005548A2">
              <w:rPr>
                <w:sz w:val="20"/>
              </w:rPr>
              <w:t xml:space="preserve"> of the Sum of Max RTL(</w:t>
            </w:r>
            <w:proofErr w:type="spellStart"/>
            <w:r w:rsidRPr="005548A2">
              <w:rPr>
                <w:i/>
                <w:iCs/>
                <w:sz w:val="20"/>
              </w:rPr>
              <w:t>rtlcu</w:t>
            </w:r>
            <w:proofErr w:type="spellEnd"/>
            <w:r w:rsidRPr="005548A2">
              <w:rPr>
                <w:i/>
                <w:iCs/>
                <w:sz w:val="20"/>
              </w:rPr>
              <w:t>%</w:t>
            </w:r>
            <w:r w:rsidRPr="005548A2">
              <w:rPr>
                <w:sz w:val="20"/>
              </w:rPr>
              <w:t xml:space="preserve"> * RTL</w:t>
            </w:r>
            <w:r w:rsidRPr="005548A2">
              <w:rPr>
                <w:i/>
                <w:iCs/>
                <w:sz w:val="20"/>
              </w:rPr>
              <w:t xml:space="preserve">, </w:t>
            </w:r>
            <w:proofErr w:type="spellStart"/>
            <w:r w:rsidRPr="005548A2">
              <w:rPr>
                <w:i/>
                <w:iCs/>
                <w:sz w:val="20"/>
              </w:rPr>
              <w:t>rtlcd</w:t>
            </w:r>
            <w:proofErr w:type="spellEnd"/>
            <w:r w:rsidRPr="005548A2">
              <w:rPr>
                <w:i/>
                <w:iCs/>
                <w:sz w:val="20"/>
              </w:rPr>
              <w:t>%</w:t>
            </w:r>
            <w:r w:rsidRPr="005548A2">
              <w:rPr>
                <w:sz w:val="20"/>
              </w:rPr>
              <w:t xml:space="preserve"> * RTL) for the most recent seven Operating Days</w:t>
            </w:r>
          </w:p>
          <w:p w14:paraId="3E353C79" w14:textId="77777777" w:rsidR="00DF0271" w:rsidRPr="005548A2" w:rsidRDefault="00DF0271" w:rsidP="0031595F">
            <w:pPr>
              <w:tabs>
                <w:tab w:val="right" w:pos="9360"/>
              </w:tabs>
              <w:spacing w:after="60"/>
              <w:rPr>
                <w:iCs/>
                <w:sz w:val="20"/>
              </w:rPr>
            </w:pPr>
            <w:r w:rsidRPr="005548A2">
              <w:rPr>
                <w:iCs/>
                <w:sz w:val="20"/>
              </w:rPr>
              <w:t>Where:</w:t>
            </w:r>
          </w:p>
          <w:p w14:paraId="1B5DBAE9" w14:textId="77777777" w:rsidR="00DF0271" w:rsidRPr="005548A2" w:rsidRDefault="00DF0271" w:rsidP="0031595F">
            <w:pPr>
              <w:tabs>
                <w:tab w:val="right" w:pos="9360"/>
              </w:tabs>
              <w:rPr>
                <w:iCs/>
                <w:sz w:val="20"/>
              </w:rPr>
            </w:pPr>
          </w:p>
          <w:p w14:paraId="75D84506" w14:textId="77777777" w:rsidR="00DF0271" w:rsidRPr="005548A2" w:rsidRDefault="00DF0271" w:rsidP="0031595F">
            <w:pPr>
              <w:ind w:left="1913" w:hanging="1440"/>
              <w:rPr>
                <w:i/>
                <w:sz w:val="20"/>
              </w:rPr>
            </w:pPr>
            <w:proofErr w:type="spellStart"/>
            <w:r w:rsidRPr="005548A2">
              <w:rPr>
                <w:i/>
                <w:sz w:val="20"/>
              </w:rPr>
              <w:t>rtlfp</w:t>
            </w:r>
            <w:proofErr w:type="spellEnd"/>
            <w:r w:rsidRPr="005548A2">
              <w:rPr>
                <w:i/>
                <w:sz w:val="20"/>
              </w:rPr>
              <w:t xml:space="preserve"> =</w:t>
            </w:r>
            <w:r w:rsidRPr="005548A2">
              <w:rPr>
                <w:i/>
                <w:sz w:val="20"/>
              </w:rPr>
              <w:tab/>
            </w:r>
            <w:r w:rsidRPr="005548A2">
              <w:rPr>
                <w:sz w:val="20"/>
              </w:rPr>
              <w:t>Real-Time Liability Forward</w:t>
            </w:r>
          </w:p>
        </w:tc>
      </w:tr>
      <w:tr w:rsidR="00DF0271" w:rsidRPr="003D0DC1" w14:paraId="14F896A3" w14:textId="77777777" w:rsidTr="0031595F">
        <w:trPr>
          <w:trHeight w:val="350"/>
        </w:trPr>
        <w:tc>
          <w:tcPr>
            <w:tcW w:w="1503" w:type="dxa"/>
          </w:tcPr>
          <w:p w14:paraId="28F79FC9" w14:textId="77777777" w:rsidR="00DF0271" w:rsidRPr="00BE4766" w:rsidRDefault="00DF0271" w:rsidP="0031595F">
            <w:pPr>
              <w:pStyle w:val="TableBody"/>
              <w:tabs>
                <w:tab w:val="right" w:pos="9360"/>
              </w:tabs>
              <w:rPr>
                <w:noProof/>
              </w:rPr>
            </w:pPr>
            <w:r w:rsidRPr="00BE4766">
              <w:t>OUT</w:t>
            </w:r>
            <w:r>
              <w:t xml:space="preserve"> </w:t>
            </w:r>
            <w:r w:rsidRPr="002C3748">
              <w:rPr>
                <w:i/>
                <w:iCs w:val="0"/>
                <w:vertAlign w:val="subscript"/>
              </w:rPr>
              <w:t>q</w:t>
            </w:r>
          </w:p>
        </w:tc>
        <w:tc>
          <w:tcPr>
            <w:tcW w:w="886" w:type="dxa"/>
          </w:tcPr>
          <w:p w14:paraId="3EB9ACA6" w14:textId="77777777" w:rsidR="00DF0271" w:rsidRPr="00BE4766" w:rsidRDefault="00DF0271" w:rsidP="0031595F">
            <w:pPr>
              <w:pStyle w:val="TableBody"/>
              <w:tabs>
                <w:tab w:val="right" w:pos="9360"/>
              </w:tabs>
              <w:rPr>
                <w:noProof/>
              </w:rPr>
            </w:pPr>
            <w:r w:rsidRPr="00BE4766">
              <w:t>$</w:t>
            </w:r>
          </w:p>
        </w:tc>
        <w:tc>
          <w:tcPr>
            <w:tcW w:w="6701" w:type="dxa"/>
          </w:tcPr>
          <w:p w14:paraId="742132D8" w14:textId="77777777" w:rsidR="00DF0271" w:rsidRPr="00853D39" w:rsidRDefault="00DF0271" w:rsidP="0031595F">
            <w:pPr>
              <w:pStyle w:val="BodyText"/>
              <w:rPr>
                <w:sz w:val="20"/>
              </w:rPr>
            </w:pPr>
            <w:r w:rsidRPr="00853D39">
              <w:rPr>
                <w:i/>
                <w:sz w:val="20"/>
              </w:rPr>
              <w:t>Outstanding Unpaid Transactions</w:t>
            </w:r>
            <w:r w:rsidRPr="00853D39">
              <w:rPr>
                <w:sz w:val="20"/>
              </w:rPr>
              <w:t xml:space="preserve">—Outstanding unpaid transactions for all QSEs represented by the Counter-Party, which include (a) outstanding Invoices to the Counter-Party; (b) estimated unbilled items to the Counter-Party, to the extent not adequately accommodated in the RTLE calculation (including resettlements and other known liabilities); and (c) estimated CRR Auction revenue available for distribution for Operating Days in the previous two months, to the extent not invoiced to the Counter-Party.  Invoices will not be considered outstanding for purposes of this calculation the Business Day after that Invoice payment is received. </w:t>
            </w:r>
          </w:p>
          <w:p w14:paraId="38A880CE" w14:textId="77777777" w:rsidR="00DF0271" w:rsidRPr="00C21ED2" w:rsidRDefault="00DF0271" w:rsidP="0031595F">
            <w:pPr>
              <w:pStyle w:val="TableBody"/>
              <w:tabs>
                <w:tab w:val="right" w:pos="9360"/>
              </w:tabs>
              <w:ind w:left="522"/>
            </w:pPr>
            <w:r w:rsidRPr="00C21ED2">
              <w:t>OUT</w:t>
            </w:r>
            <w:r>
              <w:t xml:space="preserve"> </w:t>
            </w:r>
            <w:r w:rsidRPr="00545E0B">
              <w:rPr>
                <w:i/>
                <w:vertAlign w:val="subscript"/>
              </w:rPr>
              <w:t>q</w:t>
            </w:r>
            <w:r w:rsidRPr="00C21ED2">
              <w:t xml:space="preserve"> = OIA</w:t>
            </w:r>
            <w:r>
              <w:t xml:space="preserve"> </w:t>
            </w:r>
            <w:r w:rsidRPr="00545E0B">
              <w:rPr>
                <w:i/>
                <w:vertAlign w:val="subscript"/>
              </w:rPr>
              <w:t>q</w:t>
            </w:r>
            <w:r w:rsidRPr="00C21ED2">
              <w:t xml:space="preserve"> + UDAA</w:t>
            </w:r>
            <w:r>
              <w:t xml:space="preserve"> </w:t>
            </w:r>
            <w:r w:rsidRPr="00545E0B">
              <w:rPr>
                <w:i/>
                <w:vertAlign w:val="subscript"/>
              </w:rPr>
              <w:t>q</w:t>
            </w:r>
            <w:r w:rsidRPr="00C21ED2">
              <w:t xml:space="preserve"> + UFA</w:t>
            </w:r>
            <w:r>
              <w:t xml:space="preserve"> </w:t>
            </w:r>
            <w:r w:rsidRPr="00545E0B">
              <w:rPr>
                <w:i/>
                <w:vertAlign w:val="subscript"/>
              </w:rPr>
              <w:t>q</w:t>
            </w:r>
            <w:r w:rsidRPr="00C21ED2">
              <w:t xml:space="preserve"> + UTA</w:t>
            </w:r>
            <w:r>
              <w:t xml:space="preserve"> </w:t>
            </w:r>
            <w:r w:rsidRPr="00545E0B">
              <w:rPr>
                <w:i/>
                <w:vertAlign w:val="subscript"/>
              </w:rPr>
              <w:t>q</w:t>
            </w:r>
            <w:r w:rsidRPr="00C21ED2">
              <w:t xml:space="preserve"> + CARD</w:t>
            </w:r>
          </w:p>
          <w:p w14:paraId="33622DE3" w14:textId="77777777" w:rsidR="00DF0271" w:rsidRDefault="00DF0271" w:rsidP="0031595F">
            <w:pPr>
              <w:pStyle w:val="TableBody"/>
              <w:tabs>
                <w:tab w:val="right" w:pos="9360"/>
              </w:tabs>
            </w:pPr>
          </w:p>
          <w:p w14:paraId="58872924" w14:textId="77777777" w:rsidR="00DF0271" w:rsidRDefault="00DF0271" w:rsidP="0031595F">
            <w:pPr>
              <w:pStyle w:val="TableBody"/>
              <w:tabs>
                <w:tab w:val="right" w:pos="9360"/>
              </w:tabs>
            </w:pPr>
            <w:r>
              <w:t>Where:</w:t>
            </w:r>
          </w:p>
          <w:p w14:paraId="54423573" w14:textId="77777777" w:rsidR="00DF0271" w:rsidRPr="00C21ED2" w:rsidRDefault="00DF0271" w:rsidP="0031595F">
            <w:pPr>
              <w:pStyle w:val="TableBody"/>
              <w:tabs>
                <w:tab w:val="right" w:pos="9360"/>
              </w:tabs>
              <w:spacing w:after="0"/>
            </w:pPr>
          </w:p>
          <w:p w14:paraId="0B0961C9" w14:textId="3BD19F73" w:rsidR="00DF0271" w:rsidRPr="00300257" w:rsidRDefault="00DF0271" w:rsidP="0031595F">
            <w:pPr>
              <w:spacing w:after="60"/>
              <w:ind w:left="1958" w:hanging="1440"/>
              <w:rPr>
                <w:sz w:val="20"/>
              </w:rPr>
            </w:pPr>
            <w:r w:rsidRPr="00300257">
              <w:rPr>
                <w:sz w:val="20"/>
              </w:rPr>
              <w:t>OIA</w:t>
            </w:r>
            <w:r>
              <w:t xml:space="preserve"> </w:t>
            </w:r>
            <w:r w:rsidRPr="00545E0B">
              <w:rPr>
                <w:i/>
                <w:vertAlign w:val="subscript"/>
              </w:rPr>
              <w:t>q</w:t>
            </w:r>
            <w:r w:rsidRPr="00300257">
              <w:rPr>
                <w:sz w:val="20"/>
              </w:rPr>
              <w:t xml:space="preserve"> </w:t>
            </w:r>
            <w:r>
              <w:rPr>
                <w:sz w:val="20"/>
              </w:rPr>
              <w:t>=</w:t>
            </w:r>
            <w:r>
              <w:rPr>
                <w:sz w:val="20"/>
              </w:rPr>
              <w:tab/>
            </w:r>
            <w:r w:rsidRPr="00300257">
              <w:rPr>
                <w:i/>
                <w:sz w:val="20"/>
              </w:rPr>
              <w:t>Outstanding Invoice Amounts</w:t>
            </w:r>
            <w:r>
              <w:rPr>
                <w:i/>
                <w:sz w:val="20"/>
              </w:rPr>
              <w:t xml:space="preserve"> for all the QSEs represented by the Counter-Party</w:t>
            </w:r>
            <w:r>
              <w:rPr>
                <w:sz w:val="20"/>
              </w:rPr>
              <w:t xml:space="preserve"> </w:t>
            </w:r>
            <w:r w:rsidRPr="00300257">
              <w:rPr>
                <w:sz w:val="20"/>
              </w:rPr>
              <w:t>– Sum of any outstanding Real-Time and Day-Ahead unpaid invoices issued to the Counter-Party</w:t>
            </w:r>
            <w:r>
              <w:rPr>
                <w:sz w:val="20"/>
              </w:rPr>
              <w:t xml:space="preserve">, </w:t>
            </w:r>
            <w:r w:rsidRPr="00300257">
              <w:rPr>
                <w:sz w:val="20"/>
              </w:rPr>
              <w:t>including but not limited to CRR Auction Revenue Distribution</w:t>
            </w:r>
            <w:r>
              <w:rPr>
                <w:sz w:val="20"/>
              </w:rPr>
              <w:t xml:space="preserve"> (CARD)</w:t>
            </w:r>
            <w:r w:rsidRPr="00300257">
              <w:rPr>
                <w:sz w:val="20"/>
              </w:rPr>
              <w:t xml:space="preserve"> </w:t>
            </w:r>
            <w:r>
              <w:rPr>
                <w:sz w:val="20"/>
              </w:rPr>
              <w:t>I</w:t>
            </w:r>
            <w:r w:rsidRPr="00300257">
              <w:rPr>
                <w:sz w:val="20"/>
              </w:rPr>
              <w:t xml:space="preserve">nvoices, CRR Balancing Account </w:t>
            </w:r>
            <w:r>
              <w:rPr>
                <w:sz w:val="20"/>
              </w:rPr>
              <w:t>I</w:t>
            </w:r>
            <w:r w:rsidRPr="00300257">
              <w:rPr>
                <w:sz w:val="20"/>
              </w:rPr>
              <w:t xml:space="preserve">nvoices, Default Uplift </w:t>
            </w:r>
            <w:r>
              <w:rPr>
                <w:sz w:val="20"/>
              </w:rPr>
              <w:t>I</w:t>
            </w:r>
            <w:r w:rsidRPr="00300257">
              <w:rPr>
                <w:sz w:val="20"/>
              </w:rPr>
              <w:t>nvoices</w:t>
            </w:r>
            <w:r w:rsidR="00002A11">
              <w:rPr>
                <w:sz w:val="20"/>
              </w:rPr>
              <w:t xml:space="preserve">, </w:t>
            </w:r>
            <w:r w:rsidR="00002A11" w:rsidRPr="00C31D74">
              <w:rPr>
                <w:sz w:val="20"/>
              </w:rPr>
              <w:t>Securitization Uplift Charge Reallocation Invoices</w:t>
            </w:r>
            <w:r w:rsidR="00002A11">
              <w:rPr>
                <w:sz w:val="20"/>
              </w:rPr>
              <w:t>,</w:t>
            </w:r>
            <w:r w:rsidRPr="00300257">
              <w:rPr>
                <w:sz w:val="20"/>
              </w:rPr>
              <w:t xml:space="preserve"> and other miscellaneous </w:t>
            </w:r>
            <w:r>
              <w:rPr>
                <w:sz w:val="20"/>
              </w:rPr>
              <w:t>I</w:t>
            </w:r>
            <w:r w:rsidRPr="00300257">
              <w:rPr>
                <w:sz w:val="20"/>
              </w:rPr>
              <w:t>nvoices.  Also included are the amounts</w:t>
            </w:r>
            <w:r>
              <w:rPr>
                <w:sz w:val="20"/>
              </w:rPr>
              <w:t xml:space="preserve"> or </w:t>
            </w:r>
            <w:r w:rsidRPr="00300257">
              <w:rPr>
                <w:sz w:val="20"/>
              </w:rPr>
              <w:t>portion</w:t>
            </w:r>
            <w:r>
              <w:rPr>
                <w:sz w:val="20"/>
              </w:rPr>
              <w:t>s</w:t>
            </w:r>
            <w:r w:rsidRPr="00300257">
              <w:rPr>
                <w:sz w:val="20"/>
              </w:rPr>
              <w:t xml:space="preserve"> of </w:t>
            </w:r>
            <w:r>
              <w:rPr>
                <w:sz w:val="20"/>
              </w:rPr>
              <w:t>I</w:t>
            </w:r>
            <w:r w:rsidRPr="00300257">
              <w:rPr>
                <w:sz w:val="20"/>
              </w:rPr>
              <w:t xml:space="preserve">nvoices due to the Counter-Party that have been short-paid as a result of a </w:t>
            </w:r>
            <w:r>
              <w:rPr>
                <w:sz w:val="20"/>
              </w:rPr>
              <w:t>d</w:t>
            </w:r>
            <w:r w:rsidRPr="00300257">
              <w:rPr>
                <w:sz w:val="20"/>
              </w:rPr>
              <w:t xml:space="preserve">efault or non-payment of </w:t>
            </w:r>
            <w:r>
              <w:rPr>
                <w:sz w:val="20"/>
              </w:rPr>
              <w:t>I</w:t>
            </w:r>
            <w:r w:rsidRPr="00300257">
              <w:rPr>
                <w:sz w:val="20"/>
              </w:rPr>
              <w:t>nvoices due to ERCOT by another Counter-Party.</w:t>
            </w:r>
          </w:p>
          <w:p w14:paraId="01F909CE" w14:textId="46A4BD05" w:rsidR="00DF0271" w:rsidRPr="005078C5" w:rsidRDefault="00DF0271" w:rsidP="0031595F">
            <w:pPr>
              <w:pStyle w:val="TableBody"/>
              <w:tabs>
                <w:tab w:val="right" w:pos="9360"/>
              </w:tabs>
              <w:ind w:left="1962" w:hanging="1440"/>
            </w:pPr>
            <w:r w:rsidRPr="00D43459">
              <w:t>UDAA</w:t>
            </w:r>
            <w:r>
              <w:t xml:space="preserve"> </w:t>
            </w:r>
            <w:r w:rsidRPr="00545E0B">
              <w:rPr>
                <w:i/>
                <w:vertAlign w:val="subscript"/>
              </w:rPr>
              <w:t>q</w:t>
            </w:r>
            <w:r w:rsidRPr="00D43459">
              <w:t xml:space="preserve"> </w:t>
            </w:r>
            <w:r>
              <w:t>=</w:t>
            </w:r>
            <w:r>
              <w:tab/>
            </w:r>
            <w:r w:rsidRPr="00D43459">
              <w:rPr>
                <w:i/>
              </w:rPr>
              <w:t>Unbilled Day-Ahead Amounts</w:t>
            </w:r>
            <w:r>
              <w:rPr>
                <w:i/>
              </w:rPr>
              <w:t xml:space="preserve"> for all the QSEs represented by the Counter-Party </w:t>
            </w:r>
            <w:r w:rsidRPr="00D43459">
              <w:t xml:space="preserve">– </w:t>
            </w:r>
            <w:r w:rsidRPr="00AE7F00">
              <w:t>Sum of DAL</w:t>
            </w:r>
            <w:r>
              <w:t xml:space="preserve"> for all the QSEs represented by the Counter-Party </w:t>
            </w:r>
            <w:r w:rsidRPr="00AE7F00">
              <w:t xml:space="preserve">for all </w:t>
            </w:r>
            <w:r w:rsidRPr="00AE7F00">
              <w:lastRenderedPageBreak/>
              <w:t xml:space="preserve">Operating Days for which </w:t>
            </w:r>
            <w:r>
              <w:t xml:space="preserve">a </w:t>
            </w:r>
            <w:r w:rsidRPr="00AE7F00">
              <w:t xml:space="preserve">DAM Statement is not </w:t>
            </w:r>
            <w:r w:rsidRPr="00D43459">
              <w:t>generated.</w:t>
            </w:r>
          </w:p>
          <w:p w14:paraId="49F9D6A3" w14:textId="77777777" w:rsidR="00DF0271" w:rsidRDefault="00DF0271" w:rsidP="0031595F">
            <w:pPr>
              <w:pStyle w:val="TableBody"/>
              <w:tabs>
                <w:tab w:val="right" w:pos="9360"/>
              </w:tabs>
              <w:ind w:left="1962" w:hanging="1440"/>
            </w:pPr>
            <w:r w:rsidRPr="005078C5">
              <w:t>UFA</w:t>
            </w:r>
            <w:r>
              <w:t xml:space="preserve"> </w:t>
            </w:r>
            <w:r w:rsidRPr="00545E0B">
              <w:rPr>
                <w:i/>
                <w:vertAlign w:val="subscript"/>
              </w:rPr>
              <w:t>q</w:t>
            </w:r>
            <w:r w:rsidRPr="005078C5">
              <w:t xml:space="preserve"> </w:t>
            </w:r>
            <w:r>
              <w:t>=</w:t>
            </w:r>
            <w:r>
              <w:tab/>
            </w:r>
            <w:r w:rsidRPr="00300257">
              <w:rPr>
                <w:i/>
              </w:rPr>
              <w:t>Unbilled Final Amounts</w:t>
            </w:r>
            <w:r>
              <w:rPr>
                <w:i/>
              </w:rPr>
              <w:t xml:space="preserve"> for all the QSEs represented by the Counter-Party</w:t>
            </w:r>
            <w:r w:rsidRPr="00F37A27">
              <w:t xml:space="preserve"> – </w:t>
            </w:r>
            <w:r>
              <w:t>U</w:t>
            </w:r>
            <w:r w:rsidRPr="00C7221C">
              <w:t>nbilled final ex</w:t>
            </w:r>
            <w:r>
              <w:t>t</w:t>
            </w:r>
            <w:r w:rsidRPr="00C7221C">
              <w:t>rapolated days (</w:t>
            </w:r>
            <w:proofErr w:type="spellStart"/>
            <w:r w:rsidRPr="00C7221C">
              <w:rPr>
                <w:i/>
              </w:rPr>
              <w:t>ufd</w:t>
            </w:r>
            <w:proofErr w:type="spellEnd"/>
            <w:r w:rsidRPr="00C7221C">
              <w:rPr>
                <w:i/>
              </w:rPr>
              <w:t>)</w:t>
            </w:r>
            <w:r w:rsidRPr="00BE4766">
              <w:t xml:space="preserve"> multiplied by the sum of the net amount due </w:t>
            </w:r>
            <w:r>
              <w:t xml:space="preserve">to or </w:t>
            </w:r>
            <w:r w:rsidRPr="00BE4766">
              <w:t xml:space="preserve">from ERCOT </w:t>
            </w:r>
            <w:r>
              <w:t xml:space="preserve">for all QSEs represented </w:t>
            </w:r>
            <w:r w:rsidRPr="00BE4766">
              <w:t xml:space="preserve">by the Counter-Party </w:t>
            </w:r>
            <w:r>
              <w:t>for Operating Days for which</w:t>
            </w:r>
            <w:r w:rsidRPr="00BE4766">
              <w:t xml:space="preserve"> </w:t>
            </w:r>
            <w:r>
              <w:t>RTM</w:t>
            </w:r>
            <w:r w:rsidRPr="00BE4766">
              <w:t xml:space="preserve"> </w:t>
            </w:r>
            <w:r>
              <w:t>Final</w:t>
            </w:r>
            <w:r w:rsidRPr="00BE4766">
              <w:t xml:space="preserve"> Statements </w:t>
            </w:r>
            <w:r>
              <w:t xml:space="preserve">were </w:t>
            </w:r>
            <w:r w:rsidRPr="00BE4766">
              <w:t xml:space="preserve">generated in the </w:t>
            </w:r>
            <w:r>
              <w:t>21</w:t>
            </w:r>
            <w:r w:rsidRPr="00BE4766">
              <w:t xml:space="preserve"> most recent calendar days</w:t>
            </w:r>
            <w:r>
              <w:t>,</w:t>
            </w:r>
            <w:r w:rsidRPr="00BE4766">
              <w:t xml:space="preserve"> divided by the number of </w:t>
            </w:r>
            <w:r>
              <w:t xml:space="preserve">Operating Days for which </w:t>
            </w:r>
            <w:r w:rsidRPr="00BE4766">
              <w:t>R</w:t>
            </w:r>
            <w:r>
              <w:t>TM</w:t>
            </w:r>
            <w:r w:rsidRPr="00BE4766">
              <w:t xml:space="preserve"> </w:t>
            </w:r>
            <w:r>
              <w:t>Final</w:t>
            </w:r>
            <w:r w:rsidRPr="00BE4766">
              <w:t xml:space="preserve"> Settlement Statements </w:t>
            </w:r>
            <w:r>
              <w:t xml:space="preserve">were </w:t>
            </w:r>
            <w:r w:rsidRPr="00BE4766">
              <w:t xml:space="preserve">generated for the Counter-Party in the </w:t>
            </w:r>
            <w:r>
              <w:t>21</w:t>
            </w:r>
            <w:r w:rsidRPr="00BE4766">
              <w:t xml:space="preserve"> most recent calendar days.</w:t>
            </w:r>
            <w:r w:rsidRPr="00F37A27">
              <w:t xml:space="preserve">  </w:t>
            </w:r>
          </w:p>
          <w:p w14:paraId="10AC0AE7" w14:textId="42799CFC" w:rsidR="00DF0271" w:rsidRPr="005548A2" w:rsidRDefault="00DF0271" w:rsidP="0031595F">
            <w:pPr>
              <w:pStyle w:val="TableBody"/>
              <w:tabs>
                <w:tab w:val="right" w:pos="9360"/>
              </w:tabs>
              <w:ind w:left="1962" w:hanging="1440"/>
            </w:pPr>
            <w:r w:rsidRPr="005548A2">
              <w:t xml:space="preserve">UTA </w:t>
            </w:r>
            <w:r w:rsidRPr="005548A2">
              <w:rPr>
                <w:i/>
                <w:vertAlign w:val="subscript"/>
              </w:rPr>
              <w:t>q</w:t>
            </w:r>
            <w:r w:rsidRPr="005548A2">
              <w:t xml:space="preserve"> =</w:t>
            </w:r>
            <w:r w:rsidRPr="005548A2">
              <w:tab/>
            </w:r>
            <w:r w:rsidRPr="005548A2">
              <w:rPr>
                <w:i/>
              </w:rPr>
              <w:t>Unbilled True-Up Amounts for all the QSEs represented by the Counter-Party</w:t>
            </w:r>
            <w:r w:rsidRPr="005548A2">
              <w:t xml:space="preserve"> –</w:t>
            </w:r>
            <w:r w:rsidR="00C5441E">
              <w:t xml:space="preserve"> </w:t>
            </w:r>
            <w:r w:rsidRPr="005548A2">
              <w:t>Unbilled true-up extrapolated days (</w:t>
            </w:r>
            <w:proofErr w:type="spellStart"/>
            <w:r w:rsidRPr="005548A2">
              <w:rPr>
                <w:i/>
              </w:rPr>
              <w:t>utd</w:t>
            </w:r>
            <w:proofErr w:type="spellEnd"/>
            <w:r w:rsidRPr="005548A2">
              <w:rPr>
                <w:i/>
              </w:rPr>
              <w:t>)</w:t>
            </w:r>
            <w:r w:rsidRPr="005548A2">
              <w:t xml:space="preserve"> multiplied by the sum of the net amount due to or from ERCOT by the Counter-Party for all the QSEs represented by the Counter-Party for Operating Days for which RTM True-</w:t>
            </w:r>
            <w:r w:rsidR="002C3748">
              <w:t>U</w:t>
            </w:r>
            <w:r w:rsidRPr="005548A2">
              <w:t>p Statements were generated in the 21 most recent calendar days, divided by the number of Operating Days for which RTM True-</w:t>
            </w:r>
            <w:r w:rsidR="002C3748">
              <w:t>U</w:t>
            </w:r>
            <w:r w:rsidRPr="005548A2">
              <w:t xml:space="preserve">p Settlement Statements were generated for the Counter-Party in the 21 most recent calendar days.  </w:t>
            </w:r>
          </w:p>
          <w:p w14:paraId="332B08AD" w14:textId="39679267" w:rsidR="00DF0271" w:rsidRPr="00BE4766" w:rsidRDefault="00DF0271" w:rsidP="0058051D">
            <w:pPr>
              <w:spacing w:after="120"/>
              <w:ind w:left="1962" w:hanging="1440"/>
              <w:rPr>
                <w:noProof/>
              </w:rPr>
            </w:pPr>
            <w:r w:rsidRPr="005548A2">
              <w:rPr>
                <w:sz w:val="20"/>
              </w:rPr>
              <w:t>CARD =</w:t>
            </w:r>
            <w:r w:rsidRPr="005548A2">
              <w:rPr>
                <w:sz w:val="20"/>
              </w:rPr>
              <w:tab/>
            </w:r>
            <w:r w:rsidRPr="005548A2">
              <w:rPr>
                <w:i/>
                <w:sz w:val="20"/>
              </w:rPr>
              <w:t>CRR Auction Revenue Distribution for all the QSEs represented by the Counter-Party</w:t>
            </w:r>
            <w:r w:rsidRPr="005548A2">
              <w:rPr>
                <w:sz w:val="20"/>
              </w:rPr>
              <w:t xml:space="preserve"> –</w:t>
            </w:r>
            <w:r w:rsidR="002C3748">
              <w:rPr>
                <w:sz w:val="20"/>
              </w:rPr>
              <w:t xml:space="preserve"> </w:t>
            </w:r>
            <w:r w:rsidRPr="005548A2">
              <w:rPr>
                <w:sz w:val="20"/>
              </w:rPr>
              <w:t xml:space="preserve">Estimate of the Counter-Party’s unpaid allocation of CRR Auction revenues that have already been collected but have not been paid out to all QSEs represented by the Counter-Party. </w:t>
            </w:r>
            <w:r w:rsidR="002C3748">
              <w:rPr>
                <w:sz w:val="20"/>
              </w:rPr>
              <w:t xml:space="preserve"> </w:t>
            </w:r>
            <w:r w:rsidRPr="005548A2">
              <w:rPr>
                <w:sz w:val="20"/>
              </w:rPr>
              <w:t>CRR Auction revenues that have been earned but not billed are distributed based on the following Load Ratio Shares (LRS</w:t>
            </w:r>
            <w:r w:rsidR="0058051D">
              <w:rPr>
                <w:sz w:val="20"/>
              </w:rPr>
              <w:t>s</w:t>
            </w:r>
            <w:r w:rsidRPr="005548A2">
              <w:rPr>
                <w:sz w:val="20"/>
              </w:rPr>
              <w:t>): (a) Zonal LRS applied to revenues from CRRs cleared and have source and sink points located within a 2003 ERCOT Congestion Management Zone (CMZ), and (b) ERCOT-wide LRS applied to all other CRR Auction revenues.  The LRS will be based on the latest completed operating month for which LRS are available.</w:t>
            </w:r>
          </w:p>
        </w:tc>
      </w:tr>
      <w:tr w:rsidR="00DF0271" w:rsidRPr="003D0DC1" w14:paraId="2BF5AEF0" w14:textId="77777777" w:rsidTr="0031595F">
        <w:trPr>
          <w:trHeight w:val="350"/>
        </w:trPr>
        <w:tc>
          <w:tcPr>
            <w:tcW w:w="1503" w:type="dxa"/>
          </w:tcPr>
          <w:p w14:paraId="1FB7B120" w14:textId="77777777" w:rsidR="00DF0271" w:rsidRPr="00BE4766" w:rsidRDefault="00DF0271" w:rsidP="0031595F">
            <w:pPr>
              <w:pStyle w:val="TableBody"/>
              <w:tabs>
                <w:tab w:val="right" w:pos="9360"/>
              </w:tabs>
            </w:pPr>
            <w:r w:rsidRPr="00545E0B">
              <w:lastRenderedPageBreak/>
              <w:t>DAL</w:t>
            </w:r>
          </w:p>
        </w:tc>
        <w:tc>
          <w:tcPr>
            <w:tcW w:w="886" w:type="dxa"/>
          </w:tcPr>
          <w:p w14:paraId="6512DE28" w14:textId="77777777" w:rsidR="00DF0271" w:rsidRPr="00BE4766" w:rsidRDefault="00DF0271" w:rsidP="0031595F">
            <w:pPr>
              <w:pStyle w:val="TableBody"/>
              <w:tabs>
                <w:tab w:val="right" w:pos="9360"/>
              </w:tabs>
            </w:pPr>
            <w:r w:rsidRPr="00545E0B">
              <w:t>$</w:t>
            </w:r>
          </w:p>
        </w:tc>
        <w:tc>
          <w:tcPr>
            <w:tcW w:w="6701" w:type="dxa"/>
          </w:tcPr>
          <w:p w14:paraId="1FE193F4" w14:textId="77777777" w:rsidR="00DF0271" w:rsidRPr="004F71C8" w:rsidRDefault="00DF0271" w:rsidP="0031595F">
            <w:pPr>
              <w:pStyle w:val="H8"/>
              <w:keepNext w:val="0"/>
              <w:tabs>
                <w:tab w:val="clear" w:pos="2160"/>
                <w:tab w:val="right" w:pos="9360"/>
              </w:tabs>
              <w:spacing w:before="0" w:after="60"/>
              <w:ind w:left="0" w:firstLine="0"/>
              <w:rPr>
                <w:b w:val="0"/>
                <w:i/>
                <w:sz w:val="20"/>
                <w:szCs w:val="20"/>
              </w:rPr>
            </w:pPr>
            <w:r w:rsidRPr="00545E0B">
              <w:rPr>
                <w:b w:val="0"/>
                <w:i/>
                <w:iCs w:val="0"/>
                <w:sz w:val="20"/>
                <w:szCs w:val="20"/>
              </w:rPr>
              <w:t>Day-Ahead Liability</w:t>
            </w:r>
            <w:r w:rsidRPr="00545E0B">
              <w:rPr>
                <w:b w:val="0"/>
                <w:iCs w:val="0"/>
                <w:sz w:val="20"/>
                <w:szCs w:val="20"/>
              </w:rPr>
              <w:t xml:space="preserve">—The estimated or settled amounts due </w:t>
            </w:r>
            <w:r>
              <w:rPr>
                <w:b w:val="0"/>
                <w:iCs w:val="0"/>
                <w:sz w:val="20"/>
                <w:szCs w:val="20"/>
              </w:rPr>
              <w:t>to or from</w:t>
            </w:r>
            <w:r w:rsidRPr="00545E0B">
              <w:rPr>
                <w:b w:val="0"/>
                <w:iCs w:val="0"/>
                <w:sz w:val="20"/>
                <w:szCs w:val="20"/>
              </w:rPr>
              <w:t xml:space="preserve"> ERCOT due to activities in the DAM for an Operating Day, as defined in </w:t>
            </w:r>
            <w:r>
              <w:rPr>
                <w:b w:val="0"/>
                <w:iCs w:val="0"/>
                <w:sz w:val="20"/>
                <w:szCs w:val="20"/>
              </w:rPr>
              <w:t>S</w:t>
            </w:r>
            <w:r w:rsidRPr="00545E0B">
              <w:rPr>
                <w:b w:val="0"/>
                <w:iCs w:val="0"/>
                <w:sz w:val="20"/>
                <w:szCs w:val="20"/>
              </w:rPr>
              <w:t>ection 16.11.4.3.1</w:t>
            </w:r>
            <w:r>
              <w:rPr>
                <w:b w:val="0"/>
                <w:iCs w:val="0"/>
                <w:sz w:val="20"/>
                <w:szCs w:val="20"/>
              </w:rPr>
              <w:t xml:space="preserve">, </w:t>
            </w:r>
            <w:r w:rsidRPr="000619D0">
              <w:rPr>
                <w:b w:val="0"/>
                <w:iCs w:val="0"/>
                <w:sz w:val="20"/>
                <w:szCs w:val="20"/>
              </w:rPr>
              <w:t>Day-Ahead Liability Estimate</w:t>
            </w:r>
            <w:r w:rsidRPr="00DB2C96">
              <w:rPr>
                <w:b w:val="0"/>
                <w:iCs w:val="0"/>
                <w:sz w:val="20"/>
                <w:szCs w:val="20"/>
              </w:rPr>
              <w:t xml:space="preserve">. </w:t>
            </w:r>
          </w:p>
        </w:tc>
      </w:tr>
      <w:tr w:rsidR="00DF0271" w:rsidRPr="003D0DC1" w14:paraId="55806A34" w14:textId="77777777" w:rsidTr="0031595F">
        <w:trPr>
          <w:trHeight w:val="350"/>
        </w:trPr>
        <w:tc>
          <w:tcPr>
            <w:tcW w:w="1503" w:type="dxa"/>
          </w:tcPr>
          <w:p w14:paraId="0B4508FA" w14:textId="77777777" w:rsidR="00DF0271" w:rsidRPr="0012579B" w:rsidRDefault="00DF0271" w:rsidP="0031595F">
            <w:pPr>
              <w:pStyle w:val="TableBody"/>
              <w:tabs>
                <w:tab w:val="right" w:pos="9360"/>
              </w:tabs>
            </w:pPr>
            <w:r w:rsidRPr="00BE4766">
              <w:t>OUT</w:t>
            </w:r>
            <w:r>
              <w:t xml:space="preserve"> </w:t>
            </w:r>
            <w:r>
              <w:rPr>
                <w:i/>
                <w:vertAlign w:val="subscript"/>
              </w:rPr>
              <w:t>t</w:t>
            </w:r>
          </w:p>
        </w:tc>
        <w:tc>
          <w:tcPr>
            <w:tcW w:w="886" w:type="dxa"/>
          </w:tcPr>
          <w:p w14:paraId="727625D9" w14:textId="77777777" w:rsidR="00DF0271" w:rsidRPr="0012579B" w:rsidRDefault="00DF0271" w:rsidP="0031595F">
            <w:pPr>
              <w:pStyle w:val="TableBody"/>
              <w:tabs>
                <w:tab w:val="right" w:pos="9360"/>
              </w:tabs>
            </w:pPr>
            <w:r w:rsidRPr="00BE4766">
              <w:t>$</w:t>
            </w:r>
          </w:p>
        </w:tc>
        <w:tc>
          <w:tcPr>
            <w:tcW w:w="6701" w:type="dxa"/>
          </w:tcPr>
          <w:p w14:paraId="3996FD87" w14:textId="77777777" w:rsidR="00DF0271" w:rsidRPr="0085021C" w:rsidRDefault="00DF0271" w:rsidP="0031595F">
            <w:pPr>
              <w:pStyle w:val="H8"/>
              <w:keepNext w:val="0"/>
              <w:tabs>
                <w:tab w:val="clear" w:pos="2160"/>
                <w:tab w:val="right" w:pos="9360"/>
              </w:tabs>
              <w:spacing w:before="0" w:after="60"/>
              <w:ind w:left="0" w:firstLine="0"/>
              <w:rPr>
                <w:b w:val="0"/>
                <w:sz w:val="20"/>
                <w:szCs w:val="20"/>
              </w:rPr>
            </w:pPr>
            <w:r w:rsidRPr="0085021C">
              <w:rPr>
                <w:b w:val="0"/>
                <w:i/>
                <w:sz w:val="20"/>
                <w:szCs w:val="20"/>
              </w:rPr>
              <w:t>Outstanding Unpaid Transactions</w:t>
            </w:r>
            <w:r w:rsidRPr="0085021C">
              <w:rPr>
                <w:b w:val="0"/>
                <w:sz w:val="20"/>
                <w:szCs w:val="20"/>
              </w:rPr>
              <w:t>—Outstanding unpaid transactions for all QSEs represented by the Counter-Party</w:t>
            </w:r>
            <w:r w:rsidRPr="00DB2C96">
              <w:rPr>
                <w:b w:val="0"/>
                <w:sz w:val="20"/>
                <w:szCs w:val="20"/>
              </w:rPr>
              <w:t xml:space="preserve"> if none of the QSEs represented by the Counter-Party represent either Load or generation</w:t>
            </w:r>
            <w:r w:rsidRPr="0085021C">
              <w:rPr>
                <w:b w:val="0"/>
                <w:sz w:val="20"/>
                <w:szCs w:val="20"/>
              </w:rPr>
              <w:t>, which include (a) outstanding Invoices to the Counter-Party; (b) estimated unbilled items to the Counter-Party, to the extent not adequately accommodated in the RTLE calculation (including resettlemen</w:t>
            </w:r>
            <w:r>
              <w:rPr>
                <w:b w:val="0"/>
                <w:sz w:val="20"/>
                <w:szCs w:val="20"/>
              </w:rPr>
              <w:t>ts and other known liabilities)</w:t>
            </w:r>
            <w:r w:rsidRPr="0085021C">
              <w:rPr>
                <w:b w:val="0"/>
                <w:sz w:val="20"/>
                <w:szCs w:val="20"/>
              </w:rPr>
              <w:t>.</w:t>
            </w:r>
          </w:p>
          <w:p w14:paraId="7088FC15" w14:textId="77777777" w:rsidR="00DF0271" w:rsidRDefault="00DF0271" w:rsidP="0031595F">
            <w:pPr>
              <w:pStyle w:val="TableBody"/>
              <w:tabs>
                <w:tab w:val="right" w:pos="9360"/>
              </w:tabs>
            </w:pPr>
          </w:p>
          <w:p w14:paraId="523B9BE0" w14:textId="77777777" w:rsidR="00DF0271" w:rsidRPr="00142152" w:rsidRDefault="00DF0271" w:rsidP="0031595F">
            <w:pPr>
              <w:pStyle w:val="TableBody"/>
              <w:tabs>
                <w:tab w:val="right" w:pos="9360"/>
              </w:tabs>
              <w:ind w:left="522"/>
            </w:pPr>
            <w:r w:rsidRPr="00142152">
              <w:t xml:space="preserve">OUT </w:t>
            </w:r>
            <w:r w:rsidRPr="00142152">
              <w:rPr>
                <w:i/>
                <w:vertAlign w:val="subscript"/>
              </w:rPr>
              <w:t>t</w:t>
            </w:r>
            <w:r w:rsidRPr="00142152">
              <w:t xml:space="preserve"> = OIA </w:t>
            </w:r>
            <w:r w:rsidRPr="00142152">
              <w:rPr>
                <w:i/>
                <w:vertAlign w:val="subscript"/>
              </w:rPr>
              <w:t>t</w:t>
            </w:r>
            <w:r w:rsidRPr="00142152">
              <w:t xml:space="preserve"> + UDAA </w:t>
            </w:r>
            <w:r w:rsidRPr="00142152">
              <w:rPr>
                <w:i/>
                <w:vertAlign w:val="subscript"/>
              </w:rPr>
              <w:t>t</w:t>
            </w:r>
            <w:r w:rsidRPr="00142152">
              <w:t xml:space="preserve"> + UFA </w:t>
            </w:r>
            <w:r w:rsidRPr="00142152">
              <w:rPr>
                <w:i/>
                <w:vertAlign w:val="subscript"/>
              </w:rPr>
              <w:t>t</w:t>
            </w:r>
            <w:r w:rsidRPr="00142152">
              <w:t xml:space="preserve"> + UTA </w:t>
            </w:r>
            <w:r w:rsidRPr="00142152">
              <w:rPr>
                <w:i/>
                <w:vertAlign w:val="subscript"/>
              </w:rPr>
              <w:t>t</w:t>
            </w:r>
          </w:p>
          <w:p w14:paraId="53D7D018" w14:textId="77777777" w:rsidR="00DF0271" w:rsidRPr="00142152" w:rsidRDefault="00DF0271" w:rsidP="0031595F">
            <w:pPr>
              <w:pStyle w:val="TableBody"/>
              <w:tabs>
                <w:tab w:val="right" w:pos="9360"/>
              </w:tabs>
            </w:pPr>
          </w:p>
          <w:p w14:paraId="1956FBE4" w14:textId="77777777" w:rsidR="00DF0271" w:rsidRDefault="00DF0271" w:rsidP="0031595F">
            <w:pPr>
              <w:pStyle w:val="TableBody"/>
              <w:tabs>
                <w:tab w:val="right" w:pos="9360"/>
              </w:tabs>
            </w:pPr>
            <w:r>
              <w:t>Where:</w:t>
            </w:r>
          </w:p>
          <w:p w14:paraId="390A2522" w14:textId="77777777" w:rsidR="00DF0271" w:rsidRPr="00C21ED2" w:rsidRDefault="00DF0271" w:rsidP="0031595F">
            <w:pPr>
              <w:pStyle w:val="TableBody"/>
              <w:tabs>
                <w:tab w:val="right" w:pos="9360"/>
              </w:tabs>
              <w:spacing w:after="0"/>
            </w:pPr>
          </w:p>
          <w:p w14:paraId="553F51E2" w14:textId="77777777" w:rsidR="00DF0271" w:rsidRPr="00300257" w:rsidRDefault="00DF0271" w:rsidP="0031595F">
            <w:pPr>
              <w:spacing w:after="60"/>
              <w:ind w:left="1958" w:hanging="1440"/>
              <w:rPr>
                <w:sz w:val="20"/>
              </w:rPr>
            </w:pPr>
            <w:r w:rsidRPr="00300257">
              <w:rPr>
                <w:sz w:val="20"/>
              </w:rPr>
              <w:lastRenderedPageBreak/>
              <w:t>OIA</w:t>
            </w:r>
            <w:r>
              <w:t xml:space="preserve"> </w:t>
            </w:r>
            <w:r>
              <w:rPr>
                <w:i/>
                <w:vertAlign w:val="subscript"/>
              </w:rPr>
              <w:t>t</w:t>
            </w:r>
            <w:r w:rsidRPr="00300257">
              <w:rPr>
                <w:sz w:val="20"/>
              </w:rPr>
              <w:t xml:space="preserve"> </w:t>
            </w:r>
            <w:r>
              <w:rPr>
                <w:sz w:val="20"/>
              </w:rPr>
              <w:t>=</w:t>
            </w:r>
            <w:r>
              <w:rPr>
                <w:sz w:val="20"/>
              </w:rPr>
              <w:tab/>
            </w:r>
            <w:r w:rsidRPr="00300257">
              <w:rPr>
                <w:i/>
                <w:sz w:val="20"/>
              </w:rPr>
              <w:t>Outstanding Invoice Amounts</w:t>
            </w:r>
            <w:r>
              <w:rPr>
                <w:i/>
                <w:sz w:val="20"/>
              </w:rPr>
              <w:t xml:space="preserve"> for all the QSEs represented by the Counter-Party </w:t>
            </w:r>
            <w:r w:rsidRPr="00545E0B">
              <w:rPr>
                <w:i/>
                <w:sz w:val="20"/>
              </w:rPr>
              <w:t>if none of the QSEs represented by the Counter-Party represent either Load or generation</w:t>
            </w:r>
            <w:r>
              <w:rPr>
                <w:sz w:val="20"/>
              </w:rPr>
              <w:t xml:space="preserve"> </w:t>
            </w:r>
            <w:r w:rsidRPr="00300257">
              <w:rPr>
                <w:sz w:val="20"/>
              </w:rPr>
              <w:t xml:space="preserve">– Sum of any outstanding Real-Time and Day-Ahead unpaid </w:t>
            </w:r>
            <w:r>
              <w:rPr>
                <w:sz w:val="20"/>
              </w:rPr>
              <w:t>I</w:t>
            </w:r>
            <w:r w:rsidRPr="00300257">
              <w:rPr>
                <w:sz w:val="20"/>
              </w:rPr>
              <w:t>nvoices issued to the Counter-Party</w:t>
            </w:r>
            <w:r>
              <w:rPr>
                <w:sz w:val="20"/>
              </w:rPr>
              <w:t xml:space="preserve">, </w:t>
            </w:r>
            <w:r w:rsidRPr="00300257">
              <w:rPr>
                <w:sz w:val="20"/>
              </w:rPr>
              <w:t xml:space="preserve"> including but not limited to CRR Balancing Account </w:t>
            </w:r>
            <w:r>
              <w:rPr>
                <w:sz w:val="20"/>
              </w:rPr>
              <w:t>I</w:t>
            </w:r>
            <w:r w:rsidRPr="00300257">
              <w:rPr>
                <w:sz w:val="20"/>
              </w:rPr>
              <w:t xml:space="preserve">nvoices, Default Uplift </w:t>
            </w:r>
            <w:r>
              <w:rPr>
                <w:sz w:val="20"/>
              </w:rPr>
              <w:t>I</w:t>
            </w:r>
            <w:r w:rsidRPr="00300257">
              <w:rPr>
                <w:sz w:val="20"/>
              </w:rPr>
              <w:t xml:space="preserve">nvoices and other miscellaneous </w:t>
            </w:r>
            <w:r>
              <w:rPr>
                <w:sz w:val="20"/>
              </w:rPr>
              <w:t>I</w:t>
            </w:r>
            <w:r w:rsidRPr="00300257">
              <w:rPr>
                <w:sz w:val="20"/>
              </w:rPr>
              <w:t>nvoices.  Also included are the amounts</w:t>
            </w:r>
            <w:r>
              <w:rPr>
                <w:sz w:val="20"/>
              </w:rPr>
              <w:t xml:space="preserve"> or </w:t>
            </w:r>
            <w:r w:rsidRPr="00300257">
              <w:rPr>
                <w:sz w:val="20"/>
              </w:rPr>
              <w:t>portion</w:t>
            </w:r>
            <w:r>
              <w:rPr>
                <w:sz w:val="20"/>
              </w:rPr>
              <w:t>s</w:t>
            </w:r>
            <w:r w:rsidRPr="00300257">
              <w:rPr>
                <w:sz w:val="20"/>
              </w:rPr>
              <w:t xml:space="preserve"> of invoices due to the Counter-Party that have been short-paid as a result of a Default or non-payment of invoices due to ERCOT by another Counter-Party.</w:t>
            </w:r>
          </w:p>
          <w:p w14:paraId="79351E58" w14:textId="556840AC" w:rsidR="00DF0271" w:rsidRPr="005078C5" w:rsidRDefault="00DF0271" w:rsidP="0031595F">
            <w:pPr>
              <w:pStyle w:val="TableBody"/>
              <w:tabs>
                <w:tab w:val="right" w:pos="9360"/>
              </w:tabs>
              <w:ind w:left="1962" w:hanging="1440"/>
            </w:pPr>
            <w:r w:rsidRPr="00D43459">
              <w:t>UDAA</w:t>
            </w:r>
            <w:r>
              <w:t xml:space="preserve"> </w:t>
            </w:r>
            <w:r>
              <w:rPr>
                <w:i/>
                <w:vertAlign w:val="subscript"/>
              </w:rPr>
              <w:t>t</w:t>
            </w:r>
            <w:r w:rsidRPr="00D43459">
              <w:t xml:space="preserve"> </w:t>
            </w:r>
            <w:r>
              <w:t>=</w:t>
            </w:r>
            <w:r>
              <w:tab/>
            </w:r>
            <w:r w:rsidRPr="00D43459">
              <w:rPr>
                <w:i/>
              </w:rPr>
              <w:t>Unbilled Day-Ahead Amounts</w:t>
            </w:r>
            <w:r>
              <w:rPr>
                <w:i/>
              </w:rPr>
              <w:t xml:space="preserve"> for all the QSEs represented by the Counter-Party </w:t>
            </w:r>
            <w:r w:rsidRPr="0085021C">
              <w:rPr>
                <w:i/>
              </w:rPr>
              <w:t>if none of the QSEs represented by the Counter-Party represent either Load or generation</w:t>
            </w:r>
            <w:r>
              <w:rPr>
                <w:i/>
              </w:rPr>
              <w:t xml:space="preserve"> </w:t>
            </w:r>
            <w:r w:rsidRPr="00D43459">
              <w:t xml:space="preserve">– </w:t>
            </w:r>
            <w:r w:rsidRPr="00AE7F00">
              <w:t>Sum of DAL</w:t>
            </w:r>
            <w:r>
              <w:t xml:space="preserve"> for all the QSEs represented by the Counter-Party </w:t>
            </w:r>
            <w:r w:rsidRPr="00AE7F00">
              <w:t xml:space="preserve">for all Operating Days for which DAM Statement is not </w:t>
            </w:r>
            <w:r w:rsidRPr="00D43459">
              <w:t>generated.</w:t>
            </w:r>
          </w:p>
          <w:p w14:paraId="05DA0E9B" w14:textId="77777777" w:rsidR="00DF0271" w:rsidRDefault="00DF0271" w:rsidP="0031595F">
            <w:pPr>
              <w:pStyle w:val="TableBody"/>
              <w:tabs>
                <w:tab w:val="right" w:pos="9360"/>
              </w:tabs>
              <w:ind w:left="1962" w:hanging="1440"/>
            </w:pPr>
            <w:r w:rsidRPr="005078C5">
              <w:t>UFA</w:t>
            </w:r>
            <w:r>
              <w:t xml:space="preserve"> </w:t>
            </w:r>
            <w:r>
              <w:rPr>
                <w:i/>
                <w:vertAlign w:val="subscript"/>
              </w:rPr>
              <w:t>t</w:t>
            </w:r>
            <w:r w:rsidRPr="005078C5">
              <w:t xml:space="preserve"> </w:t>
            </w:r>
            <w:r>
              <w:t>=</w:t>
            </w:r>
            <w:r>
              <w:tab/>
            </w:r>
            <w:r w:rsidRPr="00300257">
              <w:rPr>
                <w:i/>
              </w:rPr>
              <w:t>Unbilled Final Amounts</w:t>
            </w:r>
            <w:r>
              <w:rPr>
                <w:i/>
              </w:rPr>
              <w:t xml:space="preserve"> for all the QSEs represented by the Counter-Party</w:t>
            </w:r>
            <w:r w:rsidRPr="0085021C">
              <w:rPr>
                <w:i/>
              </w:rPr>
              <w:t xml:space="preserve"> if none of the QSEs represented by the Counter-Party represent either Load or generation</w:t>
            </w:r>
            <w:r w:rsidRPr="00F37A27">
              <w:t xml:space="preserve"> – </w:t>
            </w:r>
            <w:proofErr w:type="spellStart"/>
            <w:r w:rsidRPr="00300257">
              <w:rPr>
                <w:i/>
              </w:rPr>
              <w:t>ufd</w:t>
            </w:r>
            <w:proofErr w:type="spellEnd"/>
            <w:r w:rsidRPr="00BE4766">
              <w:t xml:space="preserve"> multiplied by the sum of the net amount due </w:t>
            </w:r>
            <w:r>
              <w:t xml:space="preserve">to or </w:t>
            </w:r>
            <w:r w:rsidRPr="00BE4766">
              <w:t xml:space="preserve">from ERCOT </w:t>
            </w:r>
            <w:r>
              <w:t xml:space="preserve">for all QSEs represented </w:t>
            </w:r>
            <w:r w:rsidRPr="00BE4766">
              <w:t xml:space="preserve">by the Counter-Party </w:t>
            </w:r>
            <w:r>
              <w:t>for Operating Days for which</w:t>
            </w:r>
            <w:r w:rsidRPr="00BE4766">
              <w:t xml:space="preserve"> </w:t>
            </w:r>
            <w:r>
              <w:t>RTM</w:t>
            </w:r>
            <w:r w:rsidRPr="00BE4766">
              <w:t xml:space="preserve"> </w:t>
            </w:r>
            <w:r>
              <w:t>Final</w:t>
            </w:r>
            <w:r w:rsidRPr="00BE4766">
              <w:t xml:space="preserve"> Statements </w:t>
            </w:r>
            <w:r>
              <w:t xml:space="preserve">were </w:t>
            </w:r>
            <w:r w:rsidRPr="00BE4766">
              <w:t xml:space="preserve">generated in the </w:t>
            </w:r>
            <w:r>
              <w:t>21</w:t>
            </w:r>
            <w:r w:rsidRPr="00BE4766">
              <w:t xml:space="preserve"> most recent calendar days</w:t>
            </w:r>
            <w:r>
              <w:t>,</w:t>
            </w:r>
            <w:r w:rsidRPr="00BE4766">
              <w:t xml:space="preserve"> divided by the number of </w:t>
            </w:r>
            <w:r>
              <w:t xml:space="preserve">Operating Days for which </w:t>
            </w:r>
            <w:r w:rsidRPr="00BE4766">
              <w:t>R</w:t>
            </w:r>
            <w:r>
              <w:t>TM</w:t>
            </w:r>
            <w:r w:rsidRPr="00BE4766">
              <w:t xml:space="preserve"> </w:t>
            </w:r>
            <w:r>
              <w:t>Final</w:t>
            </w:r>
            <w:r w:rsidRPr="00BE4766">
              <w:t xml:space="preserve"> Settlement Statements </w:t>
            </w:r>
            <w:r>
              <w:t xml:space="preserve">were </w:t>
            </w:r>
            <w:r w:rsidRPr="00BE4766">
              <w:t xml:space="preserve">generated for the Counter-Party in the </w:t>
            </w:r>
            <w:r>
              <w:t>21</w:t>
            </w:r>
            <w:r w:rsidRPr="00BE4766">
              <w:t xml:space="preserve"> most recent calendar days.</w:t>
            </w:r>
            <w:r w:rsidRPr="00F37A27">
              <w:t xml:space="preserve">  </w:t>
            </w:r>
          </w:p>
          <w:p w14:paraId="196F14DF" w14:textId="5FA4B36B" w:rsidR="00DF0271" w:rsidRPr="0012579B" w:rsidRDefault="00DF0271" w:rsidP="0031595F">
            <w:pPr>
              <w:pStyle w:val="TableBody"/>
              <w:tabs>
                <w:tab w:val="right" w:pos="9360"/>
              </w:tabs>
              <w:ind w:left="1962" w:hanging="1440"/>
              <w:rPr>
                <w:i/>
                <w:iCs w:val="0"/>
              </w:rPr>
            </w:pPr>
            <w:r w:rsidRPr="00F37A27">
              <w:t>UTA</w:t>
            </w:r>
            <w:r>
              <w:t xml:space="preserve"> </w:t>
            </w:r>
            <w:r>
              <w:rPr>
                <w:i/>
                <w:vertAlign w:val="subscript"/>
              </w:rPr>
              <w:t>t</w:t>
            </w:r>
            <w:r w:rsidRPr="00F37A27">
              <w:t xml:space="preserve"> </w:t>
            </w:r>
            <w:r>
              <w:t>=</w:t>
            </w:r>
            <w:r>
              <w:tab/>
            </w:r>
            <w:r w:rsidRPr="00300257">
              <w:rPr>
                <w:i/>
              </w:rPr>
              <w:t>Unbilled True-Up Amounts</w:t>
            </w:r>
            <w:r>
              <w:rPr>
                <w:i/>
              </w:rPr>
              <w:t xml:space="preserve"> for all the QSEs represented by the Counter-Party</w:t>
            </w:r>
            <w:r w:rsidRPr="0085021C">
              <w:rPr>
                <w:i/>
              </w:rPr>
              <w:t xml:space="preserve"> if none of the QSEs represented by the Counter-Party represent either Load or generation</w:t>
            </w:r>
            <w:r w:rsidRPr="00F37A27">
              <w:t xml:space="preserve"> – </w:t>
            </w:r>
            <w:proofErr w:type="spellStart"/>
            <w:r w:rsidRPr="00300257">
              <w:rPr>
                <w:i/>
              </w:rPr>
              <w:t>u</w:t>
            </w:r>
            <w:r>
              <w:rPr>
                <w:i/>
              </w:rPr>
              <w:t>t</w:t>
            </w:r>
            <w:r w:rsidRPr="00300257">
              <w:rPr>
                <w:i/>
              </w:rPr>
              <w:t>d</w:t>
            </w:r>
            <w:proofErr w:type="spellEnd"/>
            <w:r w:rsidRPr="00BE4766">
              <w:t xml:space="preserve"> multiplied by the sum of the net amount due </w:t>
            </w:r>
            <w:r>
              <w:t xml:space="preserve">to or </w:t>
            </w:r>
            <w:r w:rsidRPr="00BE4766">
              <w:t>from</w:t>
            </w:r>
            <w:r>
              <w:t xml:space="preserve"> </w:t>
            </w:r>
            <w:r w:rsidRPr="00BE4766">
              <w:t xml:space="preserve">ERCOT by the Counter-Party </w:t>
            </w:r>
            <w:r w:rsidRPr="009648F5">
              <w:t>for all the QSEs represented by the Counter-Party</w:t>
            </w:r>
            <w:r>
              <w:t xml:space="preserve"> for Operating Days for which</w:t>
            </w:r>
            <w:r w:rsidRPr="00BE4766">
              <w:t xml:space="preserve"> </w:t>
            </w:r>
            <w:r>
              <w:t>RTM</w:t>
            </w:r>
            <w:r w:rsidRPr="00BE4766">
              <w:t xml:space="preserve"> </w:t>
            </w:r>
            <w:r>
              <w:t>True-</w:t>
            </w:r>
            <w:r w:rsidR="002C3748">
              <w:t>U</w:t>
            </w:r>
            <w:r>
              <w:t>p</w:t>
            </w:r>
            <w:r w:rsidRPr="00BE4766">
              <w:t xml:space="preserve"> Statements </w:t>
            </w:r>
            <w:r>
              <w:t xml:space="preserve">were </w:t>
            </w:r>
            <w:r w:rsidRPr="00BE4766">
              <w:t xml:space="preserve">generated in the </w:t>
            </w:r>
            <w:r>
              <w:t>21</w:t>
            </w:r>
            <w:r w:rsidRPr="00BE4766">
              <w:t xml:space="preserve"> most recent calendar days</w:t>
            </w:r>
            <w:r>
              <w:t>,</w:t>
            </w:r>
            <w:r w:rsidRPr="00BE4766">
              <w:t xml:space="preserve"> divided by the number of </w:t>
            </w:r>
            <w:r>
              <w:t xml:space="preserve">Operating Days for which </w:t>
            </w:r>
            <w:r w:rsidRPr="00BE4766">
              <w:t>R</w:t>
            </w:r>
            <w:r>
              <w:t>TM</w:t>
            </w:r>
            <w:r w:rsidRPr="00BE4766">
              <w:t xml:space="preserve"> </w:t>
            </w:r>
            <w:r>
              <w:t>True-</w:t>
            </w:r>
            <w:r w:rsidR="002C3748">
              <w:t>U</w:t>
            </w:r>
            <w:r>
              <w:t>p</w:t>
            </w:r>
            <w:r w:rsidRPr="00BE4766">
              <w:t xml:space="preserve"> Settlement Statements </w:t>
            </w:r>
            <w:r>
              <w:t xml:space="preserve">were </w:t>
            </w:r>
            <w:r w:rsidRPr="00BE4766">
              <w:t xml:space="preserve">generated for the Counter-Party in the </w:t>
            </w:r>
            <w:r>
              <w:t>21</w:t>
            </w:r>
            <w:r w:rsidRPr="00BE4766">
              <w:t xml:space="preserve"> most recent c</w:t>
            </w:r>
            <w:r>
              <w:t>alendar days</w:t>
            </w:r>
            <w:r w:rsidRPr="00F37A27">
              <w:t xml:space="preserve">.  </w:t>
            </w:r>
          </w:p>
        </w:tc>
      </w:tr>
      <w:tr w:rsidR="00DF0271" w:rsidRPr="003D0DC1" w14:paraId="5ECCD1E0" w14:textId="77777777" w:rsidTr="0031595F">
        <w:trPr>
          <w:trHeight w:val="350"/>
        </w:trPr>
        <w:tc>
          <w:tcPr>
            <w:tcW w:w="1503" w:type="dxa"/>
          </w:tcPr>
          <w:p w14:paraId="3A7739C3" w14:textId="77777777" w:rsidR="00DF0271" w:rsidRPr="004F71C8" w:rsidRDefault="00DF0271" w:rsidP="0031595F">
            <w:pPr>
              <w:pStyle w:val="TableBody"/>
              <w:tabs>
                <w:tab w:val="right" w:pos="9360"/>
              </w:tabs>
            </w:pPr>
            <w:r w:rsidRPr="00BE4766">
              <w:lastRenderedPageBreak/>
              <w:t>OUT</w:t>
            </w:r>
            <w:r>
              <w:t xml:space="preserve"> </w:t>
            </w:r>
            <w:r w:rsidRPr="00545E0B">
              <w:rPr>
                <w:i/>
                <w:vertAlign w:val="subscript"/>
              </w:rPr>
              <w:t>a</w:t>
            </w:r>
          </w:p>
        </w:tc>
        <w:tc>
          <w:tcPr>
            <w:tcW w:w="886" w:type="dxa"/>
          </w:tcPr>
          <w:p w14:paraId="0AEFC4C3" w14:textId="77777777" w:rsidR="00DF0271" w:rsidRPr="004F71C8" w:rsidRDefault="00DF0271" w:rsidP="0031595F">
            <w:pPr>
              <w:pStyle w:val="TableBody"/>
              <w:tabs>
                <w:tab w:val="right" w:pos="9360"/>
              </w:tabs>
            </w:pPr>
            <w:r w:rsidRPr="00BE4766">
              <w:t>$</w:t>
            </w:r>
          </w:p>
        </w:tc>
        <w:tc>
          <w:tcPr>
            <w:tcW w:w="6701" w:type="dxa"/>
          </w:tcPr>
          <w:p w14:paraId="2B5C14EE" w14:textId="77777777" w:rsidR="00DF0271" w:rsidRDefault="00DF0271" w:rsidP="0031595F">
            <w:pPr>
              <w:pStyle w:val="TableBody"/>
              <w:tabs>
                <w:tab w:val="right" w:pos="9360"/>
              </w:tabs>
            </w:pPr>
            <w:r w:rsidRPr="00BE4766">
              <w:rPr>
                <w:i/>
              </w:rPr>
              <w:t>Outstanding Unpaid Transactions</w:t>
            </w:r>
            <w:r>
              <w:rPr>
                <w:i/>
              </w:rPr>
              <w:t xml:space="preserve"> for all CRR Account Holders represented by the Counter-Party</w:t>
            </w:r>
            <w:r w:rsidRPr="00BE4766">
              <w:t xml:space="preserve">—Outstanding, unpaid transactions of </w:t>
            </w:r>
            <w:r>
              <w:t xml:space="preserve">all the CRR Account Holders represented by </w:t>
            </w:r>
            <w:r w:rsidRPr="00BE4766">
              <w:t>the Counter-Party, which include outstanding Invoices to the Counter-Party</w:t>
            </w:r>
            <w:r>
              <w:t>.</w:t>
            </w:r>
            <w:r w:rsidRPr="00BE4766">
              <w:t xml:space="preserve"> </w:t>
            </w:r>
            <w:r>
              <w:t xml:space="preserve"> </w:t>
            </w:r>
            <w:r w:rsidRPr="00BE4766">
              <w:t>Invoices will not be considered outstanding for purposes of this calculation the Business Day after that Invoice payment is received.</w:t>
            </w:r>
            <w:r w:rsidRPr="00C21ED2">
              <w:t xml:space="preserve"> </w:t>
            </w:r>
          </w:p>
          <w:p w14:paraId="069BA8C2" w14:textId="77777777" w:rsidR="00DF0271" w:rsidRDefault="00DF0271" w:rsidP="0031595F">
            <w:pPr>
              <w:pStyle w:val="TableBody"/>
              <w:tabs>
                <w:tab w:val="right" w:pos="9360"/>
              </w:tabs>
            </w:pPr>
          </w:p>
          <w:p w14:paraId="1CA5DA18" w14:textId="77777777" w:rsidR="00DF0271" w:rsidRPr="00C21ED2" w:rsidRDefault="00DF0271" w:rsidP="0031595F">
            <w:pPr>
              <w:pStyle w:val="TableBody"/>
              <w:tabs>
                <w:tab w:val="right" w:pos="9360"/>
              </w:tabs>
              <w:ind w:left="522"/>
            </w:pPr>
            <w:r w:rsidRPr="00C21ED2">
              <w:t>OUT</w:t>
            </w:r>
            <w:r>
              <w:t xml:space="preserve"> </w:t>
            </w:r>
            <w:r w:rsidRPr="00545E0B">
              <w:rPr>
                <w:i/>
                <w:vertAlign w:val="subscript"/>
              </w:rPr>
              <w:t>a</w:t>
            </w:r>
            <w:r w:rsidRPr="00C21ED2">
              <w:t xml:space="preserve"> = OIA</w:t>
            </w:r>
            <w:r>
              <w:t xml:space="preserve"> </w:t>
            </w:r>
            <w:r w:rsidRPr="00545E0B">
              <w:rPr>
                <w:i/>
                <w:vertAlign w:val="subscript"/>
              </w:rPr>
              <w:t>a</w:t>
            </w:r>
            <w:r w:rsidRPr="00C21ED2">
              <w:t xml:space="preserve"> + UDAA</w:t>
            </w:r>
            <w:r>
              <w:t xml:space="preserve"> </w:t>
            </w:r>
            <w:r w:rsidRPr="00545E0B">
              <w:rPr>
                <w:i/>
                <w:vertAlign w:val="subscript"/>
              </w:rPr>
              <w:t>a</w:t>
            </w:r>
            <w:r w:rsidRPr="00C21ED2">
              <w:t xml:space="preserve"> </w:t>
            </w:r>
          </w:p>
          <w:p w14:paraId="21AC865D" w14:textId="77777777" w:rsidR="00DF0271" w:rsidRDefault="00DF0271" w:rsidP="0031595F">
            <w:pPr>
              <w:pStyle w:val="TableBody"/>
              <w:tabs>
                <w:tab w:val="right" w:pos="9360"/>
              </w:tabs>
            </w:pPr>
          </w:p>
          <w:p w14:paraId="72AB67BD" w14:textId="77777777" w:rsidR="00DF0271" w:rsidRPr="00C21ED2" w:rsidRDefault="00DF0271" w:rsidP="0031595F">
            <w:pPr>
              <w:pStyle w:val="TableBody"/>
              <w:tabs>
                <w:tab w:val="right" w:pos="9360"/>
              </w:tabs>
            </w:pPr>
            <w:r>
              <w:t>Where:</w:t>
            </w:r>
          </w:p>
          <w:p w14:paraId="34B7A237" w14:textId="77777777" w:rsidR="00DF0271" w:rsidRDefault="00DF0271" w:rsidP="0031595F">
            <w:pPr>
              <w:rPr>
                <w:sz w:val="20"/>
              </w:rPr>
            </w:pPr>
          </w:p>
          <w:p w14:paraId="03D6E8D5" w14:textId="77777777" w:rsidR="00DF0271" w:rsidRPr="00300257" w:rsidRDefault="00DF0271" w:rsidP="0031595F">
            <w:pPr>
              <w:spacing w:after="60"/>
              <w:ind w:left="1958" w:hanging="1526"/>
              <w:rPr>
                <w:sz w:val="20"/>
              </w:rPr>
            </w:pPr>
            <w:r w:rsidRPr="00300257">
              <w:rPr>
                <w:sz w:val="20"/>
              </w:rPr>
              <w:lastRenderedPageBreak/>
              <w:t>OIA</w:t>
            </w:r>
            <w:r>
              <w:t xml:space="preserve"> </w:t>
            </w:r>
            <w:r w:rsidRPr="00545E0B">
              <w:rPr>
                <w:i/>
                <w:vertAlign w:val="subscript"/>
              </w:rPr>
              <w:t>a</w:t>
            </w:r>
            <w:r w:rsidRPr="00300257">
              <w:rPr>
                <w:sz w:val="20"/>
              </w:rPr>
              <w:t xml:space="preserve"> </w:t>
            </w:r>
            <w:r>
              <w:rPr>
                <w:sz w:val="20"/>
              </w:rPr>
              <w:t>=</w:t>
            </w:r>
            <w:r>
              <w:rPr>
                <w:sz w:val="20"/>
              </w:rPr>
              <w:tab/>
            </w:r>
            <w:r w:rsidRPr="00300257">
              <w:rPr>
                <w:i/>
                <w:sz w:val="20"/>
              </w:rPr>
              <w:t>Outstanding Invoice Amounts</w:t>
            </w:r>
            <w:r>
              <w:rPr>
                <w:i/>
                <w:sz w:val="20"/>
              </w:rPr>
              <w:t xml:space="preserve"> for all the CRR Account Holders represented by the Counter-Party</w:t>
            </w:r>
            <w:r>
              <w:rPr>
                <w:sz w:val="20"/>
              </w:rPr>
              <w:t xml:space="preserve"> </w:t>
            </w:r>
            <w:r w:rsidRPr="00300257">
              <w:rPr>
                <w:sz w:val="20"/>
              </w:rPr>
              <w:t xml:space="preserve">– Sum of any outstanding Real-Time and Day-Ahead unpaid </w:t>
            </w:r>
            <w:r>
              <w:rPr>
                <w:sz w:val="20"/>
              </w:rPr>
              <w:t>I</w:t>
            </w:r>
            <w:r w:rsidRPr="00300257">
              <w:rPr>
                <w:sz w:val="20"/>
              </w:rPr>
              <w:t xml:space="preserve">nvoices issued to the Counter-Party including but not limited to CRR Balancing Account </w:t>
            </w:r>
            <w:r>
              <w:rPr>
                <w:sz w:val="20"/>
              </w:rPr>
              <w:t>I</w:t>
            </w:r>
            <w:r w:rsidRPr="00300257">
              <w:rPr>
                <w:sz w:val="20"/>
              </w:rPr>
              <w:t xml:space="preserve">nvoices, Default Uplift </w:t>
            </w:r>
            <w:r>
              <w:rPr>
                <w:sz w:val="20"/>
              </w:rPr>
              <w:t>I</w:t>
            </w:r>
            <w:r w:rsidRPr="00300257">
              <w:rPr>
                <w:sz w:val="20"/>
              </w:rPr>
              <w:t xml:space="preserve">nvoices and other miscellaneous </w:t>
            </w:r>
            <w:r>
              <w:rPr>
                <w:sz w:val="20"/>
              </w:rPr>
              <w:t>I</w:t>
            </w:r>
            <w:r w:rsidRPr="00300257">
              <w:rPr>
                <w:sz w:val="20"/>
              </w:rPr>
              <w:t>nvoices.</w:t>
            </w:r>
            <w:r>
              <w:rPr>
                <w:sz w:val="20"/>
              </w:rPr>
              <w:t xml:space="preserve">  Also included are the amounts or </w:t>
            </w:r>
            <w:r w:rsidRPr="00300257">
              <w:rPr>
                <w:sz w:val="20"/>
              </w:rPr>
              <w:t>portion</w:t>
            </w:r>
            <w:r>
              <w:rPr>
                <w:sz w:val="20"/>
              </w:rPr>
              <w:t>s</w:t>
            </w:r>
            <w:r w:rsidRPr="00300257">
              <w:rPr>
                <w:sz w:val="20"/>
              </w:rPr>
              <w:t xml:space="preserve"> of </w:t>
            </w:r>
            <w:r>
              <w:rPr>
                <w:sz w:val="20"/>
              </w:rPr>
              <w:t>I</w:t>
            </w:r>
            <w:r w:rsidRPr="00300257">
              <w:rPr>
                <w:sz w:val="20"/>
              </w:rPr>
              <w:t xml:space="preserve">nvoices due to the Counter-Party that have been short-paid as a result of a </w:t>
            </w:r>
            <w:r>
              <w:rPr>
                <w:sz w:val="20"/>
              </w:rPr>
              <w:t>d</w:t>
            </w:r>
            <w:r w:rsidRPr="00300257">
              <w:rPr>
                <w:sz w:val="20"/>
              </w:rPr>
              <w:t xml:space="preserve">efault or non-payment of </w:t>
            </w:r>
            <w:r>
              <w:rPr>
                <w:sz w:val="20"/>
              </w:rPr>
              <w:t>I</w:t>
            </w:r>
            <w:r w:rsidRPr="00300257">
              <w:rPr>
                <w:sz w:val="20"/>
              </w:rPr>
              <w:t>nvoices due to ERCOT by another Counter-Party.</w:t>
            </w:r>
          </w:p>
          <w:p w14:paraId="66AEE67A" w14:textId="0EE6DD63" w:rsidR="00DF0271" w:rsidRPr="004F71C8" w:rsidRDefault="00DF0271" w:rsidP="0031595F">
            <w:pPr>
              <w:pStyle w:val="TableBody"/>
              <w:tabs>
                <w:tab w:val="right" w:pos="9360"/>
              </w:tabs>
              <w:ind w:left="1962" w:hanging="1530"/>
              <w:rPr>
                <w:i/>
                <w:iCs w:val="0"/>
              </w:rPr>
            </w:pPr>
            <w:r w:rsidRPr="00D43459">
              <w:t>UDAA</w:t>
            </w:r>
            <w:r>
              <w:t xml:space="preserve"> </w:t>
            </w:r>
            <w:r w:rsidRPr="00545E0B">
              <w:rPr>
                <w:i/>
                <w:vertAlign w:val="subscript"/>
              </w:rPr>
              <w:t>a</w:t>
            </w:r>
            <w:r w:rsidRPr="00D43459">
              <w:t xml:space="preserve"> </w:t>
            </w:r>
            <w:r>
              <w:t>=</w:t>
            </w:r>
            <w:r>
              <w:tab/>
            </w:r>
            <w:r w:rsidRPr="00D43459">
              <w:rPr>
                <w:i/>
              </w:rPr>
              <w:t>Unbilled Day-Ahead Amounts</w:t>
            </w:r>
            <w:r>
              <w:rPr>
                <w:i/>
              </w:rPr>
              <w:t xml:space="preserve"> for all the CRR Account Holders represented by the Counter-Party </w:t>
            </w:r>
            <w:r w:rsidRPr="00D43459">
              <w:t xml:space="preserve">– </w:t>
            </w:r>
            <w:r w:rsidRPr="005B1A72">
              <w:t>Sum of DAL</w:t>
            </w:r>
            <w:r>
              <w:t xml:space="preserve"> of all the CRR Account Holders represented by the Counter-Party </w:t>
            </w:r>
            <w:r w:rsidRPr="005B1A72">
              <w:t xml:space="preserve">for all Operating Days for which DAM Statement is not </w:t>
            </w:r>
            <w:r w:rsidRPr="00D43459">
              <w:t>generated.</w:t>
            </w:r>
          </w:p>
        </w:tc>
      </w:tr>
      <w:tr w:rsidR="00DF0271" w:rsidRPr="007F29AF" w14:paraId="78AE1329" w14:textId="77777777" w:rsidTr="0031595F">
        <w:tblPrEx>
          <w:tblLook w:val="01E0" w:firstRow="1" w:lastRow="1" w:firstColumn="1" w:lastColumn="1" w:noHBand="0" w:noVBand="0"/>
        </w:tblPrEx>
        <w:trPr>
          <w:trHeight w:val="260"/>
        </w:trPr>
        <w:tc>
          <w:tcPr>
            <w:tcW w:w="1503" w:type="dxa"/>
            <w:tcBorders>
              <w:top w:val="single" w:sz="4" w:space="0" w:color="auto"/>
              <w:left w:val="single" w:sz="4" w:space="0" w:color="auto"/>
              <w:bottom w:val="single" w:sz="4" w:space="0" w:color="auto"/>
              <w:right w:val="single" w:sz="4" w:space="0" w:color="auto"/>
            </w:tcBorders>
          </w:tcPr>
          <w:p w14:paraId="729C6C5E" w14:textId="77777777" w:rsidR="00DF0271" w:rsidRPr="00BE4766" w:rsidRDefault="00DF0271" w:rsidP="0031595F">
            <w:pPr>
              <w:pStyle w:val="TableBody"/>
              <w:tabs>
                <w:tab w:val="right" w:pos="9360"/>
              </w:tabs>
            </w:pPr>
            <w:r>
              <w:lastRenderedPageBreak/>
              <w:t>ILE</w:t>
            </w:r>
            <w:r w:rsidRPr="00B3490C">
              <w:rPr>
                <w:b/>
                <w:vertAlign w:val="subscript"/>
              </w:rPr>
              <w:t xml:space="preserve"> </w:t>
            </w:r>
            <w:r w:rsidRPr="00D36347">
              <w:rPr>
                <w:b/>
                <w:i/>
                <w:vertAlign w:val="subscript"/>
              </w:rPr>
              <w:t>q</w:t>
            </w:r>
          </w:p>
        </w:tc>
        <w:tc>
          <w:tcPr>
            <w:tcW w:w="886" w:type="dxa"/>
            <w:tcBorders>
              <w:top w:val="single" w:sz="4" w:space="0" w:color="auto"/>
              <w:left w:val="single" w:sz="4" w:space="0" w:color="auto"/>
              <w:bottom w:val="single" w:sz="4" w:space="0" w:color="auto"/>
              <w:right w:val="single" w:sz="4" w:space="0" w:color="auto"/>
            </w:tcBorders>
          </w:tcPr>
          <w:p w14:paraId="75F644DC" w14:textId="77777777" w:rsidR="00DF0271" w:rsidRPr="00BE4766" w:rsidRDefault="00DF0271" w:rsidP="0031595F">
            <w:pPr>
              <w:pStyle w:val="TableBody"/>
              <w:tabs>
                <w:tab w:val="right" w:pos="9360"/>
              </w:tabs>
            </w:pPr>
            <w:r>
              <w:t>$</w:t>
            </w:r>
          </w:p>
        </w:tc>
        <w:tc>
          <w:tcPr>
            <w:tcW w:w="6701" w:type="dxa"/>
            <w:tcBorders>
              <w:top w:val="single" w:sz="4" w:space="0" w:color="auto"/>
              <w:left w:val="single" w:sz="4" w:space="0" w:color="auto"/>
              <w:bottom w:val="single" w:sz="4" w:space="0" w:color="auto"/>
              <w:right w:val="single" w:sz="4" w:space="0" w:color="auto"/>
            </w:tcBorders>
          </w:tcPr>
          <w:p w14:paraId="03BCAFBA" w14:textId="49C7E6AC" w:rsidR="00DF0271" w:rsidRPr="00BE4766" w:rsidRDefault="00DF0271" w:rsidP="0031595F">
            <w:pPr>
              <w:pStyle w:val="TableBody"/>
              <w:rPr>
                <w:i/>
              </w:rPr>
            </w:pPr>
            <w:r>
              <w:rPr>
                <w:i/>
              </w:rPr>
              <w:t>Incremental Load Exposure</w:t>
            </w:r>
            <w:r w:rsidR="00DE5100" w:rsidRPr="00BE4766">
              <w:t>—</w:t>
            </w:r>
            <w:r>
              <w:t xml:space="preserve">In the event of a Mass Transition necessitated by the default of a Counter-Party representing a QSE associated with an LSE, ERCOT may adjust the TPE of the Counter-Parties representing QSEs that are qualified as Providers of Last Resort (POLRs) to reflect the estimated Incremental Load Exposure (ILE) resulting from the Mass Transition.  The adjustment will be based on the POLR’s </w:t>
            </w:r>
            <w:r>
              <w:rPr>
                <w:i/>
              </w:rPr>
              <w:t>pro rata</w:t>
            </w:r>
            <w:r>
              <w:t xml:space="preserve"> share of the defaulting Counter-Party’s RTLE, based on the total estimated Electric Service Identifiers (ESI IDs) to be transitioned.  ERCOT will communicate any such adjustment to the Authorized Representative of each Counter-Party who is a POLR within 24 hours of the initiation of a Mass Transition.  The ILE adjustment will remain in place no more than the number of days necessary to effect a Mass Transition for the defaulting Counter-Party, after which time the incremental exposure will be fully reflected in the Counter-Party’s unadjusted TPE.  </w:t>
            </w:r>
          </w:p>
        </w:tc>
      </w:tr>
      <w:tr w:rsidR="00DF0271" w:rsidRPr="007F29AF" w14:paraId="75890549" w14:textId="77777777" w:rsidTr="0031595F">
        <w:tblPrEx>
          <w:tblLook w:val="01E0" w:firstRow="1" w:lastRow="1" w:firstColumn="1" w:lastColumn="1" w:noHBand="0" w:noVBand="0"/>
        </w:tblPrEx>
        <w:trPr>
          <w:trHeight w:val="260"/>
        </w:trPr>
        <w:tc>
          <w:tcPr>
            <w:tcW w:w="1503" w:type="dxa"/>
            <w:tcBorders>
              <w:top w:val="single" w:sz="4" w:space="0" w:color="auto"/>
              <w:left w:val="single" w:sz="4" w:space="0" w:color="auto"/>
              <w:bottom w:val="single" w:sz="4" w:space="0" w:color="auto"/>
              <w:right w:val="single" w:sz="4" w:space="0" w:color="auto"/>
            </w:tcBorders>
          </w:tcPr>
          <w:p w14:paraId="49220C9F" w14:textId="77777777" w:rsidR="00DF0271" w:rsidRPr="00BE4766" w:rsidRDefault="00DF0271" w:rsidP="0031595F">
            <w:pPr>
              <w:pStyle w:val="TableBody"/>
              <w:tabs>
                <w:tab w:val="right" w:pos="9360"/>
              </w:tabs>
              <w:rPr>
                <w:noProof/>
              </w:rPr>
            </w:pPr>
            <w:r w:rsidRPr="00BE4766">
              <w:t>DALE</w:t>
            </w:r>
          </w:p>
        </w:tc>
        <w:tc>
          <w:tcPr>
            <w:tcW w:w="886" w:type="dxa"/>
            <w:tcBorders>
              <w:top w:val="single" w:sz="4" w:space="0" w:color="auto"/>
              <w:left w:val="single" w:sz="4" w:space="0" w:color="auto"/>
              <w:bottom w:val="single" w:sz="4" w:space="0" w:color="auto"/>
              <w:right w:val="single" w:sz="4" w:space="0" w:color="auto"/>
            </w:tcBorders>
          </w:tcPr>
          <w:p w14:paraId="3A4B0C00" w14:textId="77777777" w:rsidR="00DF0271" w:rsidRPr="00BE4766" w:rsidRDefault="00DF0271" w:rsidP="0031595F">
            <w:pPr>
              <w:pStyle w:val="TableBody"/>
              <w:tabs>
                <w:tab w:val="right" w:pos="9360"/>
              </w:tabs>
              <w:rPr>
                <w:noProof/>
              </w:rPr>
            </w:pPr>
            <w:r w:rsidRPr="00BE4766">
              <w:t>$</w:t>
            </w:r>
          </w:p>
        </w:tc>
        <w:tc>
          <w:tcPr>
            <w:tcW w:w="6701" w:type="dxa"/>
            <w:tcBorders>
              <w:top w:val="single" w:sz="4" w:space="0" w:color="auto"/>
              <w:left w:val="single" w:sz="4" w:space="0" w:color="auto"/>
              <w:bottom w:val="single" w:sz="4" w:space="0" w:color="auto"/>
              <w:right w:val="single" w:sz="4" w:space="0" w:color="auto"/>
            </w:tcBorders>
          </w:tcPr>
          <w:p w14:paraId="6C18267A" w14:textId="77777777" w:rsidR="00DF0271" w:rsidRPr="00C42795" w:rsidRDefault="00DF0271" w:rsidP="0031595F">
            <w:pPr>
              <w:pStyle w:val="TableBody"/>
            </w:pPr>
            <w:r w:rsidRPr="00BE4766">
              <w:rPr>
                <w:i/>
              </w:rPr>
              <w:t>Average Daily Day</w:t>
            </w:r>
            <w:r>
              <w:rPr>
                <w:i/>
              </w:rPr>
              <w:t>-</w:t>
            </w:r>
            <w:r w:rsidRPr="00BE4766">
              <w:rPr>
                <w:i/>
              </w:rPr>
              <w:t>Ahead Liability Extrapolated</w:t>
            </w:r>
            <w:r w:rsidRPr="00BE4766">
              <w:t>—M1</w:t>
            </w:r>
            <w:r>
              <w:t xml:space="preserve"> </w:t>
            </w:r>
            <w:r w:rsidRPr="00BE4766">
              <w:t>multiplied by the sum of the net amount</w:t>
            </w:r>
            <w:r>
              <w:t>,</w:t>
            </w:r>
            <w:r w:rsidRPr="00BE4766">
              <w:t xml:space="preserve"> </w:t>
            </w:r>
            <w:r>
              <w:t>with zero substituted for missing values,</w:t>
            </w:r>
            <w:r w:rsidRPr="00BE4766">
              <w:t xml:space="preserve"> due to or from ERCOT by the Counter-Party </w:t>
            </w:r>
            <w:r>
              <w:t>in the seven most recent Operating Days for which</w:t>
            </w:r>
            <w:r w:rsidRPr="00BE4766">
              <w:t xml:space="preserve"> DAM Settlement Statements</w:t>
            </w:r>
            <w:r>
              <w:t xml:space="preserve"> are produced for Counter-Parties according to the ERCOT Settlement Calendar</w:t>
            </w:r>
            <w:r w:rsidRPr="00BE4766">
              <w:t xml:space="preserve"> divided by seven.</w:t>
            </w:r>
          </w:p>
        </w:tc>
      </w:tr>
      <w:tr w:rsidR="00DF0271" w:rsidRPr="007F29AF" w14:paraId="07A1E107" w14:textId="77777777" w:rsidTr="0031595F">
        <w:tblPrEx>
          <w:tblLook w:val="01E0" w:firstRow="1" w:lastRow="1" w:firstColumn="1" w:lastColumn="1" w:noHBand="0" w:noVBand="0"/>
        </w:tblPrEx>
        <w:trPr>
          <w:trHeight w:val="260"/>
        </w:trPr>
        <w:tc>
          <w:tcPr>
            <w:tcW w:w="1503" w:type="dxa"/>
            <w:tcBorders>
              <w:top w:val="single" w:sz="4" w:space="0" w:color="auto"/>
              <w:left w:val="single" w:sz="4" w:space="0" w:color="auto"/>
              <w:bottom w:val="single" w:sz="4" w:space="0" w:color="auto"/>
              <w:right w:val="single" w:sz="4" w:space="0" w:color="auto"/>
            </w:tcBorders>
          </w:tcPr>
          <w:p w14:paraId="249CC22C" w14:textId="77777777" w:rsidR="00DF0271" w:rsidRPr="00BE4766" w:rsidRDefault="00DF0271" w:rsidP="0031595F">
            <w:pPr>
              <w:pStyle w:val="TableBody"/>
              <w:tabs>
                <w:tab w:val="right" w:pos="9360"/>
              </w:tabs>
            </w:pPr>
            <w:r>
              <w:t>M1</w:t>
            </w:r>
          </w:p>
        </w:tc>
        <w:tc>
          <w:tcPr>
            <w:tcW w:w="886" w:type="dxa"/>
            <w:tcBorders>
              <w:top w:val="single" w:sz="4" w:space="0" w:color="auto"/>
              <w:left w:val="single" w:sz="4" w:space="0" w:color="auto"/>
              <w:bottom w:val="single" w:sz="4" w:space="0" w:color="auto"/>
              <w:right w:val="single" w:sz="4" w:space="0" w:color="auto"/>
            </w:tcBorders>
          </w:tcPr>
          <w:p w14:paraId="2CD1E72E" w14:textId="77777777" w:rsidR="00DF0271" w:rsidRPr="00BE4766" w:rsidRDefault="00DF0271" w:rsidP="0031595F">
            <w:pPr>
              <w:pStyle w:val="TableBody"/>
              <w:tabs>
                <w:tab w:val="right" w:pos="9360"/>
              </w:tabs>
            </w:pPr>
          </w:p>
        </w:tc>
        <w:tc>
          <w:tcPr>
            <w:tcW w:w="6701" w:type="dxa"/>
            <w:tcBorders>
              <w:top w:val="single" w:sz="4" w:space="0" w:color="auto"/>
              <w:left w:val="single" w:sz="4" w:space="0" w:color="auto"/>
              <w:bottom w:val="single" w:sz="4" w:space="0" w:color="auto"/>
              <w:right w:val="single" w:sz="4" w:space="0" w:color="auto"/>
            </w:tcBorders>
          </w:tcPr>
          <w:p w14:paraId="124CB7A1" w14:textId="77777777" w:rsidR="005C04D0" w:rsidRDefault="005C04D0" w:rsidP="005C04D0">
            <w:pPr>
              <w:pStyle w:val="TableBody"/>
              <w:ind w:left="23"/>
            </w:pPr>
            <w:r>
              <w:t xml:space="preserve">M1 = M1a + M1b—Multiplier for DALE and RTLE.  Provides for forward risk during a Counter-Party termination upon default based upon the sum of the time period required for any termination upon default (M1a) and the time period required for a Mass Transition only (M1b).  The M1a component is applicable to all Counter-Parties.  The M1b component is applicable only to Counter-Parties </w:t>
            </w:r>
            <w:r w:rsidRPr="00A0266F">
              <w:t>representing any QSE associated with a L</w:t>
            </w:r>
            <w:r w:rsidRPr="004F253C">
              <w:t>SE</w:t>
            </w:r>
            <w:r w:rsidRPr="00A0266F">
              <w:t>.</w:t>
            </w:r>
          </w:p>
          <w:p w14:paraId="242D4470" w14:textId="77777777" w:rsidR="005C04D0" w:rsidRDefault="005C04D0" w:rsidP="005C04D0">
            <w:pPr>
              <w:pStyle w:val="TableBody"/>
              <w:ind w:left="1823" w:hanging="1440"/>
            </w:pPr>
          </w:p>
          <w:p w14:paraId="77A74D92" w14:textId="77777777" w:rsidR="005C04D0" w:rsidRDefault="005C04D0" w:rsidP="005C04D0">
            <w:pPr>
              <w:pStyle w:val="TableBody"/>
              <w:ind w:left="1823" w:hanging="1440"/>
            </w:pPr>
            <w:r>
              <w:t xml:space="preserve">M1a </w:t>
            </w:r>
            <w:r w:rsidRPr="000769A3">
              <w:t>=</w:t>
            </w:r>
            <w:r>
              <w:t xml:space="preserve">    </w:t>
            </w:r>
            <w:r>
              <w:tab/>
              <w:t>Time period required for any termination from an Operating Day</w:t>
            </w:r>
            <w:r w:rsidRPr="00DD32A5">
              <w:t>.</w:t>
            </w:r>
            <w:r>
              <w:t xml:space="preserve">  </w:t>
            </w:r>
          </w:p>
          <w:p w14:paraId="6857CA2B" w14:textId="77777777" w:rsidR="005C04D0" w:rsidRDefault="005C04D0" w:rsidP="005C04D0">
            <w:pPr>
              <w:pStyle w:val="TableBody"/>
              <w:ind w:left="1823" w:hanging="1440"/>
            </w:pPr>
            <w:r>
              <w:tab/>
              <w:t>M1a is comprised of a fixed value (</w:t>
            </w:r>
            <w:r w:rsidRPr="005F054B">
              <w:rPr>
                <w:i/>
              </w:rPr>
              <w:t>M1d</w:t>
            </w:r>
            <w:r>
              <w:t xml:space="preserve">), representing days from issuance of a collateral call to termination, and a calendar day-specific variable value.  For any Operating Day, M1a is equal to the total number of forward calendar days encompassed by starting on the Operating Day, including </w:t>
            </w:r>
            <w:r w:rsidRPr="005F054B">
              <w:rPr>
                <w:i/>
              </w:rPr>
              <w:t>M1d</w:t>
            </w:r>
            <w:r>
              <w:t xml:space="preserve"> Bank Business Days forward, and adding any ERCOT holidays that are also Bank Business Days.</w:t>
            </w:r>
          </w:p>
          <w:p w14:paraId="0AF3BA0D" w14:textId="77777777" w:rsidR="005C04D0" w:rsidRDefault="005C04D0" w:rsidP="005C04D0">
            <w:pPr>
              <w:pStyle w:val="TableBody"/>
              <w:spacing w:before="120"/>
              <w:ind w:left="1823" w:hanging="1440"/>
            </w:pPr>
            <w:r>
              <w:t>M1b =</w:t>
            </w:r>
            <w:r>
              <w:tab/>
              <w:t>Weighted average transition days = Min(B</w:t>
            </w:r>
            <w:r w:rsidRPr="00ED17A2">
              <w:t>,</w:t>
            </w:r>
            <w:r w:rsidRPr="0045269D">
              <w:t xml:space="preserve"> (2 + Max(1, (u+1)/2))*(</w:t>
            </w:r>
            <w:r>
              <w:t xml:space="preserve">1-DF)), </w:t>
            </w:r>
            <w:r w:rsidRPr="00A0266F">
              <w:t>rounded up to whole days</w:t>
            </w:r>
            <w:r>
              <w:t xml:space="preserve"> </w:t>
            </w:r>
          </w:p>
          <w:p w14:paraId="433543D0" w14:textId="77777777" w:rsidR="005C04D0" w:rsidRDefault="005C04D0" w:rsidP="005C04D0">
            <w:pPr>
              <w:pStyle w:val="TableBody"/>
              <w:ind w:left="1823" w:hanging="1440"/>
            </w:pPr>
            <w:r>
              <w:lastRenderedPageBreak/>
              <w:t xml:space="preserve">Where: </w:t>
            </w:r>
            <w:r>
              <w:tab/>
            </w:r>
          </w:p>
          <w:p w14:paraId="6D775A27" w14:textId="77777777" w:rsidR="005C04D0" w:rsidRDefault="005C04D0" w:rsidP="005C04D0">
            <w:pPr>
              <w:pStyle w:val="TableBody"/>
              <w:ind w:left="1823" w:hanging="1440"/>
            </w:pPr>
            <w:r>
              <w:t xml:space="preserve">u = </w:t>
            </w:r>
            <w:r>
              <w:tab/>
              <w:t>(</w:t>
            </w:r>
            <w:proofErr w:type="spellStart"/>
            <w:r>
              <w:t>ESIn</w:t>
            </w:r>
            <w:proofErr w:type="spellEnd"/>
            <w:r>
              <w:t xml:space="preserve">/r) Unscaled number of days to transition.  </w:t>
            </w:r>
          </w:p>
          <w:p w14:paraId="16CA70F9" w14:textId="77777777" w:rsidR="005C04D0" w:rsidRDefault="005C04D0" w:rsidP="005C04D0">
            <w:pPr>
              <w:pStyle w:val="TableBody"/>
              <w:ind w:left="1823" w:hanging="1440"/>
            </w:pPr>
            <w:r>
              <w:t>B =</w:t>
            </w:r>
            <w:r>
              <w:tab/>
            </w:r>
            <w:r w:rsidRPr="009648F5">
              <w:t>Benchmark value</w:t>
            </w:r>
            <w:r w:rsidRPr="00275EFD">
              <w:t>.</w:t>
            </w:r>
            <w:r>
              <w:t xml:space="preserve">  Used to establish a maximum M1 value</w:t>
            </w:r>
            <w:r w:rsidRPr="00DD32A5">
              <w:t>.</w:t>
            </w:r>
          </w:p>
          <w:p w14:paraId="6F5CBC06" w14:textId="77777777" w:rsidR="005C04D0" w:rsidRDefault="005C04D0" w:rsidP="005C04D0">
            <w:pPr>
              <w:pStyle w:val="TableBody"/>
              <w:ind w:left="1823" w:hanging="1440"/>
            </w:pPr>
            <w:proofErr w:type="spellStart"/>
            <w:r>
              <w:t>ESIn</w:t>
            </w:r>
            <w:proofErr w:type="spellEnd"/>
            <w:r>
              <w:t xml:space="preserve"> =</w:t>
            </w:r>
            <w:r>
              <w:tab/>
              <w:t>Number of ESI IDs associated with an individual Counter-Party.  This value will be updated no less often than annually by ERCOT and updated values communicated to individual Counter-Parties.  Counter-Parties entering the market will provide an estimated number of ESI IDs for use during their first six months of market activity.  Subsequent to this time, the value for that Counter-Party shall be updated by ERCOT concurrently with other Counter-Parties with QSEs representing an LSE.</w:t>
            </w:r>
          </w:p>
          <w:p w14:paraId="53A61B87" w14:textId="77777777" w:rsidR="005C04D0" w:rsidRDefault="005C04D0" w:rsidP="005C04D0">
            <w:pPr>
              <w:pStyle w:val="TableBody"/>
              <w:ind w:left="1823" w:hanging="1440"/>
            </w:pPr>
            <w:r>
              <w:t>r =</w:t>
            </w:r>
            <w:r>
              <w:tab/>
              <w:t>Assumed ESI ID daily transition rate.</w:t>
            </w:r>
          </w:p>
          <w:p w14:paraId="3183DE5F" w14:textId="77777777" w:rsidR="005C04D0" w:rsidRDefault="005C04D0" w:rsidP="005C04D0">
            <w:pPr>
              <w:pStyle w:val="TableBody"/>
              <w:ind w:left="1823" w:hanging="1440"/>
            </w:pPr>
            <w:r w:rsidRPr="00736A49">
              <w:t>DF =</w:t>
            </w:r>
            <w:r w:rsidRPr="00736A49">
              <w:tab/>
              <w:t>Discount Factor applied to M1b if the Counter-Party meets other creditworthiness standards that may be developed and approved by TAC and the ERCOT Board.</w:t>
            </w:r>
          </w:p>
          <w:p w14:paraId="6EF3521C" w14:textId="77FFEB7F" w:rsidR="00DF0271" w:rsidRPr="00BE4766" w:rsidRDefault="00DF0271" w:rsidP="0031595F">
            <w:pPr>
              <w:pStyle w:val="TableBody"/>
              <w:ind w:left="1829" w:hanging="1440"/>
              <w:rPr>
                <w:i/>
              </w:rPr>
            </w:pPr>
          </w:p>
        </w:tc>
      </w:tr>
      <w:tr w:rsidR="00DF0271" w:rsidRPr="007F29AF" w14:paraId="576387CB" w14:textId="77777777" w:rsidTr="0031595F">
        <w:tblPrEx>
          <w:tblLook w:val="01E0" w:firstRow="1" w:lastRow="1" w:firstColumn="1" w:lastColumn="1" w:noHBand="0" w:noVBand="0"/>
        </w:tblPrEx>
        <w:trPr>
          <w:trHeight w:val="260"/>
        </w:trPr>
        <w:tc>
          <w:tcPr>
            <w:tcW w:w="1503" w:type="dxa"/>
            <w:tcBorders>
              <w:top w:val="single" w:sz="4" w:space="0" w:color="auto"/>
              <w:left w:val="single" w:sz="4" w:space="0" w:color="auto"/>
              <w:bottom w:val="single" w:sz="4" w:space="0" w:color="auto"/>
              <w:right w:val="single" w:sz="4" w:space="0" w:color="auto"/>
            </w:tcBorders>
          </w:tcPr>
          <w:p w14:paraId="68428FE6" w14:textId="77777777" w:rsidR="00DF0271" w:rsidRPr="00BE4766" w:rsidRDefault="00DF0271" w:rsidP="0031595F">
            <w:pPr>
              <w:pStyle w:val="TableBody"/>
              <w:tabs>
                <w:tab w:val="right" w:pos="9360"/>
              </w:tabs>
            </w:pPr>
            <w:r>
              <w:lastRenderedPageBreak/>
              <w:t>M2</w:t>
            </w:r>
          </w:p>
        </w:tc>
        <w:tc>
          <w:tcPr>
            <w:tcW w:w="886" w:type="dxa"/>
            <w:tcBorders>
              <w:top w:val="single" w:sz="4" w:space="0" w:color="auto"/>
              <w:left w:val="single" w:sz="4" w:space="0" w:color="auto"/>
              <w:bottom w:val="single" w:sz="4" w:space="0" w:color="auto"/>
              <w:right w:val="single" w:sz="4" w:space="0" w:color="auto"/>
            </w:tcBorders>
          </w:tcPr>
          <w:p w14:paraId="5C9759E6" w14:textId="77777777" w:rsidR="00DF0271" w:rsidRPr="00BE4766" w:rsidRDefault="00DF0271" w:rsidP="0031595F">
            <w:pPr>
              <w:pStyle w:val="TableBody"/>
              <w:tabs>
                <w:tab w:val="right" w:pos="9360"/>
              </w:tabs>
            </w:pPr>
          </w:p>
        </w:tc>
        <w:tc>
          <w:tcPr>
            <w:tcW w:w="6701" w:type="dxa"/>
            <w:tcBorders>
              <w:top w:val="single" w:sz="4" w:space="0" w:color="auto"/>
              <w:left w:val="single" w:sz="4" w:space="0" w:color="auto"/>
              <w:bottom w:val="single" w:sz="4" w:space="0" w:color="auto"/>
              <w:right w:val="single" w:sz="4" w:space="0" w:color="auto"/>
            </w:tcBorders>
          </w:tcPr>
          <w:p w14:paraId="3560A33F" w14:textId="77777777" w:rsidR="00DF0271" w:rsidRPr="00BE4766" w:rsidRDefault="00DF0271" w:rsidP="0031595F">
            <w:pPr>
              <w:pStyle w:val="TableBody"/>
              <w:rPr>
                <w:i/>
              </w:rPr>
            </w:pPr>
            <w:r w:rsidRPr="00BE4766">
              <w:t>Multiplier for URTA.</w:t>
            </w:r>
          </w:p>
        </w:tc>
      </w:tr>
      <w:tr w:rsidR="00DF0271" w:rsidRPr="007F29AF" w14:paraId="1EE73271" w14:textId="77777777" w:rsidTr="0031595F">
        <w:tblPrEx>
          <w:tblLook w:val="01E0" w:firstRow="1" w:lastRow="1" w:firstColumn="1" w:lastColumn="1" w:noHBand="0" w:noVBand="0"/>
        </w:tblPrEx>
        <w:trPr>
          <w:trHeight w:val="260"/>
        </w:trPr>
        <w:tc>
          <w:tcPr>
            <w:tcW w:w="1503" w:type="dxa"/>
            <w:tcBorders>
              <w:top w:val="single" w:sz="4" w:space="0" w:color="auto"/>
              <w:left w:val="single" w:sz="4" w:space="0" w:color="auto"/>
              <w:bottom w:val="single" w:sz="4" w:space="0" w:color="auto"/>
              <w:right w:val="single" w:sz="4" w:space="0" w:color="auto"/>
            </w:tcBorders>
          </w:tcPr>
          <w:p w14:paraId="205D63C5" w14:textId="77777777" w:rsidR="00DF0271" w:rsidRDefault="00DF0271" w:rsidP="0031595F">
            <w:pPr>
              <w:pStyle w:val="TableBody"/>
              <w:tabs>
                <w:tab w:val="right" w:pos="9360"/>
              </w:tabs>
            </w:pPr>
            <w:r>
              <w:t>RFAF</w:t>
            </w:r>
          </w:p>
        </w:tc>
        <w:tc>
          <w:tcPr>
            <w:tcW w:w="886" w:type="dxa"/>
            <w:tcBorders>
              <w:top w:val="single" w:sz="4" w:space="0" w:color="auto"/>
              <w:left w:val="single" w:sz="4" w:space="0" w:color="auto"/>
              <w:bottom w:val="single" w:sz="4" w:space="0" w:color="auto"/>
              <w:right w:val="single" w:sz="4" w:space="0" w:color="auto"/>
            </w:tcBorders>
          </w:tcPr>
          <w:p w14:paraId="39C93B0F" w14:textId="77777777" w:rsidR="00DF0271" w:rsidRPr="00BE4766" w:rsidRDefault="00DF0271" w:rsidP="0031595F">
            <w:pPr>
              <w:pStyle w:val="TableBody"/>
              <w:tabs>
                <w:tab w:val="right" w:pos="9360"/>
              </w:tabs>
            </w:pPr>
            <w:r>
              <w:t>None</w:t>
            </w:r>
          </w:p>
        </w:tc>
        <w:tc>
          <w:tcPr>
            <w:tcW w:w="6701" w:type="dxa"/>
            <w:tcBorders>
              <w:top w:val="single" w:sz="4" w:space="0" w:color="auto"/>
              <w:left w:val="single" w:sz="4" w:space="0" w:color="auto"/>
              <w:bottom w:val="single" w:sz="4" w:space="0" w:color="auto"/>
              <w:right w:val="single" w:sz="4" w:space="0" w:color="auto"/>
            </w:tcBorders>
          </w:tcPr>
          <w:p w14:paraId="77EB74A7" w14:textId="77777777" w:rsidR="00DF0271" w:rsidRPr="00BE4766" w:rsidRDefault="00DF0271" w:rsidP="0031595F">
            <w:pPr>
              <w:pStyle w:val="TableBody"/>
            </w:pPr>
            <w:r>
              <w:rPr>
                <w:i/>
              </w:rPr>
              <w:t>Real-Time Forward Adjustment Factor</w:t>
            </w:r>
            <w:r w:rsidRPr="00A549C5">
              <w:t>—</w:t>
            </w:r>
            <w:r w:rsidRPr="00CE545D">
              <w:t xml:space="preserve">The </w:t>
            </w:r>
            <w:r>
              <w:t xml:space="preserve">adjustment factor for RTM-related forward exposure as </w:t>
            </w:r>
            <w:r w:rsidRPr="00CE545D">
              <w:t xml:space="preserve">defined in </w:t>
            </w:r>
            <w:r w:rsidRPr="00967C28">
              <w:t xml:space="preserve">Section </w:t>
            </w:r>
            <w:r w:rsidRPr="00934A67">
              <w:t>16.11.4.3.3, Forward Adjustment Factors</w:t>
            </w:r>
            <w:r w:rsidRPr="00967C28">
              <w:t>.</w:t>
            </w:r>
          </w:p>
        </w:tc>
      </w:tr>
      <w:tr w:rsidR="00DF0271" w:rsidRPr="007F29AF" w14:paraId="2E230007" w14:textId="77777777" w:rsidTr="0031595F">
        <w:tblPrEx>
          <w:tblLook w:val="01E0" w:firstRow="1" w:lastRow="1" w:firstColumn="1" w:lastColumn="1" w:noHBand="0" w:noVBand="0"/>
        </w:tblPrEx>
        <w:trPr>
          <w:trHeight w:val="260"/>
        </w:trPr>
        <w:tc>
          <w:tcPr>
            <w:tcW w:w="1503" w:type="dxa"/>
            <w:tcBorders>
              <w:top w:val="single" w:sz="4" w:space="0" w:color="auto"/>
              <w:left w:val="single" w:sz="4" w:space="0" w:color="auto"/>
              <w:bottom w:val="single" w:sz="4" w:space="0" w:color="auto"/>
              <w:right w:val="single" w:sz="4" w:space="0" w:color="auto"/>
            </w:tcBorders>
          </w:tcPr>
          <w:p w14:paraId="2686D1A0" w14:textId="77777777" w:rsidR="00DF0271" w:rsidRDefault="00DF0271" w:rsidP="0031595F">
            <w:pPr>
              <w:pStyle w:val="TableBody"/>
              <w:tabs>
                <w:tab w:val="right" w:pos="9360"/>
              </w:tabs>
            </w:pPr>
            <w:r>
              <w:t>DFAF</w:t>
            </w:r>
          </w:p>
        </w:tc>
        <w:tc>
          <w:tcPr>
            <w:tcW w:w="886" w:type="dxa"/>
            <w:tcBorders>
              <w:top w:val="single" w:sz="4" w:space="0" w:color="auto"/>
              <w:left w:val="single" w:sz="4" w:space="0" w:color="auto"/>
              <w:bottom w:val="single" w:sz="4" w:space="0" w:color="auto"/>
              <w:right w:val="single" w:sz="4" w:space="0" w:color="auto"/>
            </w:tcBorders>
          </w:tcPr>
          <w:p w14:paraId="1D249FEC" w14:textId="77777777" w:rsidR="00DF0271" w:rsidRPr="00BE4766" w:rsidRDefault="00DF0271" w:rsidP="0031595F">
            <w:pPr>
              <w:pStyle w:val="TableBody"/>
              <w:tabs>
                <w:tab w:val="right" w:pos="9360"/>
              </w:tabs>
            </w:pPr>
            <w:r>
              <w:t>None</w:t>
            </w:r>
          </w:p>
        </w:tc>
        <w:tc>
          <w:tcPr>
            <w:tcW w:w="6701" w:type="dxa"/>
            <w:tcBorders>
              <w:top w:val="single" w:sz="4" w:space="0" w:color="auto"/>
              <w:left w:val="single" w:sz="4" w:space="0" w:color="auto"/>
              <w:bottom w:val="single" w:sz="4" w:space="0" w:color="auto"/>
              <w:right w:val="single" w:sz="4" w:space="0" w:color="auto"/>
            </w:tcBorders>
          </w:tcPr>
          <w:p w14:paraId="2117EE70" w14:textId="77777777" w:rsidR="00DF0271" w:rsidRPr="00BE4766" w:rsidRDefault="00DF0271" w:rsidP="0031595F">
            <w:pPr>
              <w:pStyle w:val="TableBody"/>
            </w:pPr>
            <w:r>
              <w:rPr>
                <w:i/>
              </w:rPr>
              <w:t>Day-Ahead Forward Adjustment Factor</w:t>
            </w:r>
            <w:r w:rsidRPr="00A549C5">
              <w:t>—</w:t>
            </w:r>
            <w:r w:rsidRPr="00CE545D">
              <w:t xml:space="preserve">The </w:t>
            </w:r>
            <w:r>
              <w:t xml:space="preserve">adjustment factor for DAM-related forward exposure as </w:t>
            </w:r>
            <w:r w:rsidRPr="00CE545D">
              <w:t xml:space="preserve">defined in Section </w:t>
            </w:r>
            <w:r w:rsidRPr="006E7FC0">
              <w:t>16.11.4.3.3</w:t>
            </w:r>
            <w:r w:rsidRPr="00CE545D">
              <w:t>.</w:t>
            </w:r>
          </w:p>
        </w:tc>
      </w:tr>
      <w:tr w:rsidR="00DF0271" w:rsidRPr="007F29AF" w14:paraId="6EC68C40" w14:textId="77777777" w:rsidTr="0031595F">
        <w:tblPrEx>
          <w:tblLook w:val="01E0" w:firstRow="1" w:lastRow="1" w:firstColumn="1" w:lastColumn="1" w:noHBand="0" w:noVBand="0"/>
        </w:tblPrEx>
        <w:trPr>
          <w:trHeight w:val="260"/>
        </w:trPr>
        <w:tc>
          <w:tcPr>
            <w:tcW w:w="1503" w:type="dxa"/>
            <w:tcBorders>
              <w:top w:val="single" w:sz="4" w:space="0" w:color="auto"/>
              <w:left w:val="single" w:sz="4" w:space="0" w:color="auto"/>
              <w:bottom w:val="single" w:sz="4" w:space="0" w:color="auto"/>
              <w:right w:val="single" w:sz="4" w:space="0" w:color="auto"/>
            </w:tcBorders>
          </w:tcPr>
          <w:p w14:paraId="0FC4CF02" w14:textId="77777777" w:rsidR="00DF0271" w:rsidRDefault="00DF0271" w:rsidP="0031595F">
            <w:pPr>
              <w:pStyle w:val="TableBody"/>
              <w:tabs>
                <w:tab w:val="right" w:pos="9360"/>
              </w:tabs>
            </w:pPr>
            <w:proofErr w:type="spellStart"/>
            <w:r w:rsidRPr="00934A67">
              <w:rPr>
                <w:i/>
              </w:rPr>
              <w:t>lrq</w:t>
            </w:r>
            <w:proofErr w:type="spellEnd"/>
          </w:p>
        </w:tc>
        <w:tc>
          <w:tcPr>
            <w:tcW w:w="886" w:type="dxa"/>
            <w:tcBorders>
              <w:top w:val="single" w:sz="4" w:space="0" w:color="auto"/>
              <w:left w:val="single" w:sz="4" w:space="0" w:color="auto"/>
              <w:bottom w:val="single" w:sz="4" w:space="0" w:color="auto"/>
              <w:right w:val="single" w:sz="4" w:space="0" w:color="auto"/>
            </w:tcBorders>
          </w:tcPr>
          <w:p w14:paraId="0C4637A0" w14:textId="77777777" w:rsidR="00DF0271" w:rsidRPr="00BE4766" w:rsidRDefault="00DF0271" w:rsidP="0031595F">
            <w:pPr>
              <w:pStyle w:val="TableBody"/>
              <w:tabs>
                <w:tab w:val="right" w:pos="9360"/>
              </w:tabs>
            </w:pPr>
            <w:r>
              <w:t>Days</w:t>
            </w:r>
          </w:p>
        </w:tc>
        <w:tc>
          <w:tcPr>
            <w:tcW w:w="6701" w:type="dxa"/>
            <w:tcBorders>
              <w:top w:val="single" w:sz="4" w:space="0" w:color="auto"/>
              <w:left w:val="single" w:sz="4" w:space="0" w:color="auto"/>
              <w:bottom w:val="single" w:sz="4" w:space="0" w:color="auto"/>
              <w:right w:val="single" w:sz="4" w:space="0" w:color="auto"/>
            </w:tcBorders>
          </w:tcPr>
          <w:p w14:paraId="7CD0BBEE" w14:textId="77777777" w:rsidR="00DF0271" w:rsidRPr="00BE4766" w:rsidRDefault="00DF0271" w:rsidP="0031595F">
            <w:pPr>
              <w:pStyle w:val="TableBody"/>
            </w:pPr>
            <w:r w:rsidRPr="00DF6B12">
              <w:t>Look-back period for R</w:t>
            </w:r>
            <w:r>
              <w:t>TM</w:t>
            </w:r>
            <w:r w:rsidRPr="00DF6B12">
              <w:t xml:space="preserve"> </w:t>
            </w:r>
            <w:r>
              <w:t>to find the maximum of RTLE or URTA</w:t>
            </w:r>
            <w:r w:rsidRPr="00DF6B12">
              <w:t xml:space="preserve"> for </w:t>
            </w:r>
            <w:r w:rsidRPr="00934A67">
              <w:t xml:space="preserve">all QSEs represented by the Counter-Party if </w:t>
            </w:r>
            <w:r>
              <w:t>any</w:t>
            </w:r>
            <w:r w:rsidRPr="00934A67">
              <w:t xml:space="preserve"> of the QSEs represented by the Counter-Party represent either Load or generation</w:t>
            </w:r>
            <w:r w:rsidRPr="008A7DE2">
              <w:t>.</w:t>
            </w:r>
          </w:p>
        </w:tc>
      </w:tr>
      <w:tr w:rsidR="00DF0271" w:rsidRPr="007F29AF" w14:paraId="3E5AFB54" w14:textId="77777777" w:rsidTr="0031595F">
        <w:tblPrEx>
          <w:tblLook w:val="01E0" w:firstRow="1" w:lastRow="1" w:firstColumn="1" w:lastColumn="1" w:noHBand="0" w:noVBand="0"/>
        </w:tblPrEx>
        <w:trPr>
          <w:trHeight w:val="260"/>
        </w:trPr>
        <w:tc>
          <w:tcPr>
            <w:tcW w:w="1503" w:type="dxa"/>
            <w:tcBorders>
              <w:top w:val="single" w:sz="4" w:space="0" w:color="auto"/>
              <w:left w:val="single" w:sz="4" w:space="0" w:color="auto"/>
              <w:bottom w:val="single" w:sz="4" w:space="0" w:color="auto"/>
              <w:right w:val="single" w:sz="4" w:space="0" w:color="auto"/>
            </w:tcBorders>
          </w:tcPr>
          <w:p w14:paraId="51FF5794" w14:textId="77777777" w:rsidR="00DF0271" w:rsidRDefault="00DF0271" w:rsidP="0031595F">
            <w:pPr>
              <w:pStyle w:val="TableBody"/>
              <w:tabs>
                <w:tab w:val="right" w:pos="9360"/>
              </w:tabs>
            </w:pPr>
            <w:proofErr w:type="spellStart"/>
            <w:r w:rsidRPr="00934A67">
              <w:rPr>
                <w:i/>
              </w:rPr>
              <w:t>lrt</w:t>
            </w:r>
            <w:proofErr w:type="spellEnd"/>
          </w:p>
        </w:tc>
        <w:tc>
          <w:tcPr>
            <w:tcW w:w="886" w:type="dxa"/>
            <w:tcBorders>
              <w:top w:val="single" w:sz="4" w:space="0" w:color="auto"/>
              <w:left w:val="single" w:sz="4" w:space="0" w:color="auto"/>
              <w:bottom w:val="single" w:sz="4" w:space="0" w:color="auto"/>
              <w:right w:val="single" w:sz="4" w:space="0" w:color="auto"/>
            </w:tcBorders>
          </w:tcPr>
          <w:p w14:paraId="4BCFAAFF" w14:textId="77777777" w:rsidR="00DF0271" w:rsidRPr="00BE4766" w:rsidRDefault="00DF0271" w:rsidP="0031595F">
            <w:pPr>
              <w:pStyle w:val="TableBody"/>
              <w:tabs>
                <w:tab w:val="right" w:pos="9360"/>
              </w:tabs>
            </w:pPr>
            <w:r>
              <w:t>Days</w:t>
            </w:r>
          </w:p>
        </w:tc>
        <w:tc>
          <w:tcPr>
            <w:tcW w:w="6701" w:type="dxa"/>
            <w:tcBorders>
              <w:top w:val="single" w:sz="4" w:space="0" w:color="auto"/>
              <w:left w:val="single" w:sz="4" w:space="0" w:color="auto"/>
              <w:bottom w:val="single" w:sz="4" w:space="0" w:color="auto"/>
              <w:right w:val="single" w:sz="4" w:space="0" w:color="auto"/>
            </w:tcBorders>
          </w:tcPr>
          <w:p w14:paraId="78DFD77E" w14:textId="77777777" w:rsidR="00DF0271" w:rsidRPr="00BE4766" w:rsidRDefault="00DF0271" w:rsidP="0031595F">
            <w:pPr>
              <w:pStyle w:val="TableBody"/>
            </w:pPr>
            <w:r w:rsidRPr="00DF6B12">
              <w:t>Look-back period for R</w:t>
            </w:r>
            <w:r>
              <w:t>TM</w:t>
            </w:r>
            <w:r w:rsidRPr="00DF6B12">
              <w:t xml:space="preserve"> </w:t>
            </w:r>
            <w:r>
              <w:t>to find the maximum of RTLE or URTA</w:t>
            </w:r>
            <w:r w:rsidRPr="00DF6B12">
              <w:t xml:space="preserve"> for all QSEs represented by the Counter-Party if none of the QSEs represented by the Counter-Party represent either Load or generation</w:t>
            </w:r>
            <w:r w:rsidRPr="00A549C5">
              <w:t>.</w:t>
            </w:r>
          </w:p>
        </w:tc>
      </w:tr>
    </w:tbl>
    <w:p w14:paraId="4368976A" w14:textId="77777777" w:rsidR="00DF0271" w:rsidRDefault="00DF0271" w:rsidP="00DF0271">
      <w:pPr>
        <w:pStyle w:val="Instructions"/>
        <w:spacing w:after="0"/>
        <w:rPr>
          <w:b w:val="0"/>
          <w:i w:val="0"/>
          <w:iCs/>
        </w:rPr>
      </w:pPr>
    </w:p>
    <w:p w14:paraId="1E858571" w14:textId="77777777" w:rsidR="00DF0271" w:rsidRDefault="00DF0271" w:rsidP="00DF0271">
      <w:pPr>
        <w:pStyle w:val="Instructions"/>
        <w:spacing w:after="0"/>
        <w:rPr>
          <w:b w:val="0"/>
          <w:i w:val="0"/>
          <w:iCs/>
        </w:rPr>
      </w:pPr>
      <w:r>
        <w:rPr>
          <w:b w:val="0"/>
          <w:i w:val="0"/>
          <w:iCs/>
        </w:rPr>
        <w:t>The above parameters are defined as follows:</w:t>
      </w:r>
    </w:p>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53"/>
        <w:gridCol w:w="2300"/>
        <w:gridCol w:w="4637"/>
      </w:tblGrid>
      <w:tr w:rsidR="00DF0271" w:rsidRPr="00BE4766" w14:paraId="0AC09C2C" w14:textId="77777777" w:rsidTr="00504E97">
        <w:trPr>
          <w:trHeight w:val="351"/>
          <w:tblHeader/>
        </w:trPr>
        <w:tc>
          <w:tcPr>
            <w:tcW w:w="2153" w:type="dxa"/>
          </w:tcPr>
          <w:p w14:paraId="035D01EB" w14:textId="77777777" w:rsidR="00DF0271" w:rsidRPr="00BE4766" w:rsidRDefault="00DF0271" w:rsidP="0031595F">
            <w:pPr>
              <w:pStyle w:val="TableHead"/>
            </w:pPr>
            <w:r>
              <w:t>Parameter</w:t>
            </w:r>
          </w:p>
        </w:tc>
        <w:tc>
          <w:tcPr>
            <w:tcW w:w="2300" w:type="dxa"/>
          </w:tcPr>
          <w:p w14:paraId="221F3AE3" w14:textId="77777777" w:rsidR="00DF0271" w:rsidRPr="00BE4766" w:rsidRDefault="00DF0271" w:rsidP="0031595F">
            <w:pPr>
              <w:pStyle w:val="TableHead"/>
            </w:pPr>
            <w:r w:rsidRPr="00BE4766">
              <w:t>Unit</w:t>
            </w:r>
          </w:p>
        </w:tc>
        <w:tc>
          <w:tcPr>
            <w:tcW w:w="4637" w:type="dxa"/>
          </w:tcPr>
          <w:p w14:paraId="2322D7E1" w14:textId="77777777" w:rsidR="00DF0271" w:rsidRPr="00BE4766" w:rsidRDefault="00DF0271" w:rsidP="0031595F">
            <w:pPr>
              <w:pStyle w:val="TableHead"/>
            </w:pPr>
            <w:r>
              <w:t>Current Value*</w:t>
            </w:r>
          </w:p>
        </w:tc>
      </w:tr>
      <w:tr w:rsidR="00DF0271" w:rsidRPr="00BE4766" w14:paraId="7DF881B6" w14:textId="77777777" w:rsidTr="00504E97">
        <w:trPr>
          <w:trHeight w:val="519"/>
        </w:trPr>
        <w:tc>
          <w:tcPr>
            <w:tcW w:w="2153" w:type="dxa"/>
          </w:tcPr>
          <w:p w14:paraId="1A33F7C3" w14:textId="77777777" w:rsidR="00DF0271" w:rsidRDefault="00DF0271" w:rsidP="0031595F">
            <w:pPr>
              <w:pStyle w:val="TableBody"/>
              <w:rPr>
                <w:i/>
              </w:rPr>
            </w:pPr>
            <w:proofErr w:type="spellStart"/>
            <w:r>
              <w:rPr>
                <w:i/>
              </w:rPr>
              <w:t>rtlcu</w:t>
            </w:r>
            <w:proofErr w:type="spellEnd"/>
          </w:p>
        </w:tc>
        <w:tc>
          <w:tcPr>
            <w:tcW w:w="2300" w:type="dxa"/>
          </w:tcPr>
          <w:p w14:paraId="56B4BB05" w14:textId="77777777" w:rsidR="00DF0271" w:rsidRDefault="00DF0271" w:rsidP="0031595F">
            <w:pPr>
              <w:pStyle w:val="TableBody"/>
            </w:pPr>
            <w:r>
              <w:t>Percentage</w:t>
            </w:r>
          </w:p>
        </w:tc>
        <w:tc>
          <w:tcPr>
            <w:tcW w:w="4637" w:type="dxa"/>
          </w:tcPr>
          <w:p w14:paraId="6E779E15" w14:textId="77777777" w:rsidR="00DF0271" w:rsidRPr="00083512" w:rsidRDefault="00DF0271" w:rsidP="0031595F">
            <w:pPr>
              <w:pStyle w:val="TableBody"/>
            </w:pPr>
            <w:r w:rsidRPr="00083512">
              <w:t>110%</w:t>
            </w:r>
          </w:p>
        </w:tc>
      </w:tr>
      <w:tr w:rsidR="00DF0271" w:rsidRPr="00BE4766" w14:paraId="451601AB" w14:textId="77777777" w:rsidTr="00504E97">
        <w:trPr>
          <w:trHeight w:val="519"/>
        </w:trPr>
        <w:tc>
          <w:tcPr>
            <w:tcW w:w="2153" w:type="dxa"/>
          </w:tcPr>
          <w:p w14:paraId="41952D83" w14:textId="77777777" w:rsidR="00DF0271" w:rsidRDefault="00DF0271" w:rsidP="0031595F">
            <w:pPr>
              <w:pStyle w:val="TableBody"/>
              <w:rPr>
                <w:i/>
              </w:rPr>
            </w:pPr>
            <w:proofErr w:type="spellStart"/>
            <w:r>
              <w:rPr>
                <w:i/>
              </w:rPr>
              <w:t>rtlcd</w:t>
            </w:r>
            <w:proofErr w:type="spellEnd"/>
          </w:p>
        </w:tc>
        <w:tc>
          <w:tcPr>
            <w:tcW w:w="2300" w:type="dxa"/>
          </w:tcPr>
          <w:p w14:paraId="12FFC0F3" w14:textId="77777777" w:rsidR="00DF0271" w:rsidRDefault="00DF0271" w:rsidP="0031595F">
            <w:pPr>
              <w:pStyle w:val="TableBody"/>
            </w:pPr>
            <w:r>
              <w:t>Percentage</w:t>
            </w:r>
          </w:p>
        </w:tc>
        <w:tc>
          <w:tcPr>
            <w:tcW w:w="4637" w:type="dxa"/>
          </w:tcPr>
          <w:p w14:paraId="7899F341" w14:textId="77777777" w:rsidR="00DF0271" w:rsidRPr="00083512" w:rsidRDefault="00DF0271" w:rsidP="0031595F">
            <w:pPr>
              <w:pStyle w:val="TableBody"/>
            </w:pPr>
            <w:r w:rsidRPr="00083512">
              <w:t xml:space="preserve">90% </w:t>
            </w:r>
          </w:p>
        </w:tc>
      </w:tr>
      <w:tr w:rsidR="00DF0271" w:rsidRPr="00BE4766" w14:paraId="6AC74F1B" w14:textId="77777777" w:rsidTr="00504E97">
        <w:trPr>
          <w:trHeight w:val="519"/>
        </w:trPr>
        <w:tc>
          <w:tcPr>
            <w:tcW w:w="2153" w:type="dxa"/>
          </w:tcPr>
          <w:p w14:paraId="784ADD1A" w14:textId="77777777" w:rsidR="00DF0271" w:rsidRDefault="00DF0271" w:rsidP="0031595F">
            <w:pPr>
              <w:pStyle w:val="TableBody"/>
              <w:rPr>
                <w:i/>
              </w:rPr>
            </w:pPr>
            <w:proofErr w:type="spellStart"/>
            <w:r>
              <w:rPr>
                <w:i/>
              </w:rPr>
              <w:t>rtlfp</w:t>
            </w:r>
            <w:proofErr w:type="spellEnd"/>
          </w:p>
        </w:tc>
        <w:tc>
          <w:tcPr>
            <w:tcW w:w="2300" w:type="dxa"/>
          </w:tcPr>
          <w:p w14:paraId="6B11226F" w14:textId="77777777" w:rsidR="00DF0271" w:rsidRDefault="00DF0271" w:rsidP="0031595F">
            <w:pPr>
              <w:pStyle w:val="TableBody"/>
            </w:pPr>
            <w:r>
              <w:t>Percentage</w:t>
            </w:r>
          </w:p>
        </w:tc>
        <w:tc>
          <w:tcPr>
            <w:tcW w:w="4637" w:type="dxa"/>
          </w:tcPr>
          <w:p w14:paraId="0B62DD0F" w14:textId="77777777" w:rsidR="00DF0271" w:rsidRPr="00083512" w:rsidRDefault="00DF0271" w:rsidP="0031595F">
            <w:pPr>
              <w:pStyle w:val="TableBody"/>
            </w:pPr>
            <w:r w:rsidRPr="00083512">
              <w:t>150%</w:t>
            </w:r>
            <w:r>
              <w:t xml:space="preserve"> </w:t>
            </w:r>
          </w:p>
        </w:tc>
      </w:tr>
      <w:tr w:rsidR="00DF0271" w:rsidRPr="00BE4766" w14:paraId="1F9FA84E" w14:textId="77777777" w:rsidTr="00504E97">
        <w:trPr>
          <w:trHeight w:val="519"/>
        </w:trPr>
        <w:tc>
          <w:tcPr>
            <w:tcW w:w="2153" w:type="dxa"/>
          </w:tcPr>
          <w:p w14:paraId="7B32A3A9" w14:textId="77777777" w:rsidR="00DF0271" w:rsidRPr="00F45C95" w:rsidRDefault="00DF0271" w:rsidP="0031595F">
            <w:pPr>
              <w:pStyle w:val="TableBody"/>
              <w:rPr>
                <w:i/>
              </w:rPr>
            </w:pPr>
            <w:proofErr w:type="spellStart"/>
            <w:r>
              <w:rPr>
                <w:i/>
              </w:rPr>
              <w:t>ufd</w:t>
            </w:r>
            <w:proofErr w:type="spellEnd"/>
          </w:p>
        </w:tc>
        <w:tc>
          <w:tcPr>
            <w:tcW w:w="2300" w:type="dxa"/>
          </w:tcPr>
          <w:p w14:paraId="60BD771D" w14:textId="77777777" w:rsidR="00DF0271" w:rsidRDefault="00DF0271" w:rsidP="0031595F">
            <w:pPr>
              <w:pStyle w:val="TableBody"/>
            </w:pPr>
            <w:r>
              <w:t>Days</w:t>
            </w:r>
          </w:p>
        </w:tc>
        <w:tc>
          <w:tcPr>
            <w:tcW w:w="4637" w:type="dxa"/>
          </w:tcPr>
          <w:p w14:paraId="5F8F82F4" w14:textId="77777777" w:rsidR="00DF0271" w:rsidRDefault="00DF0271" w:rsidP="0031595F">
            <w:pPr>
              <w:pStyle w:val="TableBody"/>
            </w:pPr>
            <w:r>
              <w:t>55</w:t>
            </w:r>
          </w:p>
        </w:tc>
      </w:tr>
      <w:tr w:rsidR="00DF0271" w:rsidRPr="00BE4766" w14:paraId="53C1FBEF" w14:textId="77777777" w:rsidTr="00504E97">
        <w:trPr>
          <w:trHeight w:val="519"/>
        </w:trPr>
        <w:tc>
          <w:tcPr>
            <w:tcW w:w="2153" w:type="dxa"/>
          </w:tcPr>
          <w:p w14:paraId="4B086DC2" w14:textId="77777777" w:rsidR="00DF0271" w:rsidRPr="00F45C95" w:rsidRDefault="00DF0271" w:rsidP="0031595F">
            <w:pPr>
              <w:pStyle w:val="TableBody"/>
              <w:rPr>
                <w:i/>
              </w:rPr>
            </w:pPr>
            <w:proofErr w:type="spellStart"/>
            <w:r>
              <w:rPr>
                <w:i/>
              </w:rPr>
              <w:t>utd</w:t>
            </w:r>
            <w:proofErr w:type="spellEnd"/>
          </w:p>
        </w:tc>
        <w:tc>
          <w:tcPr>
            <w:tcW w:w="2300" w:type="dxa"/>
          </w:tcPr>
          <w:p w14:paraId="1D6798E0" w14:textId="77777777" w:rsidR="00DF0271" w:rsidRDefault="00DF0271" w:rsidP="0031595F">
            <w:pPr>
              <w:pStyle w:val="TableBody"/>
            </w:pPr>
            <w:r>
              <w:t>Days</w:t>
            </w:r>
          </w:p>
        </w:tc>
        <w:tc>
          <w:tcPr>
            <w:tcW w:w="4637" w:type="dxa"/>
          </w:tcPr>
          <w:p w14:paraId="2A608458" w14:textId="77777777" w:rsidR="00DF0271" w:rsidRPr="005C0927" w:rsidRDefault="00DF0271" w:rsidP="0031595F">
            <w:pPr>
              <w:pStyle w:val="TableBody"/>
            </w:pPr>
            <w:r>
              <w:t>180</w:t>
            </w:r>
          </w:p>
        </w:tc>
      </w:tr>
      <w:tr w:rsidR="00DF0271" w:rsidRPr="00BE4766" w14:paraId="727DC58B" w14:textId="77777777" w:rsidTr="00504E97">
        <w:trPr>
          <w:trHeight w:val="519"/>
        </w:trPr>
        <w:tc>
          <w:tcPr>
            <w:tcW w:w="2153" w:type="dxa"/>
          </w:tcPr>
          <w:p w14:paraId="53EAE31A" w14:textId="76680EA3" w:rsidR="00DF0271" w:rsidRPr="00E41A69" w:rsidRDefault="00DF0271" w:rsidP="0031595F">
            <w:pPr>
              <w:pStyle w:val="TableBody"/>
              <w:rPr>
                <w:i/>
              </w:rPr>
            </w:pPr>
            <w:r w:rsidRPr="00E41A69">
              <w:rPr>
                <w:i/>
              </w:rPr>
              <w:t>M1</w:t>
            </w:r>
            <w:r w:rsidR="00575DA9">
              <w:rPr>
                <w:i/>
              </w:rPr>
              <w:t>d</w:t>
            </w:r>
          </w:p>
        </w:tc>
        <w:tc>
          <w:tcPr>
            <w:tcW w:w="2300" w:type="dxa"/>
          </w:tcPr>
          <w:p w14:paraId="75175022" w14:textId="77777777" w:rsidR="00DF0271" w:rsidRDefault="00DF0271" w:rsidP="0031595F">
            <w:pPr>
              <w:pStyle w:val="TableBody"/>
            </w:pPr>
            <w:r>
              <w:t>Days</w:t>
            </w:r>
          </w:p>
        </w:tc>
        <w:tc>
          <w:tcPr>
            <w:tcW w:w="4637" w:type="dxa"/>
          </w:tcPr>
          <w:p w14:paraId="1A6A1394" w14:textId="3EC6E101" w:rsidR="00DF0271" w:rsidRDefault="008E39D6" w:rsidP="0031595F">
            <w:pPr>
              <w:pStyle w:val="TableBody"/>
            </w:pPr>
            <w:r>
              <w:t>8</w:t>
            </w:r>
          </w:p>
        </w:tc>
      </w:tr>
      <w:tr w:rsidR="00DF0271" w:rsidRPr="00BE4766" w14:paraId="4B63D1F6" w14:textId="77777777" w:rsidTr="00504E97">
        <w:trPr>
          <w:trHeight w:val="519"/>
        </w:trPr>
        <w:tc>
          <w:tcPr>
            <w:tcW w:w="2153" w:type="dxa"/>
          </w:tcPr>
          <w:p w14:paraId="1EEADDD9" w14:textId="77777777" w:rsidR="00DF0271" w:rsidRDefault="00DF0271" w:rsidP="0031595F">
            <w:pPr>
              <w:pStyle w:val="TableBody"/>
              <w:rPr>
                <w:i/>
              </w:rPr>
            </w:pPr>
            <w:r>
              <w:rPr>
                <w:i/>
              </w:rPr>
              <w:t>B</w:t>
            </w:r>
          </w:p>
        </w:tc>
        <w:tc>
          <w:tcPr>
            <w:tcW w:w="2300" w:type="dxa"/>
          </w:tcPr>
          <w:p w14:paraId="334D7F36" w14:textId="77777777" w:rsidR="00DF0271" w:rsidRDefault="00DF0271" w:rsidP="0031595F">
            <w:pPr>
              <w:pStyle w:val="TableBody"/>
            </w:pPr>
            <w:r>
              <w:t>Days</w:t>
            </w:r>
          </w:p>
        </w:tc>
        <w:tc>
          <w:tcPr>
            <w:tcW w:w="4637" w:type="dxa"/>
          </w:tcPr>
          <w:p w14:paraId="3F1608FE" w14:textId="77777777" w:rsidR="00DF0271" w:rsidRPr="00D11FB5" w:rsidRDefault="00DF0271" w:rsidP="0031595F">
            <w:pPr>
              <w:pStyle w:val="TableBody"/>
            </w:pPr>
            <w:r w:rsidRPr="00D11FB5">
              <w:t>8</w:t>
            </w:r>
          </w:p>
        </w:tc>
      </w:tr>
      <w:tr w:rsidR="00DF0271" w:rsidRPr="00BE4766" w14:paraId="533AD4A2" w14:textId="77777777" w:rsidTr="00504E97">
        <w:trPr>
          <w:trHeight w:val="519"/>
        </w:trPr>
        <w:tc>
          <w:tcPr>
            <w:tcW w:w="2153" w:type="dxa"/>
          </w:tcPr>
          <w:p w14:paraId="4F7AB477" w14:textId="77777777" w:rsidR="00DF0271" w:rsidRDefault="00DF0271" w:rsidP="0031595F">
            <w:pPr>
              <w:pStyle w:val="TableBody"/>
              <w:rPr>
                <w:i/>
              </w:rPr>
            </w:pPr>
            <w:r>
              <w:rPr>
                <w:i/>
              </w:rPr>
              <w:lastRenderedPageBreak/>
              <w:t>r</w:t>
            </w:r>
          </w:p>
        </w:tc>
        <w:tc>
          <w:tcPr>
            <w:tcW w:w="2300" w:type="dxa"/>
          </w:tcPr>
          <w:p w14:paraId="316A1ADD" w14:textId="77777777" w:rsidR="00DF0271" w:rsidRDefault="00DF0271" w:rsidP="0031595F">
            <w:pPr>
              <w:pStyle w:val="TableBody"/>
            </w:pPr>
            <w:r>
              <w:t>none</w:t>
            </w:r>
          </w:p>
        </w:tc>
        <w:tc>
          <w:tcPr>
            <w:tcW w:w="4637" w:type="dxa"/>
          </w:tcPr>
          <w:p w14:paraId="4E955DC3" w14:textId="77777777" w:rsidR="00DF0271" w:rsidRPr="00D11FB5" w:rsidRDefault="00DF0271" w:rsidP="0031595F">
            <w:pPr>
              <w:pStyle w:val="TableBody"/>
            </w:pPr>
            <w:r>
              <w:t>100,000 per day</w:t>
            </w:r>
          </w:p>
        </w:tc>
      </w:tr>
      <w:tr w:rsidR="00DF0271" w:rsidRPr="00BE4766" w14:paraId="6F759537" w14:textId="77777777" w:rsidTr="00504E97">
        <w:trPr>
          <w:trHeight w:val="519"/>
        </w:trPr>
        <w:tc>
          <w:tcPr>
            <w:tcW w:w="2153" w:type="dxa"/>
          </w:tcPr>
          <w:p w14:paraId="12FC400B" w14:textId="77777777" w:rsidR="00DF0271" w:rsidRDefault="00DF0271" w:rsidP="0031595F">
            <w:pPr>
              <w:pStyle w:val="TableBody"/>
              <w:rPr>
                <w:i/>
              </w:rPr>
            </w:pPr>
            <w:r>
              <w:rPr>
                <w:i/>
              </w:rPr>
              <w:t>DF</w:t>
            </w:r>
          </w:p>
        </w:tc>
        <w:tc>
          <w:tcPr>
            <w:tcW w:w="2300" w:type="dxa"/>
          </w:tcPr>
          <w:p w14:paraId="72319CC4" w14:textId="77777777" w:rsidR="00DF0271" w:rsidRDefault="00DF0271" w:rsidP="0031595F">
            <w:pPr>
              <w:pStyle w:val="TableBody"/>
            </w:pPr>
            <w:r>
              <w:t>Percentage</w:t>
            </w:r>
          </w:p>
        </w:tc>
        <w:tc>
          <w:tcPr>
            <w:tcW w:w="4637" w:type="dxa"/>
          </w:tcPr>
          <w:p w14:paraId="745802F0" w14:textId="77777777" w:rsidR="00DF0271" w:rsidRDefault="00DF0271" w:rsidP="0031595F">
            <w:pPr>
              <w:pStyle w:val="TableBody"/>
            </w:pPr>
            <w:r>
              <w:t>0</w:t>
            </w:r>
          </w:p>
        </w:tc>
      </w:tr>
      <w:tr w:rsidR="00DF0271" w:rsidRPr="00BE4766" w14:paraId="6D9FC4B0" w14:textId="77777777" w:rsidTr="00504E97">
        <w:trPr>
          <w:trHeight w:val="519"/>
        </w:trPr>
        <w:tc>
          <w:tcPr>
            <w:tcW w:w="2153" w:type="dxa"/>
          </w:tcPr>
          <w:p w14:paraId="0CEA4BB4" w14:textId="77777777" w:rsidR="00DF0271" w:rsidRDefault="00DF0271" w:rsidP="0031595F">
            <w:pPr>
              <w:pStyle w:val="TableBody"/>
              <w:rPr>
                <w:i/>
              </w:rPr>
            </w:pPr>
            <w:r>
              <w:rPr>
                <w:i/>
              </w:rPr>
              <w:t>M2</w:t>
            </w:r>
          </w:p>
        </w:tc>
        <w:tc>
          <w:tcPr>
            <w:tcW w:w="2300" w:type="dxa"/>
          </w:tcPr>
          <w:p w14:paraId="13670173" w14:textId="77777777" w:rsidR="00DF0271" w:rsidRDefault="00DF0271" w:rsidP="0031595F">
            <w:pPr>
              <w:pStyle w:val="TableBody"/>
            </w:pPr>
            <w:r>
              <w:t>Days</w:t>
            </w:r>
          </w:p>
        </w:tc>
        <w:tc>
          <w:tcPr>
            <w:tcW w:w="4637" w:type="dxa"/>
          </w:tcPr>
          <w:p w14:paraId="71AF5012" w14:textId="77777777" w:rsidR="00DF0271" w:rsidRPr="00545E0B" w:rsidRDefault="00DF0271" w:rsidP="0031595F">
            <w:pPr>
              <w:pStyle w:val="TableBody"/>
            </w:pPr>
            <w:r w:rsidRPr="00545E0B">
              <w:t>9</w:t>
            </w:r>
          </w:p>
        </w:tc>
      </w:tr>
      <w:tr w:rsidR="00DF0271" w:rsidRPr="00BE4766" w14:paraId="0BC55781" w14:textId="77777777" w:rsidTr="00504E97">
        <w:trPr>
          <w:trHeight w:val="519"/>
        </w:trPr>
        <w:tc>
          <w:tcPr>
            <w:tcW w:w="2153" w:type="dxa"/>
          </w:tcPr>
          <w:p w14:paraId="25498169" w14:textId="77777777" w:rsidR="00DF0271" w:rsidRDefault="00DF0271" w:rsidP="0031595F">
            <w:pPr>
              <w:pStyle w:val="TableBody"/>
              <w:rPr>
                <w:i/>
              </w:rPr>
            </w:pPr>
            <w:proofErr w:type="spellStart"/>
            <w:r>
              <w:rPr>
                <w:i/>
              </w:rPr>
              <w:t>lrq</w:t>
            </w:r>
            <w:proofErr w:type="spellEnd"/>
          </w:p>
        </w:tc>
        <w:tc>
          <w:tcPr>
            <w:tcW w:w="2300" w:type="dxa"/>
          </w:tcPr>
          <w:p w14:paraId="0FF65B29" w14:textId="77777777" w:rsidR="00DF0271" w:rsidRDefault="00DF0271" w:rsidP="0031595F">
            <w:pPr>
              <w:pStyle w:val="TableBody"/>
            </w:pPr>
            <w:r>
              <w:t>Days</w:t>
            </w:r>
          </w:p>
        </w:tc>
        <w:tc>
          <w:tcPr>
            <w:tcW w:w="4637" w:type="dxa"/>
          </w:tcPr>
          <w:p w14:paraId="7913E857" w14:textId="77777777" w:rsidR="00DF0271" w:rsidRPr="00545E0B" w:rsidRDefault="00DF0271" w:rsidP="0031595F">
            <w:pPr>
              <w:pStyle w:val="TableBody"/>
            </w:pPr>
            <w:r w:rsidRPr="007822E6">
              <w:t>40</w:t>
            </w:r>
          </w:p>
        </w:tc>
      </w:tr>
      <w:tr w:rsidR="00DF0271" w:rsidRPr="00BE4766" w14:paraId="24C2A1F1" w14:textId="77777777" w:rsidTr="00504E97">
        <w:trPr>
          <w:trHeight w:val="519"/>
        </w:trPr>
        <w:tc>
          <w:tcPr>
            <w:tcW w:w="2153" w:type="dxa"/>
          </w:tcPr>
          <w:p w14:paraId="2CBABA1E" w14:textId="77777777" w:rsidR="00DF0271" w:rsidRDefault="00DF0271" w:rsidP="0031595F">
            <w:pPr>
              <w:pStyle w:val="TableBody"/>
              <w:rPr>
                <w:i/>
              </w:rPr>
            </w:pPr>
            <w:proofErr w:type="spellStart"/>
            <w:r>
              <w:rPr>
                <w:i/>
              </w:rPr>
              <w:t>lrt</w:t>
            </w:r>
            <w:proofErr w:type="spellEnd"/>
          </w:p>
        </w:tc>
        <w:tc>
          <w:tcPr>
            <w:tcW w:w="2300" w:type="dxa"/>
          </w:tcPr>
          <w:p w14:paraId="1282EAF7" w14:textId="77777777" w:rsidR="00DF0271" w:rsidRDefault="00DF0271" w:rsidP="0031595F">
            <w:pPr>
              <w:pStyle w:val="TableBody"/>
            </w:pPr>
            <w:r>
              <w:t>Days</w:t>
            </w:r>
          </w:p>
        </w:tc>
        <w:tc>
          <w:tcPr>
            <w:tcW w:w="4637" w:type="dxa"/>
          </w:tcPr>
          <w:p w14:paraId="437CC5F2" w14:textId="77777777" w:rsidR="00DF0271" w:rsidRPr="00545E0B" w:rsidRDefault="00DF0271" w:rsidP="0031595F">
            <w:pPr>
              <w:pStyle w:val="TableBody"/>
            </w:pPr>
            <w:r w:rsidRPr="007822E6">
              <w:t>20</w:t>
            </w:r>
          </w:p>
        </w:tc>
      </w:tr>
      <w:tr w:rsidR="00DF0271" w:rsidRPr="00BE4766" w14:paraId="6BAA841A" w14:textId="77777777" w:rsidTr="00504E97">
        <w:trPr>
          <w:trHeight w:val="519"/>
        </w:trPr>
        <w:tc>
          <w:tcPr>
            <w:tcW w:w="9090" w:type="dxa"/>
            <w:gridSpan w:val="3"/>
          </w:tcPr>
          <w:p w14:paraId="59CB69E6" w14:textId="77777777" w:rsidR="00DF0271" w:rsidRDefault="00DF0271" w:rsidP="0031595F">
            <w:pPr>
              <w:pStyle w:val="TableBody"/>
            </w:pPr>
            <w:r>
              <w:t xml:space="preserve">*  </w:t>
            </w:r>
            <w:r w:rsidRPr="00126667">
              <w:t xml:space="preserve">The </w:t>
            </w:r>
            <w:r>
              <w:t xml:space="preserve">current value for the </w:t>
            </w:r>
            <w:r w:rsidRPr="00126667">
              <w:t xml:space="preserve">parameters referenced in </w:t>
            </w:r>
            <w:r>
              <w:t xml:space="preserve">this table above </w:t>
            </w:r>
            <w:r w:rsidRPr="00126667">
              <w:t>will be recommended by TAC and approved by the ERCOT Board.  ERCOT shall update parameter values on the first day of the month following ERCOT Board approval unless otherwise directed by the ERCOT Board.  ERCOT shall provide a Market Notice prior to implementation of a revised parameter value</w:t>
            </w:r>
            <w:r>
              <w:t>.</w:t>
            </w:r>
          </w:p>
        </w:tc>
      </w:tr>
    </w:tbl>
    <w:p w14:paraId="079ADAB3" w14:textId="77777777" w:rsidR="00613851" w:rsidRPr="00613851" w:rsidRDefault="00613851" w:rsidP="009648F5">
      <w:pPr>
        <w:widowControl w:val="0"/>
        <w:tabs>
          <w:tab w:val="left" w:pos="1620"/>
        </w:tabs>
        <w:spacing w:before="480" w:after="240"/>
        <w:outlineLvl w:val="4"/>
        <w:rPr>
          <w:b/>
          <w:bCs/>
          <w:i/>
          <w:szCs w:val="26"/>
        </w:rPr>
      </w:pPr>
      <w:bookmarkStart w:id="494" w:name="_Toc419200621"/>
      <w:bookmarkStart w:id="495" w:name="_Toc405814007"/>
      <w:bookmarkStart w:id="496" w:name="_Toc309731025"/>
      <w:bookmarkStart w:id="497" w:name="_Toc148960874"/>
      <w:bookmarkStart w:id="498" w:name="_Toc390438969"/>
      <w:bookmarkStart w:id="499" w:name="_Toc405897667"/>
      <w:bookmarkStart w:id="500" w:name="_Toc415055771"/>
      <w:bookmarkStart w:id="501" w:name="_Toc415055897"/>
      <w:bookmarkStart w:id="502" w:name="_Toc415055996"/>
      <w:bookmarkStart w:id="503" w:name="_Toc415056097"/>
      <w:r w:rsidRPr="00613851">
        <w:rPr>
          <w:b/>
          <w:bCs/>
          <w:i/>
          <w:iCs/>
          <w:szCs w:val="26"/>
        </w:rPr>
        <w:t>16.11.4.3.1</w:t>
      </w:r>
      <w:r w:rsidRPr="00613851">
        <w:rPr>
          <w:b/>
          <w:bCs/>
          <w:i/>
          <w:iCs/>
          <w:szCs w:val="26"/>
        </w:rPr>
        <w:tab/>
        <w:t>Day-Ahead Liability Estimate</w:t>
      </w:r>
      <w:bookmarkEnd w:id="494"/>
      <w:bookmarkEnd w:id="495"/>
      <w:bookmarkEnd w:id="496"/>
      <w:bookmarkEnd w:id="497"/>
    </w:p>
    <w:p w14:paraId="5AC4C53D" w14:textId="77777777" w:rsidR="00613851" w:rsidRPr="00613851" w:rsidRDefault="00613851" w:rsidP="009648F5">
      <w:pPr>
        <w:widowControl w:val="0"/>
        <w:spacing w:after="240"/>
        <w:ind w:left="720" w:hanging="720"/>
        <w:rPr>
          <w:iCs/>
        </w:rPr>
      </w:pPr>
      <w:r w:rsidRPr="00613851">
        <w:rPr>
          <w:iCs/>
        </w:rPr>
        <w:t>(1)</w:t>
      </w:r>
      <w:r w:rsidRPr="00613851">
        <w:rPr>
          <w:iCs/>
        </w:rPr>
        <w:tab/>
        <w:t>ERCOT shall estimate Day-Ahead Liability (DAL) for an Operating Day as the sum of estimates for the following DAM Settlement charges and payments:</w:t>
      </w:r>
    </w:p>
    <w:p w14:paraId="49CFA88D" w14:textId="77777777" w:rsidR="00613851" w:rsidRPr="00613851" w:rsidRDefault="00613851" w:rsidP="009648F5">
      <w:pPr>
        <w:widowControl w:val="0"/>
        <w:spacing w:after="240"/>
        <w:ind w:left="1440" w:hanging="720"/>
        <w:rPr>
          <w:iCs/>
        </w:rPr>
      </w:pPr>
      <w:r w:rsidRPr="00613851">
        <w:rPr>
          <w:iCs/>
        </w:rPr>
        <w:t>(a)</w:t>
      </w:r>
      <w:r w:rsidRPr="00613851">
        <w:rPr>
          <w:iCs/>
        </w:rPr>
        <w:tab/>
        <w:t>Section 4.6.2.1, Day-Ahead Energy Payment;</w:t>
      </w:r>
    </w:p>
    <w:p w14:paraId="3E81F892" w14:textId="77777777" w:rsidR="00613851" w:rsidRPr="00613851" w:rsidRDefault="00613851" w:rsidP="009648F5">
      <w:pPr>
        <w:widowControl w:val="0"/>
        <w:spacing w:after="240"/>
        <w:ind w:left="1440" w:hanging="720"/>
        <w:rPr>
          <w:iCs/>
        </w:rPr>
      </w:pPr>
      <w:r w:rsidRPr="00613851">
        <w:rPr>
          <w:iCs/>
        </w:rPr>
        <w:t>(b)</w:t>
      </w:r>
      <w:r w:rsidRPr="00613851">
        <w:rPr>
          <w:iCs/>
        </w:rPr>
        <w:tab/>
        <w:t>Section 4.6.2.2, Day-Ahead Energy Charge;</w:t>
      </w:r>
    </w:p>
    <w:p w14:paraId="1B29E098" w14:textId="77777777" w:rsidR="00613851" w:rsidRPr="00613851" w:rsidRDefault="00613851" w:rsidP="009648F5">
      <w:pPr>
        <w:widowControl w:val="0"/>
        <w:spacing w:after="240"/>
        <w:ind w:left="1440" w:hanging="720"/>
        <w:rPr>
          <w:iCs/>
        </w:rPr>
      </w:pPr>
      <w:r w:rsidRPr="00613851">
        <w:rPr>
          <w:iCs/>
        </w:rPr>
        <w:t>(c)</w:t>
      </w:r>
      <w:r w:rsidRPr="00613851">
        <w:rPr>
          <w:iCs/>
        </w:rPr>
        <w:tab/>
        <w:t>Section 4.6.3, Settlement for PTP Obligations Bought in DAM;</w:t>
      </w:r>
    </w:p>
    <w:p w14:paraId="3099DBBF" w14:textId="77777777" w:rsidR="00613851" w:rsidRPr="00613851" w:rsidRDefault="00613851" w:rsidP="009648F5">
      <w:pPr>
        <w:widowControl w:val="0"/>
        <w:spacing w:after="240"/>
        <w:ind w:left="1440" w:hanging="720"/>
        <w:rPr>
          <w:iCs/>
        </w:rPr>
      </w:pPr>
      <w:r w:rsidRPr="00613851">
        <w:rPr>
          <w:iCs/>
        </w:rPr>
        <w:t>(d)</w:t>
      </w:r>
      <w:r w:rsidRPr="00613851">
        <w:rPr>
          <w:iCs/>
        </w:rPr>
        <w:tab/>
        <w:t>Section 4.6.4.1.1, Regulation Up Service Payment;</w:t>
      </w:r>
    </w:p>
    <w:p w14:paraId="198FEE87" w14:textId="77777777" w:rsidR="00613851" w:rsidRPr="00613851" w:rsidRDefault="00613851" w:rsidP="009648F5">
      <w:pPr>
        <w:widowControl w:val="0"/>
        <w:spacing w:after="240"/>
        <w:ind w:left="1440" w:hanging="720"/>
        <w:rPr>
          <w:iCs/>
        </w:rPr>
      </w:pPr>
      <w:r w:rsidRPr="00613851">
        <w:rPr>
          <w:iCs/>
        </w:rPr>
        <w:t>(e)</w:t>
      </w:r>
      <w:r w:rsidRPr="00613851">
        <w:rPr>
          <w:iCs/>
        </w:rPr>
        <w:tab/>
        <w:t>Section 4.6.4.1.2, Regulation Down Service Payment;</w:t>
      </w:r>
    </w:p>
    <w:p w14:paraId="41BE771A" w14:textId="77777777" w:rsidR="00613851" w:rsidRPr="00613851" w:rsidRDefault="00613851" w:rsidP="009648F5">
      <w:pPr>
        <w:widowControl w:val="0"/>
        <w:spacing w:after="240"/>
        <w:ind w:left="1440" w:hanging="720"/>
        <w:rPr>
          <w:iCs/>
        </w:rPr>
      </w:pPr>
      <w:r w:rsidRPr="00613851">
        <w:rPr>
          <w:iCs/>
        </w:rPr>
        <w:t>(f)</w:t>
      </w:r>
      <w:r w:rsidRPr="00613851">
        <w:rPr>
          <w:iCs/>
        </w:rPr>
        <w:tab/>
        <w:t>Section 4.6.4.1.3, Responsive Reserve Service Payment;</w:t>
      </w:r>
    </w:p>
    <w:p w14:paraId="42EBF3EA" w14:textId="0A6C277D" w:rsidR="00613851" w:rsidRDefault="00613851" w:rsidP="009648F5">
      <w:pPr>
        <w:widowControl w:val="0"/>
        <w:spacing w:after="240"/>
        <w:ind w:left="1440" w:hanging="720"/>
        <w:rPr>
          <w:iCs/>
        </w:rPr>
      </w:pPr>
      <w:r w:rsidRPr="00613851">
        <w:rPr>
          <w:iCs/>
        </w:rPr>
        <w:t>(g)</w:t>
      </w:r>
      <w:r w:rsidRPr="00613851">
        <w:rPr>
          <w:iCs/>
        </w:rPr>
        <w:tab/>
        <w:t>Section 4.6.4.1.4, Non-Spinning Reserve Service Payment;</w:t>
      </w:r>
    </w:p>
    <w:p w14:paraId="72339D08" w14:textId="53C0766F" w:rsidR="00AB1DA0" w:rsidRPr="00613851" w:rsidRDefault="00AB1DA0" w:rsidP="009648F5">
      <w:pPr>
        <w:widowControl w:val="0"/>
        <w:spacing w:after="240"/>
        <w:ind w:left="1440" w:hanging="720"/>
        <w:rPr>
          <w:iCs/>
        </w:rPr>
      </w:pPr>
      <w:r>
        <w:rPr>
          <w:iCs/>
        </w:rPr>
        <w:t>(h)</w:t>
      </w:r>
      <w:r>
        <w:rPr>
          <w:iCs/>
        </w:rPr>
        <w:tab/>
        <w:t xml:space="preserve">Section </w:t>
      </w:r>
      <w:r w:rsidRPr="00667DCA">
        <w:rPr>
          <w:iCs/>
        </w:rPr>
        <w:t>4.6.4.1.5</w:t>
      </w:r>
      <w:r>
        <w:rPr>
          <w:iCs/>
        </w:rPr>
        <w:t>,</w:t>
      </w:r>
      <w:r w:rsidRPr="00667DCA">
        <w:rPr>
          <w:iCs/>
        </w:rPr>
        <w:t xml:space="preserve"> ERCOT Contingency Reserve Service Payment</w:t>
      </w:r>
      <w:r>
        <w:rPr>
          <w:iCs/>
        </w:rPr>
        <w:t>;</w:t>
      </w:r>
    </w:p>
    <w:p w14:paraId="70F93F2E" w14:textId="02419A43" w:rsidR="00613851" w:rsidRPr="00613851" w:rsidRDefault="00613851" w:rsidP="00CC5258">
      <w:pPr>
        <w:widowControl w:val="0"/>
        <w:spacing w:after="240"/>
        <w:ind w:left="1440" w:hanging="720"/>
        <w:rPr>
          <w:iCs/>
        </w:rPr>
      </w:pPr>
      <w:r w:rsidRPr="00613851">
        <w:rPr>
          <w:iCs/>
        </w:rPr>
        <w:t>(</w:t>
      </w:r>
      <w:r w:rsidR="00AB1DA0">
        <w:rPr>
          <w:iCs/>
        </w:rPr>
        <w:t>i</w:t>
      </w:r>
      <w:r w:rsidRPr="00613851">
        <w:rPr>
          <w:iCs/>
        </w:rPr>
        <w:t>)</w:t>
      </w:r>
      <w:r w:rsidRPr="00613851">
        <w:rPr>
          <w:iCs/>
        </w:rPr>
        <w:tab/>
        <w:t>Section 4.6.4.2.1, Regulation Up Service Charge;</w:t>
      </w:r>
    </w:p>
    <w:p w14:paraId="24F9CC7C" w14:textId="1C309F09" w:rsidR="00613851" w:rsidRPr="00613851" w:rsidRDefault="00613851" w:rsidP="009648F5">
      <w:pPr>
        <w:widowControl w:val="0"/>
        <w:spacing w:after="240"/>
        <w:ind w:left="1440" w:hanging="720"/>
        <w:rPr>
          <w:iCs/>
        </w:rPr>
      </w:pPr>
      <w:r w:rsidRPr="00613851">
        <w:rPr>
          <w:iCs/>
        </w:rPr>
        <w:t>(</w:t>
      </w:r>
      <w:r w:rsidR="00AB1DA0">
        <w:rPr>
          <w:iCs/>
        </w:rPr>
        <w:t>j</w:t>
      </w:r>
      <w:r w:rsidRPr="00613851">
        <w:rPr>
          <w:iCs/>
        </w:rPr>
        <w:t>)</w:t>
      </w:r>
      <w:r w:rsidRPr="00613851">
        <w:rPr>
          <w:iCs/>
        </w:rPr>
        <w:tab/>
        <w:t>Section 4.6.4.2.2, Regulation Down Service Charge;</w:t>
      </w:r>
    </w:p>
    <w:p w14:paraId="1E2685CB" w14:textId="70C46ADE" w:rsidR="00613851" w:rsidRPr="00613851" w:rsidRDefault="00613851" w:rsidP="009648F5">
      <w:pPr>
        <w:widowControl w:val="0"/>
        <w:spacing w:after="240"/>
        <w:ind w:left="1440" w:hanging="720"/>
        <w:rPr>
          <w:iCs/>
        </w:rPr>
      </w:pPr>
      <w:r w:rsidRPr="00613851">
        <w:rPr>
          <w:iCs/>
        </w:rPr>
        <w:t>(</w:t>
      </w:r>
      <w:r w:rsidR="00AB1DA0">
        <w:rPr>
          <w:iCs/>
        </w:rPr>
        <w:t>k</w:t>
      </w:r>
      <w:r w:rsidRPr="00613851">
        <w:rPr>
          <w:iCs/>
        </w:rPr>
        <w:t>)</w:t>
      </w:r>
      <w:r w:rsidRPr="00613851">
        <w:rPr>
          <w:iCs/>
        </w:rPr>
        <w:tab/>
        <w:t>Section 4.6.4.2.3, Responsive Reserve Service Charge;</w:t>
      </w:r>
    </w:p>
    <w:p w14:paraId="46E780EE" w14:textId="139C08C6" w:rsidR="00613851" w:rsidRDefault="00613851" w:rsidP="009648F5">
      <w:pPr>
        <w:widowControl w:val="0"/>
        <w:spacing w:after="240"/>
        <w:ind w:left="1440" w:hanging="720"/>
        <w:rPr>
          <w:iCs/>
        </w:rPr>
      </w:pPr>
      <w:r w:rsidRPr="00613851">
        <w:rPr>
          <w:iCs/>
        </w:rPr>
        <w:t>(</w:t>
      </w:r>
      <w:r w:rsidR="00AB1DA0">
        <w:rPr>
          <w:iCs/>
        </w:rPr>
        <w:t>l</w:t>
      </w:r>
      <w:r w:rsidRPr="00613851">
        <w:rPr>
          <w:iCs/>
        </w:rPr>
        <w:t>)</w:t>
      </w:r>
      <w:r w:rsidRPr="00613851">
        <w:rPr>
          <w:iCs/>
        </w:rPr>
        <w:tab/>
        <w:t>Section 4.6.4.2.4, Non-Spinning Reserve Service Charge;</w:t>
      </w:r>
    </w:p>
    <w:p w14:paraId="28DE05E8" w14:textId="21618D39" w:rsidR="00AB1DA0" w:rsidRPr="00613851" w:rsidRDefault="00AB1DA0" w:rsidP="009648F5">
      <w:pPr>
        <w:widowControl w:val="0"/>
        <w:spacing w:after="240"/>
        <w:ind w:left="1440" w:hanging="720"/>
        <w:rPr>
          <w:iCs/>
        </w:rPr>
      </w:pPr>
      <w:r>
        <w:rPr>
          <w:iCs/>
        </w:rPr>
        <w:t>(m)</w:t>
      </w:r>
      <w:r>
        <w:rPr>
          <w:iCs/>
        </w:rPr>
        <w:tab/>
        <w:t xml:space="preserve">Section </w:t>
      </w:r>
      <w:r w:rsidRPr="00477614">
        <w:rPr>
          <w:iCs/>
        </w:rPr>
        <w:t>4.6.4.2.5</w:t>
      </w:r>
      <w:r>
        <w:rPr>
          <w:iCs/>
        </w:rPr>
        <w:t>,</w:t>
      </w:r>
      <w:r w:rsidRPr="00477614">
        <w:rPr>
          <w:iCs/>
        </w:rPr>
        <w:t xml:space="preserve"> ERCOT Contingency Reserve Service Charge</w:t>
      </w:r>
      <w:r>
        <w:rPr>
          <w:iCs/>
        </w:rPr>
        <w:t>;</w:t>
      </w:r>
    </w:p>
    <w:p w14:paraId="3A4A0F8A" w14:textId="6CC91DB9" w:rsidR="00613851" w:rsidRPr="00613851" w:rsidRDefault="00613851" w:rsidP="00CC5258">
      <w:pPr>
        <w:widowControl w:val="0"/>
        <w:spacing w:after="240"/>
        <w:ind w:left="1440" w:hanging="720"/>
        <w:rPr>
          <w:iCs/>
        </w:rPr>
      </w:pPr>
      <w:r w:rsidRPr="00613851">
        <w:rPr>
          <w:iCs/>
        </w:rPr>
        <w:t>(</w:t>
      </w:r>
      <w:r w:rsidR="00AB1DA0">
        <w:rPr>
          <w:iCs/>
        </w:rPr>
        <w:t>n</w:t>
      </w:r>
      <w:r w:rsidRPr="00613851">
        <w:rPr>
          <w:iCs/>
        </w:rPr>
        <w:t>)</w:t>
      </w:r>
      <w:r w:rsidRPr="00613851">
        <w:rPr>
          <w:iCs/>
        </w:rPr>
        <w:tab/>
        <w:t>Section 7.9.1.1, Payments and Charges for PTP Obligations Settled in DAM;</w:t>
      </w:r>
    </w:p>
    <w:p w14:paraId="4642FC3F" w14:textId="13F638B1" w:rsidR="00613851" w:rsidRPr="00613851" w:rsidRDefault="00613851" w:rsidP="009648F5">
      <w:pPr>
        <w:widowControl w:val="0"/>
        <w:spacing w:after="240"/>
        <w:ind w:left="1440" w:hanging="720"/>
        <w:rPr>
          <w:iCs/>
        </w:rPr>
      </w:pPr>
      <w:r w:rsidRPr="00613851">
        <w:rPr>
          <w:iCs/>
        </w:rPr>
        <w:lastRenderedPageBreak/>
        <w:t>(</w:t>
      </w:r>
      <w:r w:rsidR="00AB1DA0">
        <w:rPr>
          <w:iCs/>
        </w:rPr>
        <w:t>o</w:t>
      </w:r>
      <w:r w:rsidRPr="00613851">
        <w:rPr>
          <w:iCs/>
        </w:rPr>
        <w:t>)</w:t>
      </w:r>
      <w:r w:rsidRPr="00613851">
        <w:rPr>
          <w:iCs/>
        </w:rPr>
        <w:tab/>
        <w:t>Section 7.9.1.2, Payments for PTP Options Settled in DAM;</w:t>
      </w:r>
    </w:p>
    <w:p w14:paraId="12D3D1EF" w14:textId="00A6E397" w:rsidR="00613851" w:rsidRPr="00613851" w:rsidRDefault="00613851" w:rsidP="009648F5">
      <w:pPr>
        <w:widowControl w:val="0"/>
        <w:spacing w:after="240"/>
        <w:ind w:left="1440" w:hanging="720"/>
        <w:rPr>
          <w:iCs/>
        </w:rPr>
      </w:pPr>
      <w:r w:rsidRPr="00613851">
        <w:rPr>
          <w:iCs/>
        </w:rPr>
        <w:t>(</w:t>
      </w:r>
      <w:r w:rsidR="00AB1DA0">
        <w:rPr>
          <w:iCs/>
        </w:rPr>
        <w:t>p</w:t>
      </w:r>
      <w:r w:rsidRPr="00613851">
        <w:rPr>
          <w:iCs/>
        </w:rPr>
        <w:t>)</w:t>
      </w:r>
      <w:r w:rsidRPr="00613851">
        <w:rPr>
          <w:iCs/>
        </w:rPr>
        <w:tab/>
        <w:t>Section 7.9.1.5, Payments and Charges for PTP Obligations with Refund Settled in DAM; and</w:t>
      </w:r>
    </w:p>
    <w:p w14:paraId="63297784" w14:textId="0C54A527" w:rsidR="00613851" w:rsidRPr="00613851" w:rsidRDefault="00613851" w:rsidP="009648F5">
      <w:pPr>
        <w:widowControl w:val="0"/>
        <w:spacing w:after="240"/>
        <w:ind w:left="1440" w:hanging="720"/>
        <w:rPr>
          <w:iCs/>
        </w:rPr>
      </w:pPr>
      <w:r w:rsidRPr="00613851">
        <w:rPr>
          <w:iCs/>
        </w:rPr>
        <w:t>(</w:t>
      </w:r>
      <w:r w:rsidR="00AB1DA0">
        <w:rPr>
          <w:iCs/>
        </w:rPr>
        <w:t>q</w:t>
      </w:r>
      <w:r w:rsidRPr="00613851">
        <w:rPr>
          <w:iCs/>
        </w:rPr>
        <w:t>)</w:t>
      </w:r>
      <w:r w:rsidRPr="00613851">
        <w:rPr>
          <w:iCs/>
        </w:rPr>
        <w:tab/>
        <w:t>Section 7.9.1.6, Payments for PTP Options with Refund Settled in DAM.</w:t>
      </w:r>
    </w:p>
    <w:p w14:paraId="48DAFDE9" w14:textId="77777777" w:rsidR="00613851" w:rsidRPr="00613851" w:rsidRDefault="00613851" w:rsidP="00613851">
      <w:pPr>
        <w:keepNext/>
        <w:tabs>
          <w:tab w:val="left" w:pos="1620"/>
        </w:tabs>
        <w:spacing w:before="240" w:after="240"/>
        <w:ind w:left="1627" w:hanging="1627"/>
        <w:outlineLvl w:val="4"/>
        <w:rPr>
          <w:b/>
          <w:bCs/>
          <w:i/>
          <w:iCs/>
          <w:szCs w:val="26"/>
        </w:rPr>
      </w:pPr>
      <w:bookmarkStart w:id="504" w:name="_Toc148960875"/>
      <w:r w:rsidRPr="00613851">
        <w:rPr>
          <w:b/>
          <w:bCs/>
          <w:i/>
          <w:iCs/>
          <w:szCs w:val="26"/>
        </w:rPr>
        <w:t>16.11.4.3.2</w:t>
      </w:r>
      <w:r w:rsidRPr="00613851">
        <w:rPr>
          <w:b/>
          <w:bCs/>
          <w:i/>
          <w:iCs/>
          <w:szCs w:val="26"/>
        </w:rPr>
        <w:tab/>
        <w:t>Real-Time Liability Estimate</w:t>
      </w:r>
      <w:bookmarkEnd w:id="504"/>
    </w:p>
    <w:p w14:paraId="144BB042" w14:textId="77777777" w:rsidR="00613851" w:rsidRPr="00613851" w:rsidRDefault="00613851" w:rsidP="00613851">
      <w:pPr>
        <w:keepNext/>
        <w:spacing w:after="240"/>
        <w:ind w:left="720" w:hanging="720"/>
        <w:rPr>
          <w:iCs/>
        </w:rPr>
      </w:pPr>
      <w:r w:rsidRPr="00613851">
        <w:rPr>
          <w:iCs/>
        </w:rPr>
        <w:t>(1)</w:t>
      </w:r>
      <w:r w:rsidRPr="00613851">
        <w:rPr>
          <w:iCs/>
        </w:rPr>
        <w:tab/>
        <w:t>ERCOT shall estimate RTL for an Operating Day as the sum of estimates for the following RTM Settlement charges and payments:</w:t>
      </w:r>
    </w:p>
    <w:p w14:paraId="36B59AEF" w14:textId="77777777" w:rsidR="00613851" w:rsidRPr="00613851" w:rsidRDefault="00613851" w:rsidP="00613851">
      <w:pPr>
        <w:spacing w:after="240"/>
        <w:ind w:left="1440" w:hanging="720"/>
      </w:pPr>
      <w:r w:rsidRPr="00613851">
        <w:t>(a)</w:t>
      </w:r>
      <w:r w:rsidRPr="00613851">
        <w:tab/>
        <w:t xml:space="preserve">Section 6.6.3.1, Real-Time Energy Imbalance Payment or Charge at a Resource Node, using Real-Time Metered Generation (RTMG) as generation estimate; </w:t>
      </w:r>
    </w:p>
    <w:p w14:paraId="70059D2F" w14:textId="27747CDF" w:rsidR="00613851" w:rsidRPr="00613851" w:rsidRDefault="00613851" w:rsidP="00613851">
      <w:pPr>
        <w:spacing w:after="240"/>
        <w:ind w:left="1440" w:hanging="720"/>
      </w:pPr>
      <w:r w:rsidRPr="00613851">
        <w:t>(b)</w:t>
      </w:r>
      <w:r w:rsidRPr="00613851">
        <w:tab/>
        <w:t>Section 6.6.3.2, Real-Time Energy Imbalance Payment or Charge at a Load Zone, using 14</w:t>
      </w:r>
      <w:r w:rsidR="00C279DC">
        <w:t>-</w:t>
      </w:r>
      <w:r w:rsidRPr="00613851">
        <w:t>day or seven</w:t>
      </w:r>
      <w:r w:rsidR="00C279DC">
        <w:t>-</w:t>
      </w:r>
      <w:r w:rsidRPr="00613851">
        <w:t>day</w:t>
      </w:r>
      <w:r w:rsidR="00C279DC">
        <w:t>-</w:t>
      </w:r>
      <w:r w:rsidRPr="00613851">
        <w:t>old LRS for Load estimate;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B35DA1" w14:paraId="17E52C37" w14:textId="77777777" w:rsidTr="004033D4">
        <w:tc>
          <w:tcPr>
            <w:tcW w:w="9332" w:type="dxa"/>
            <w:shd w:val="pct12" w:color="auto" w:fill="auto"/>
          </w:tcPr>
          <w:p w14:paraId="226C1687" w14:textId="77777777" w:rsidR="00B35DA1" w:rsidRPr="0002450E" w:rsidRDefault="00B35DA1" w:rsidP="00B7359F">
            <w:pPr>
              <w:pStyle w:val="Instructions"/>
              <w:spacing w:before="120"/>
              <w:rPr>
                <w:iCs/>
              </w:rPr>
            </w:pPr>
            <w:r>
              <w:rPr>
                <w:iCs/>
              </w:rPr>
              <w:t>[NPRR829</w:t>
            </w:r>
            <w:r w:rsidRPr="0002450E">
              <w:rPr>
                <w:iCs/>
              </w:rPr>
              <w:t xml:space="preserve">:  Replace </w:t>
            </w:r>
            <w:r>
              <w:rPr>
                <w:iCs/>
              </w:rPr>
              <w:t>item (b)</w:t>
            </w:r>
            <w:r w:rsidRPr="0002450E">
              <w:rPr>
                <w:iCs/>
              </w:rPr>
              <w:t xml:space="preserve"> above with the following upon system implementation:] </w:t>
            </w:r>
          </w:p>
          <w:p w14:paraId="27A8F5A9" w14:textId="6D78A656" w:rsidR="00B35DA1" w:rsidRPr="00B35DA1" w:rsidRDefault="00B35DA1" w:rsidP="00B91B01">
            <w:pPr>
              <w:spacing w:after="240"/>
              <w:ind w:left="1440" w:hanging="720"/>
            </w:pPr>
            <w:r w:rsidRPr="00613851">
              <w:t>(b)</w:t>
            </w:r>
            <w:r w:rsidRPr="00613851">
              <w:tab/>
              <w:t>Section 6.6.3.2, Real-Time Energy Imbalance Payment or Charge at a Load Zone, using 14</w:t>
            </w:r>
            <w:r w:rsidR="00C279DC">
              <w:t>-</w:t>
            </w:r>
            <w:r w:rsidRPr="00613851">
              <w:t>day or seven</w:t>
            </w:r>
            <w:r w:rsidR="00C279DC">
              <w:t>-</w:t>
            </w:r>
            <w:r w:rsidRPr="00613851">
              <w:t>day</w:t>
            </w:r>
            <w:r w:rsidR="00C279DC">
              <w:t>-</w:t>
            </w:r>
            <w:r w:rsidRPr="00613851">
              <w:t>old LRS for Load estimate</w:t>
            </w:r>
            <w:r>
              <w:t xml:space="preserve"> and Real-Time telemetry of net generation as the generation estimate</w:t>
            </w:r>
            <w:r w:rsidRPr="00613851">
              <w:t>;</w:t>
            </w:r>
          </w:p>
        </w:tc>
      </w:tr>
    </w:tbl>
    <w:p w14:paraId="4DDDE8F6" w14:textId="77777777" w:rsidR="00613851" w:rsidRPr="00613851" w:rsidRDefault="00613851" w:rsidP="00AC0942">
      <w:pPr>
        <w:spacing w:before="240" w:after="240"/>
        <w:ind w:left="1440" w:hanging="720"/>
      </w:pPr>
      <w:r w:rsidRPr="00613851">
        <w:t>(c)</w:t>
      </w:r>
      <w:r w:rsidRPr="00613851">
        <w:tab/>
        <w:t>Section 6.6.3.3, Real-Time Energy Imbalance Payment or Charge at a Hub;</w:t>
      </w:r>
    </w:p>
    <w:p w14:paraId="553EFAEF" w14:textId="77777777" w:rsidR="00613851" w:rsidRPr="00613851" w:rsidRDefault="00613851" w:rsidP="00613851">
      <w:pPr>
        <w:spacing w:after="240"/>
        <w:ind w:left="1440" w:hanging="720"/>
      </w:pPr>
      <w:r w:rsidRPr="00613851">
        <w:t>(d)</w:t>
      </w:r>
      <w:r w:rsidRPr="00613851">
        <w:tab/>
        <w:t>Section 6.6.3.4, Real-Time Energy Payment for DC Tie Import;</w:t>
      </w:r>
    </w:p>
    <w:p w14:paraId="5A608B9F" w14:textId="46A223A7" w:rsidR="00BA4149" w:rsidRPr="00613851" w:rsidRDefault="00BA4149" w:rsidP="00463FB0">
      <w:pPr>
        <w:spacing w:after="240"/>
        <w:ind w:left="1440" w:hanging="720"/>
      </w:pPr>
      <w:r w:rsidRPr="00B75A10">
        <w:t>(</w:t>
      </w:r>
      <w:r w:rsidR="00D9164C">
        <w:t>e</w:t>
      </w:r>
      <w:r w:rsidRPr="00B75A10">
        <w:t>)</w:t>
      </w:r>
      <w:r w:rsidRPr="00B75A10">
        <w:tab/>
        <w:t>Section 6.6.3.</w:t>
      </w:r>
      <w:r w:rsidR="00D9164C">
        <w:t>8</w:t>
      </w:r>
      <w:r w:rsidRPr="00B75A10">
        <w:t xml:space="preserve">, Real-Time Payment or Charge for Energy from </w:t>
      </w:r>
      <w:r w:rsidRPr="007A41CB">
        <w:t>a Settlement Only Distribution Generator (SODG) or a Settlement Only Transmission Generator (SOTG)</w:t>
      </w:r>
      <w:r>
        <w:t>,</w:t>
      </w:r>
      <w:r w:rsidRPr="00FF47C6">
        <w:t xml:space="preserve"> using the Real-Time telemetry</w:t>
      </w:r>
      <w:r>
        <w:t>, if provided,</w:t>
      </w:r>
      <w:r w:rsidRPr="00FF47C6">
        <w:t xml:space="preserve"> of net generation as the outflow estimate and the Real-Time Price for each SODG or SOTG site</w:t>
      </w:r>
      <w:r w:rsidRPr="00B75A10">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1A7AB9" w14:paraId="10C107F0" w14:textId="77777777" w:rsidTr="004033D4">
        <w:tc>
          <w:tcPr>
            <w:tcW w:w="9332" w:type="dxa"/>
            <w:shd w:val="pct12" w:color="auto" w:fill="auto"/>
          </w:tcPr>
          <w:p w14:paraId="2A927AB9" w14:textId="553E8DD7" w:rsidR="001A7AB9" w:rsidRPr="0002450E" w:rsidRDefault="001A7AB9" w:rsidP="00767EC3">
            <w:pPr>
              <w:pStyle w:val="Instructions"/>
              <w:spacing w:before="120"/>
              <w:rPr>
                <w:iCs/>
              </w:rPr>
            </w:pPr>
            <w:r>
              <w:rPr>
                <w:iCs/>
              </w:rPr>
              <w:t>[</w:t>
            </w:r>
            <w:r w:rsidR="00DF27BC">
              <w:rPr>
                <w:iCs/>
              </w:rPr>
              <w:t>NPRR995</w:t>
            </w:r>
            <w:r w:rsidR="006B2E4D">
              <w:rPr>
                <w:iCs/>
              </w:rPr>
              <w:t xml:space="preserve"> and NPRR1077</w:t>
            </w:r>
            <w:r w:rsidRPr="0002450E">
              <w:rPr>
                <w:iCs/>
              </w:rPr>
              <w:t xml:space="preserve">:  </w:t>
            </w:r>
            <w:r w:rsidR="00BA4149">
              <w:rPr>
                <w:iCs/>
              </w:rPr>
              <w:t>Replace</w:t>
            </w:r>
            <w:r>
              <w:rPr>
                <w:iCs/>
              </w:rPr>
              <w:t xml:space="preserve"> </w:t>
            </w:r>
            <w:r w:rsidR="00DF27BC">
              <w:rPr>
                <w:iCs/>
              </w:rPr>
              <w:t xml:space="preserve">applicable portions of </w:t>
            </w:r>
            <w:r>
              <w:rPr>
                <w:iCs/>
              </w:rPr>
              <w:t>item (</w:t>
            </w:r>
            <w:r w:rsidR="00D9164C">
              <w:rPr>
                <w:iCs/>
              </w:rPr>
              <w:t>e</w:t>
            </w:r>
            <w:r>
              <w:rPr>
                <w:iCs/>
              </w:rPr>
              <w:t xml:space="preserve">) </w:t>
            </w:r>
            <w:r w:rsidR="00BA4149">
              <w:rPr>
                <w:iCs/>
              </w:rPr>
              <w:t>above with the following</w:t>
            </w:r>
            <w:r w:rsidRPr="0002450E">
              <w:rPr>
                <w:iCs/>
              </w:rPr>
              <w:t xml:space="preserve"> upon system implementation:] </w:t>
            </w:r>
          </w:p>
          <w:p w14:paraId="507AC414" w14:textId="7C57200C" w:rsidR="001A7AB9" w:rsidRPr="00B35DA1" w:rsidRDefault="001A7AB9" w:rsidP="001A7AB9">
            <w:pPr>
              <w:spacing w:after="240"/>
              <w:ind w:left="1440" w:hanging="720"/>
            </w:pPr>
            <w:r w:rsidRPr="00B75A10">
              <w:t>(</w:t>
            </w:r>
            <w:r w:rsidR="00D9164C">
              <w:t>e</w:t>
            </w:r>
            <w:r w:rsidRPr="00B75A10">
              <w:t>)</w:t>
            </w:r>
            <w:r w:rsidRPr="00B75A10">
              <w:tab/>
              <w:t>Section 6.6.3.</w:t>
            </w:r>
            <w:r w:rsidR="00D9164C">
              <w:t>8</w:t>
            </w:r>
            <w:r w:rsidRPr="00B75A10">
              <w:t xml:space="preserve">, Real-Time Payment or Charge for Energy from </w:t>
            </w:r>
            <w:r w:rsidRPr="007A41CB">
              <w:t>a Settlement Only Distribution Generator (SODG)</w:t>
            </w:r>
            <w:r w:rsidR="00DF27BC">
              <w:t>,</w:t>
            </w:r>
            <w:r w:rsidRPr="007A41CB">
              <w:t xml:space="preserve"> Settlement Only Transmission Generator (SOTG)</w:t>
            </w:r>
            <w:r w:rsidR="00DF27BC" w:rsidRPr="004F0937">
              <w:t>, Settlement Only Distribution Energy Storage</w:t>
            </w:r>
            <w:r w:rsidR="00DF27BC">
              <w:t xml:space="preserve"> System</w:t>
            </w:r>
            <w:r w:rsidR="00DF27BC" w:rsidRPr="004F0937">
              <w:t xml:space="preserve"> (SODES</w:t>
            </w:r>
            <w:r w:rsidR="00DF27BC">
              <w:t>S</w:t>
            </w:r>
            <w:r w:rsidR="00DF27BC" w:rsidRPr="004F0937">
              <w:t>), or Settlement Only Transmission Energy Storage</w:t>
            </w:r>
            <w:r w:rsidR="00DF27BC">
              <w:t xml:space="preserve"> System</w:t>
            </w:r>
            <w:r w:rsidR="00DF27BC" w:rsidRPr="004F0937">
              <w:t xml:space="preserve"> (SOTES</w:t>
            </w:r>
            <w:r w:rsidR="00DF27BC">
              <w:t>S</w:t>
            </w:r>
            <w:r w:rsidR="00DF27BC" w:rsidRPr="004F0937">
              <w:t>)</w:t>
            </w:r>
            <w:r>
              <w:t>,</w:t>
            </w:r>
            <w:r w:rsidRPr="00FF47C6">
              <w:t xml:space="preserve"> using the Real-Time telemetry of net generation as the outflow estimate and the Real-Time Price for each SODG</w:t>
            </w:r>
            <w:r w:rsidR="00DF27BC">
              <w:t>,</w:t>
            </w:r>
            <w:r w:rsidRPr="00FF47C6">
              <w:t xml:space="preserve"> SOTG</w:t>
            </w:r>
            <w:r w:rsidR="00DF27BC" w:rsidRPr="004F0937">
              <w:t>, SODES</w:t>
            </w:r>
            <w:r w:rsidR="00DF27BC">
              <w:t>S</w:t>
            </w:r>
            <w:r w:rsidR="00DF27BC" w:rsidRPr="004F0937">
              <w:t xml:space="preserve">, or </w:t>
            </w:r>
            <w:r w:rsidR="00DF27BC" w:rsidRPr="00694393">
              <w:t>SOTES</w:t>
            </w:r>
            <w:r w:rsidR="00DF27BC">
              <w:t>S</w:t>
            </w:r>
            <w:r w:rsidRPr="00FF47C6">
              <w:t xml:space="preserve"> site</w:t>
            </w:r>
            <w:r w:rsidRPr="00B75A10">
              <w:t>;</w:t>
            </w:r>
          </w:p>
        </w:tc>
      </w:tr>
    </w:tbl>
    <w:p w14:paraId="585A3F67" w14:textId="357556FC" w:rsidR="00613851" w:rsidRPr="00613851" w:rsidRDefault="00613851" w:rsidP="003E021A">
      <w:pPr>
        <w:spacing w:before="240" w:after="240"/>
        <w:ind w:left="1440" w:hanging="720"/>
      </w:pPr>
      <w:r w:rsidRPr="00613851">
        <w:t>(</w:t>
      </w:r>
      <w:r w:rsidR="00D9164C">
        <w:t>f</w:t>
      </w:r>
      <w:r w:rsidRPr="00613851">
        <w:t>)</w:t>
      </w:r>
      <w:r w:rsidRPr="00613851">
        <w:tab/>
        <w:t>Section 6.6.4, Real-Time Congestion Payment or Charge for Self-Schedules; and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4033D4" w14:paraId="66A49C17" w14:textId="77777777" w:rsidTr="005A32AC">
        <w:tc>
          <w:tcPr>
            <w:tcW w:w="9332" w:type="dxa"/>
            <w:shd w:val="pct12" w:color="auto" w:fill="auto"/>
          </w:tcPr>
          <w:p w14:paraId="4F0034F9" w14:textId="4068D94C" w:rsidR="004033D4" w:rsidRPr="0002450E" w:rsidRDefault="004033D4" w:rsidP="005A32AC">
            <w:pPr>
              <w:pStyle w:val="Instructions"/>
              <w:spacing w:before="120"/>
              <w:rPr>
                <w:iCs/>
              </w:rPr>
            </w:pPr>
            <w:bookmarkStart w:id="505" w:name="_Toc397670191"/>
            <w:bookmarkStart w:id="506" w:name="_Toc405805793"/>
            <w:bookmarkStart w:id="507" w:name="_Toc422205968"/>
            <w:r>
              <w:rPr>
                <w:iCs/>
              </w:rPr>
              <w:lastRenderedPageBreak/>
              <w:t>[NPRR1013</w:t>
            </w:r>
            <w:r w:rsidRPr="0002450E">
              <w:rPr>
                <w:iCs/>
              </w:rPr>
              <w:t xml:space="preserve">:  </w:t>
            </w:r>
            <w:r>
              <w:rPr>
                <w:iCs/>
              </w:rPr>
              <w:t>Insert items (</w:t>
            </w:r>
            <w:r w:rsidR="00D9164C">
              <w:rPr>
                <w:iCs/>
              </w:rPr>
              <w:t>g</w:t>
            </w:r>
            <w:r>
              <w:rPr>
                <w:iCs/>
              </w:rPr>
              <w:t>)-(</w:t>
            </w:r>
            <w:r w:rsidR="00D9164C">
              <w:rPr>
                <w:iCs/>
              </w:rPr>
              <w:t>k</w:t>
            </w:r>
            <w:r>
              <w:rPr>
                <w:iCs/>
              </w:rPr>
              <w:t>) below</w:t>
            </w:r>
            <w:r w:rsidRPr="0002450E">
              <w:rPr>
                <w:iCs/>
              </w:rPr>
              <w:t xml:space="preserve"> upon system implementation</w:t>
            </w:r>
            <w:r>
              <w:rPr>
                <w:iCs/>
              </w:rPr>
              <w:t xml:space="preserve"> of the Real-Time Co-Optimization (RTC) project and renumber accordingly</w:t>
            </w:r>
            <w:r w:rsidRPr="0002450E">
              <w:rPr>
                <w:iCs/>
              </w:rPr>
              <w:t xml:space="preserve">:] </w:t>
            </w:r>
          </w:p>
          <w:p w14:paraId="61C41706" w14:textId="11650A0F" w:rsidR="004033D4" w:rsidRDefault="004033D4" w:rsidP="004033D4">
            <w:pPr>
              <w:spacing w:after="240"/>
              <w:ind w:left="1440" w:hanging="720"/>
            </w:pPr>
            <w:r>
              <w:t>(</w:t>
            </w:r>
            <w:r w:rsidR="00D9164C">
              <w:t>g</w:t>
            </w:r>
            <w:r>
              <w:t>)</w:t>
            </w:r>
            <w:r>
              <w:tab/>
              <w:t xml:space="preserve">Section 6.7.5.1, Regulation Up Payments and Charges; </w:t>
            </w:r>
          </w:p>
          <w:p w14:paraId="3AB428CE" w14:textId="6C3FA5EE" w:rsidR="004033D4" w:rsidRDefault="004033D4" w:rsidP="004033D4">
            <w:pPr>
              <w:spacing w:after="240"/>
              <w:ind w:left="1440" w:hanging="720"/>
            </w:pPr>
            <w:r>
              <w:t>(</w:t>
            </w:r>
            <w:r w:rsidR="00D9164C">
              <w:t>h</w:t>
            </w:r>
            <w:r>
              <w:t>)</w:t>
            </w:r>
            <w:r>
              <w:tab/>
              <w:t xml:space="preserve">Section 6.7.5.2, Regulation Down Payments and Charges; </w:t>
            </w:r>
          </w:p>
          <w:p w14:paraId="2C8E48B2" w14:textId="60CD9C69" w:rsidR="004033D4" w:rsidRDefault="004033D4" w:rsidP="004033D4">
            <w:pPr>
              <w:spacing w:after="240"/>
              <w:ind w:left="1440" w:hanging="720"/>
            </w:pPr>
            <w:r>
              <w:t>(</w:t>
            </w:r>
            <w:r w:rsidR="00D9164C">
              <w:t>i</w:t>
            </w:r>
            <w:r>
              <w:t>)</w:t>
            </w:r>
            <w:r>
              <w:tab/>
              <w:t xml:space="preserve">Section 6.7.5.3, Responsive Reserve Payments and Charges; </w:t>
            </w:r>
          </w:p>
          <w:p w14:paraId="698790AE" w14:textId="4AF65936" w:rsidR="004033D4" w:rsidRDefault="004033D4" w:rsidP="004033D4">
            <w:pPr>
              <w:spacing w:after="240"/>
              <w:ind w:left="1440" w:hanging="720"/>
            </w:pPr>
            <w:r>
              <w:t>(</w:t>
            </w:r>
            <w:r w:rsidR="00D9164C">
              <w:t>j</w:t>
            </w:r>
            <w:r>
              <w:t>)</w:t>
            </w:r>
            <w:r>
              <w:tab/>
              <w:t>Section 6.7.5.4, Non-Spinning Reserve Payments and Charges; and</w:t>
            </w:r>
          </w:p>
          <w:p w14:paraId="55FD048E" w14:textId="67C94A20" w:rsidR="004033D4" w:rsidRPr="00B35DA1" w:rsidRDefault="004033D4" w:rsidP="004033D4">
            <w:pPr>
              <w:spacing w:after="240"/>
              <w:ind w:left="1440" w:hanging="720"/>
            </w:pPr>
            <w:r>
              <w:t>(</w:t>
            </w:r>
            <w:r w:rsidR="00D9164C">
              <w:t>k</w:t>
            </w:r>
            <w:r>
              <w:t>)</w:t>
            </w:r>
            <w:r>
              <w:tab/>
              <w:t>Section 6.7.5.5, ERCOT Contingency Reserve Service Payments and Charges.</w:t>
            </w:r>
          </w:p>
        </w:tc>
      </w:tr>
    </w:tbl>
    <w:p w14:paraId="193F3B9F" w14:textId="302DA1D7" w:rsidR="00613851" w:rsidRDefault="00613851" w:rsidP="0028136E">
      <w:pPr>
        <w:spacing w:before="240" w:after="240"/>
        <w:ind w:left="1440" w:hanging="720"/>
      </w:pPr>
      <w:r w:rsidRPr="00613851">
        <w:t>(</w:t>
      </w:r>
      <w:r w:rsidR="00D9164C">
        <w:t>g</w:t>
      </w:r>
      <w:r w:rsidRPr="00613851">
        <w:t>)</w:t>
      </w:r>
      <w:r w:rsidRPr="00613851">
        <w:tab/>
        <w:t>Section 7.9.2.1,</w:t>
      </w:r>
      <w:bookmarkEnd w:id="505"/>
      <w:bookmarkEnd w:id="506"/>
      <w:bookmarkEnd w:id="507"/>
      <w:r w:rsidRPr="00613851">
        <w:t xml:space="preserve"> Payments and Charges for PTP Obligations Settled in Real-Time.</w:t>
      </w:r>
    </w:p>
    <w:p w14:paraId="29DEF723" w14:textId="77777777" w:rsidR="009453A8" w:rsidRDefault="009453A8" w:rsidP="009453A8">
      <w:pPr>
        <w:keepNext/>
        <w:tabs>
          <w:tab w:val="left" w:pos="1620"/>
        </w:tabs>
        <w:spacing w:before="240" w:after="240"/>
        <w:outlineLvl w:val="4"/>
        <w:rPr>
          <w:b/>
          <w:bCs/>
          <w:i/>
          <w:iCs/>
          <w:szCs w:val="26"/>
        </w:rPr>
      </w:pPr>
      <w:bookmarkStart w:id="508" w:name="_Toc148960876"/>
      <w:r w:rsidRPr="00613851">
        <w:rPr>
          <w:b/>
          <w:bCs/>
          <w:i/>
          <w:iCs/>
          <w:szCs w:val="26"/>
        </w:rPr>
        <w:t>16.11.4.3.</w:t>
      </w:r>
      <w:r>
        <w:rPr>
          <w:b/>
          <w:bCs/>
          <w:i/>
          <w:iCs/>
          <w:szCs w:val="26"/>
        </w:rPr>
        <w:t>3</w:t>
      </w:r>
      <w:r w:rsidRPr="00613851">
        <w:rPr>
          <w:b/>
          <w:bCs/>
          <w:i/>
          <w:iCs/>
          <w:szCs w:val="26"/>
        </w:rPr>
        <w:tab/>
      </w:r>
      <w:r>
        <w:rPr>
          <w:b/>
          <w:bCs/>
          <w:i/>
          <w:iCs/>
          <w:szCs w:val="26"/>
        </w:rPr>
        <w:t>Forward Adjustment Factors</w:t>
      </w:r>
      <w:bookmarkEnd w:id="508"/>
    </w:p>
    <w:p w14:paraId="69BBD247" w14:textId="77777777" w:rsidR="009453A8" w:rsidRDefault="009453A8" w:rsidP="009453A8">
      <w:pPr>
        <w:keepNext/>
        <w:spacing w:after="240"/>
        <w:ind w:left="720" w:hanging="720"/>
        <w:rPr>
          <w:iCs/>
        </w:rPr>
      </w:pPr>
      <w:r>
        <w:rPr>
          <w:iCs/>
        </w:rPr>
        <w:t>(1)</w:t>
      </w:r>
      <w:r>
        <w:rPr>
          <w:iCs/>
        </w:rPr>
        <w:tab/>
        <w:t>Forward adjustment factors are used to adjust TPEA based on electricity futures prices.</w:t>
      </w:r>
    </w:p>
    <w:p w14:paraId="657EE274" w14:textId="77777777" w:rsidR="009453A8" w:rsidRDefault="009453A8" w:rsidP="009453A8">
      <w:pPr>
        <w:keepNext/>
        <w:spacing w:after="240"/>
        <w:ind w:left="1440" w:hanging="720"/>
        <w:rPr>
          <w:iCs/>
        </w:rPr>
      </w:pPr>
      <w:r>
        <w:rPr>
          <w:iCs/>
        </w:rPr>
        <w:t>(a)</w:t>
      </w:r>
      <w:r>
        <w:rPr>
          <w:iCs/>
        </w:rPr>
        <w:tab/>
        <w:t xml:space="preserve">Futures Weekly Average Price (FWAP): </w:t>
      </w:r>
    </w:p>
    <w:p w14:paraId="4FC27539" w14:textId="10BAC73C" w:rsidR="009453A8" w:rsidRPr="004143EA" w:rsidRDefault="009453A8" w:rsidP="009453A8">
      <w:pPr>
        <w:spacing w:after="240"/>
      </w:pPr>
      <w:r>
        <w:rPr>
          <w:iCs/>
        </w:rPr>
        <w:tab/>
      </w:r>
      <w:r>
        <w:rPr>
          <w:iCs/>
        </w:rPr>
        <w:tab/>
      </w:r>
      <w:proofErr w:type="spellStart"/>
      <w:r>
        <w:rPr>
          <w:iCs/>
        </w:rPr>
        <w:t>FWAP</w:t>
      </w:r>
      <w:r w:rsidRPr="006B56FB">
        <w:rPr>
          <w:i/>
          <w:iCs/>
          <w:vertAlign w:val="subscript"/>
        </w:rPr>
        <w:t>w</w:t>
      </w:r>
      <w:proofErr w:type="spellEnd"/>
      <w:r>
        <w:rPr>
          <w:iCs/>
        </w:rPr>
        <w:t xml:space="preserve"> = (1/</w:t>
      </w:r>
      <w:proofErr w:type="spellStart"/>
      <w:r w:rsidRPr="00934A67">
        <w:rPr>
          <w:i/>
          <w:iCs/>
        </w:rPr>
        <w:t>nfwh</w:t>
      </w:r>
      <w:proofErr w:type="spellEnd"/>
      <w:r>
        <w:rPr>
          <w:iCs/>
        </w:rPr>
        <w:t xml:space="preserve">) * </w:t>
      </w:r>
      <w:r w:rsidRPr="005D40CD">
        <w:rPr>
          <w:iCs/>
        </w:rPr>
        <w:fldChar w:fldCharType="begin"/>
      </w:r>
      <w:r w:rsidRPr="005D40CD">
        <w:rPr>
          <w:iCs/>
        </w:rPr>
        <w:instrText xml:space="preserve"> QUOTE </w:instrText>
      </w:r>
      <m:oMath>
        <m:nary>
          <m:naryPr>
            <m:chr m:val="∑"/>
            <m:limLoc m:val="undOvr"/>
            <m:ctrlPr>
              <w:rPr>
                <w:rFonts w:ascii="Cambria Math" w:hAnsi="Cambria Math"/>
                <w:i/>
                <w:iCs/>
              </w:rPr>
            </m:ctrlPr>
          </m:naryPr>
          <m:sub>
            <m:r>
              <m:rPr>
                <m:sty m:val="p"/>
              </m:rPr>
              <w:rPr>
                <w:rFonts w:ascii="Cambria Math" w:hAnsi="Cambria Math"/>
              </w:rPr>
              <m:t>fwh=1</m:t>
            </m:r>
          </m:sub>
          <m:sup>
            <m:r>
              <m:rPr>
                <m:sty m:val="p"/>
              </m:rPr>
              <w:rPr>
                <w:rFonts w:ascii="Cambria Math" w:hAnsi="Cambria Math"/>
              </w:rPr>
              <m:t>nfwh</m:t>
            </m:r>
          </m:sup>
          <m:e/>
        </m:nary>
      </m:oMath>
      <w:r w:rsidRPr="005D40CD">
        <w:rPr>
          <w:iCs/>
        </w:rPr>
        <w:instrText xml:space="preserve"> </w:instrText>
      </w:r>
      <w:r w:rsidRPr="005D40CD">
        <w:rPr>
          <w:iCs/>
        </w:rPr>
        <w:fldChar w:fldCharType="end"/>
      </w:r>
      <m:oMath>
        <m:nary>
          <m:naryPr>
            <m:chr m:val="∑"/>
            <m:limLoc m:val="undOvr"/>
            <m:ctrlPr>
              <w:rPr>
                <w:rFonts w:ascii="Cambria Math" w:hAnsi="Cambria Math"/>
                <w:i/>
                <w:iCs/>
              </w:rPr>
            </m:ctrlPr>
          </m:naryPr>
          <m:sub>
            <m:r>
              <w:rPr>
                <w:rFonts w:ascii="Cambria Math" w:hAnsi="Cambria Math"/>
              </w:rPr>
              <m:t>fwh=</m:t>
            </m:r>
            <m:r>
              <w:rPr>
                <w:rFonts w:ascii="Cambria Math" w:hAnsi="Cambria Math"/>
              </w:rPr>
              <m:t>1</m:t>
            </m:r>
          </m:sub>
          <m:sup>
            <m:r>
              <w:rPr>
                <w:rFonts w:ascii="Cambria Math" w:hAnsi="Cambria Math"/>
              </w:rPr>
              <m:t>nfwh</m:t>
            </m:r>
          </m:sup>
          <m:e>
            <m:r>
              <m:rPr>
                <m:sty m:val="p"/>
              </m:rPr>
              <w:rPr>
                <w:rFonts w:ascii="Cambria Math" w:hAnsi="Cambria Math"/>
              </w:rPr>
              <m:t>[</m:t>
            </m:r>
          </m:e>
        </m:nary>
      </m:oMath>
      <w:r w:rsidRPr="005035F1">
        <w:rPr>
          <w:iCs/>
        </w:rPr>
        <w:t xml:space="preserve">FHP </w:t>
      </w:r>
      <w:proofErr w:type="spellStart"/>
      <w:r w:rsidRPr="005035F1">
        <w:rPr>
          <w:i/>
          <w:iCs/>
          <w:vertAlign w:val="subscript"/>
        </w:rPr>
        <w:t>fwh</w:t>
      </w:r>
      <w:proofErr w:type="spellEnd"/>
      <w:r w:rsidRPr="005035F1">
        <w:rPr>
          <w:i/>
          <w:iCs/>
          <w:vertAlign w:val="subscript"/>
        </w:rPr>
        <w:t xml:space="preserve">, </w:t>
      </w:r>
      <w:proofErr w:type="spellStart"/>
      <w:r w:rsidRPr="005035F1">
        <w:rPr>
          <w:i/>
          <w:iCs/>
          <w:vertAlign w:val="subscript"/>
        </w:rPr>
        <w:t>rhub</w:t>
      </w:r>
      <w:proofErr w:type="spellEnd"/>
      <w:r>
        <w:rPr>
          <w:iCs/>
        </w:rPr>
        <w:t>]</w:t>
      </w:r>
    </w:p>
    <w:p w14:paraId="7217F9EC" w14:textId="77777777" w:rsidR="009453A8" w:rsidRDefault="009453A8" w:rsidP="009453A8">
      <w:pPr>
        <w:keepNext/>
        <w:spacing w:after="240"/>
        <w:ind w:left="1440" w:hanging="720"/>
        <w:rPr>
          <w:iCs/>
        </w:rPr>
      </w:pPr>
      <w:r>
        <w:rPr>
          <w:iCs/>
        </w:rPr>
        <w:t>(b)</w:t>
      </w:r>
      <w:r>
        <w:rPr>
          <w:iCs/>
        </w:rPr>
        <w:tab/>
        <w:t xml:space="preserve">Projected Real-Time Forward Average Price (PRFAP): </w:t>
      </w:r>
    </w:p>
    <w:p w14:paraId="1CDBDA5B" w14:textId="6879FEF8" w:rsidR="009453A8" w:rsidRPr="006B56FB" w:rsidRDefault="009453A8" w:rsidP="009453A8">
      <w:pPr>
        <w:spacing w:after="240"/>
        <w:rPr>
          <w:iCs/>
        </w:rPr>
      </w:pPr>
      <w:r>
        <w:rPr>
          <w:iCs/>
        </w:rPr>
        <w:tab/>
      </w:r>
      <w:r>
        <w:rPr>
          <w:iCs/>
        </w:rPr>
        <w:tab/>
        <w:t>PRFAP =</w:t>
      </w:r>
      <w:r>
        <w:rPr>
          <w:position w:val="-6"/>
        </w:rPr>
        <w:t xml:space="preserve"> </w:t>
      </w:r>
      <m:oMath>
        <m:nary>
          <m:naryPr>
            <m:chr m:val="∑"/>
            <m:limLoc m:val="undOvr"/>
            <m:ctrlPr>
              <w:rPr>
                <w:rFonts w:ascii="Cambria Math" w:hAnsi="Cambria Math"/>
                <w:i/>
                <w:iCs/>
              </w:rPr>
            </m:ctrlPr>
          </m:naryPr>
          <m:sub>
            <m:r>
              <w:rPr>
                <w:rFonts w:ascii="Cambria Math" w:hAnsi="Cambria Math"/>
              </w:rPr>
              <m:t>w=1</m:t>
            </m:r>
          </m:sub>
          <m:sup>
            <m:r>
              <w:rPr>
                <w:rFonts w:ascii="Cambria Math" w:hAnsi="Cambria Math"/>
              </w:rPr>
              <m:t>3</m:t>
            </m:r>
          </m:sup>
          <m:e>
            <m:r>
              <m:rPr>
                <m:sty m:val="p"/>
              </m:rPr>
              <w:rPr>
                <w:rFonts w:ascii="Cambria Math" w:hAnsi="Cambria Math"/>
              </w:rPr>
              <m:t>[</m:t>
            </m:r>
          </m:e>
        </m:nary>
      </m:oMath>
      <w:r w:rsidRPr="005035F1">
        <w:rPr>
          <w:i/>
          <w:iCs/>
        </w:rPr>
        <w:t xml:space="preserve">RWF </w:t>
      </w:r>
      <w:r w:rsidRPr="005035F1">
        <w:rPr>
          <w:i/>
          <w:iCs/>
          <w:vertAlign w:val="subscript"/>
        </w:rPr>
        <w:t>w</w:t>
      </w:r>
      <w:r w:rsidRPr="005035F1">
        <w:rPr>
          <w:iCs/>
        </w:rPr>
        <w:t xml:space="preserve"> * FWAP </w:t>
      </w:r>
      <w:r w:rsidRPr="005035F1">
        <w:rPr>
          <w:i/>
          <w:iCs/>
          <w:vertAlign w:val="subscript"/>
        </w:rPr>
        <w:t>w</w:t>
      </w:r>
      <w:r w:rsidRPr="005035F1">
        <w:rPr>
          <w:iCs/>
        </w:rPr>
        <w:t>]</w:t>
      </w:r>
    </w:p>
    <w:p w14:paraId="3954A635" w14:textId="77777777" w:rsidR="009453A8" w:rsidRDefault="009453A8" w:rsidP="009453A8">
      <w:pPr>
        <w:keepNext/>
        <w:spacing w:after="240"/>
        <w:ind w:left="1440" w:hanging="720"/>
        <w:rPr>
          <w:iCs/>
        </w:rPr>
      </w:pPr>
      <w:r>
        <w:rPr>
          <w:iCs/>
        </w:rPr>
        <w:t>(c)</w:t>
      </w:r>
      <w:r>
        <w:rPr>
          <w:iCs/>
        </w:rPr>
        <w:tab/>
        <w:t xml:space="preserve">Projected Day-Ahead Forward Average Price (PDFAP): </w:t>
      </w:r>
    </w:p>
    <w:p w14:paraId="7F790E3A" w14:textId="7DE520C3" w:rsidR="009453A8" w:rsidRDefault="009453A8" w:rsidP="009453A8">
      <w:pPr>
        <w:keepNext/>
        <w:spacing w:after="240"/>
        <w:ind w:left="1440"/>
        <w:rPr>
          <w:iCs/>
        </w:rPr>
      </w:pPr>
      <w:r>
        <w:rPr>
          <w:iCs/>
        </w:rPr>
        <w:t>PDFAP =</w:t>
      </w:r>
      <w:r>
        <w:rPr>
          <w:position w:val="-6"/>
        </w:rPr>
        <w:t xml:space="preserve"> </w:t>
      </w:r>
      <m:oMath>
        <m:nary>
          <m:naryPr>
            <m:chr m:val="∑"/>
            <m:limLoc m:val="undOvr"/>
            <m:ctrlPr>
              <w:rPr>
                <w:rFonts w:ascii="Cambria Math" w:hAnsi="Cambria Math"/>
                <w:i/>
                <w:iCs/>
              </w:rPr>
            </m:ctrlPr>
          </m:naryPr>
          <m:sub>
            <m:r>
              <w:rPr>
                <w:rFonts w:ascii="Cambria Math" w:hAnsi="Cambria Math"/>
              </w:rPr>
              <m:t>w=1</m:t>
            </m:r>
          </m:sub>
          <m:sup>
            <m:r>
              <w:rPr>
                <w:rFonts w:ascii="Cambria Math" w:hAnsi="Cambria Math"/>
              </w:rPr>
              <m:t>3</m:t>
            </m:r>
          </m:sup>
          <m:e>
            <m:r>
              <m:rPr>
                <m:sty m:val="p"/>
              </m:rPr>
              <w:rPr>
                <w:rFonts w:ascii="Cambria Math" w:hAnsi="Cambria Math"/>
              </w:rPr>
              <m:t>[</m:t>
            </m:r>
          </m:e>
        </m:nary>
      </m:oMath>
      <w:r w:rsidRPr="006B56FB">
        <w:rPr>
          <w:i/>
          <w:iCs/>
        </w:rPr>
        <w:t>D</w:t>
      </w:r>
      <w:r w:rsidRPr="005035F1">
        <w:rPr>
          <w:i/>
          <w:iCs/>
        </w:rPr>
        <w:t xml:space="preserve">WF </w:t>
      </w:r>
      <w:r w:rsidRPr="005035F1">
        <w:rPr>
          <w:i/>
          <w:iCs/>
          <w:vertAlign w:val="subscript"/>
        </w:rPr>
        <w:t>w</w:t>
      </w:r>
      <w:r w:rsidRPr="005035F1">
        <w:rPr>
          <w:iCs/>
        </w:rPr>
        <w:t xml:space="preserve"> * FWAP </w:t>
      </w:r>
      <w:r w:rsidRPr="005035F1">
        <w:rPr>
          <w:i/>
          <w:iCs/>
          <w:vertAlign w:val="subscript"/>
        </w:rPr>
        <w:t>w</w:t>
      </w:r>
      <w:r w:rsidRPr="005035F1">
        <w:rPr>
          <w:iCs/>
        </w:rPr>
        <w:t>]</w:t>
      </w:r>
    </w:p>
    <w:p w14:paraId="6223B224" w14:textId="77777777" w:rsidR="009453A8" w:rsidRDefault="009453A8" w:rsidP="009453A8">
      <w:pPr>
        <w:keepNext/>
        <w:spacing w:after="240"/>
        <w:ind w:left="1440" w:hanging="720"/>
        <w:rPr>
          <w:iCs/>
        </w:rPr>
      </w:pPr>
      <w:r>
        <w:rPr>
          <w:iCs/>
        </w:rPr>
        <w:t>(d)</w:t>
      </w:r>
      <w:r>
        <w:rPr>
          <w:iCs/>
        </w:rPr>
        <w:tab/>
        <w:t xml:space="preserve">Historic Real-Time Settled Average Price (HRSAP): </w:t>
      </w:r>
    </w:p>
    <w:p w14:paraId="0E75FEA6" w14:textId="04B2A5DC" w:rsidR="009453A8" w:rsidRPr="005035F1" w:rsidRDefault="009453A8" w:rsidP="009453A8">
      <w:pPr>
        <w:spacing w:after="240"/>
        <w:rPr>
          <w:i/>
          <w:iCs/>
          <w:vertAlign w:val="subscript"/>
        </w:rPr>
      </w:pPr>
      <w:r>
        <w:rPr>
          <w:iCs/>
        </w:rPr>
        <w:tab/>
      </w:r>
      <w:r>
        <w:rPr>
          <w:iCs/>
        </w:rPr>
        <w:tab/>
        <w:t>HRSAP = (1/</w:t>
      </w:r>
      <w:r w:rsidRPr="00934A67">
        <w:rPr>
          <w:i/>
          <w:iCs/>
        </w:rPr>
        <w:t>nhr</w:t>
      </w:r>
      <w:r w:rsidRPr="007D0D4F">
        <w:rPr>
          <w:i/>
          <w:iCs/>
        </w:rPr>
        <w:t>h</w:t>
      </w:r>
      <w:r>
        <w:rPr>
          <w:iCs/>
        </w:rPr>
        <w:t xml:space="preserve">) * </w:t>
      </w:r>
      <m:oMath>
        <m:nary>
          <m:naryPr>
            <m:chr m:val="∑"/>
            <m:limLoc m:val="undOvr"/>
            <m:ctrlPr>
              <w:rPr>
                <w:rFonts w:ascii="Cambria Math" w:hAnsi="Cambria Math"/>
                <w:i/>
                <w:iCs/>
              </w:rPr>
            </m:ctrlPr>
          </m:naryPr>
          <m:sub>
            <m:r>
              <w:rPr>
                <w:rFonts w:ascii="Cambria Math" w:hAnsi="Cambria Math"/>
              </w:rPr>
              <m:t>hrh=</m:t>
            </m:r>
            <m:r>
              <w:rPr>
                <w:rFonts w:ascii="Cambria Math" w:hAnsi="Cambria Math"/>
              </w:rPr>
              <m:t>1</m:t>
            </m:r>
          </m:sub>
          <m:sup>
            <m:r>
              <w:rPr>
                <w:rFonts w:ascii="Cambria Math" w:hAnsi="Cambria Math"/>
              </w:rPr>
              <m:t>nhrh</m:t>
            </m:r>
          </m:sup>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4</m:t>
                </m:r>
              </m:sup>
              <m:e>
                <m:r>
                  <m:rPr>
                    <m:sty m:val="p"/>
                  </m:rPr>
                  <w:rPr>
                    <w:rFonts w:ascii="Cambria Math" w:hAnsi="Cambria Math"/>
                  </w:rPr>
                  <m:t>[</m:t>
                </m:r>
              </m:e>
            </m:nary>
          </m:e>
        </m:nary>
      </m:oMath>
      <w:r w:rsidRPr="005035F1">
        <w:rPr>
          <w:iCs/>
        </w:rPr>
        <w:t>RTSPP</w:t>
      </w:r>
      <w:r w:rsidRPr="005035F1">
        <w:rPr>
          <w:i/>
          <w:iCs/>
        </w:rPr>
        <w:t xml:space="preserve"> </w:t>
      </w:r>
      <w:r w:rsidRPr="005035F1">
        <w:rPr>
          <w:i/>
          <w:iCs/>
          <w:vertAlign w:val="subscript"/>
        </w:rPr>
        <w:t xml:space="preserve">hrh, </w:t>
      </w:r>
      <w:r>
        <w:rPr>
          <w:i/>
          <w:iCs/>
          <w:vertAlign w:val="subscript"/>
        </w:rPr>
        <w:t>i</w:t>
      </w:r>
      <w:r w:rsidRPr="005035F1">
        <w:rPr>
          <w:i/>
          <w:iCs/>
          <w:vertAlign w:val="subscript"/>
        </w:rPr>
        <w:t>, rhub</w:t>
      </w:r>
      <w:r w:rsidRPr="005035F1">
        <w:rPr>
          <w:iCs/>
        </w:rPr>
        <w:t>]/4</w:t>
      </w:r>
    </w:p>
    <w:p w14:paraId="5FB6EB89" w14:textId="77777777" w:rsidR="009453A8" w:rsidRDefault="009453A8" w:rsidP="009453A8">
      <w:pPr>
        <w:keepNext/>
        <w:spacing w:after="240"/>
        <w:ind w:left="1440" w:hanging="720"/>
        <w:rPr>
          <w:iCs/>
        </w:rPr>
      </w:pPr>
      <w:r>
        <w:rPr>
          <w:iCs/>
        </w:rPr>
        <w:t>(e)</w:t>
      </w:r>
      <w:r>
        <w:rPr>
          <w:iCs/>
        </w:rPr>
        <w:tab/>
        <w:t xml:space="preserve">Historic Day-Ahead Settled Average Price (HDSAP): </w:t>
      </w:r>
    </w:p>
    <w:p w14:paraId="0776E0AE" w14:textId="25DBD953" w:rsidR="009453A8" w:rsidRPr="005035F1" w:rsidRDefault="009453A8" w:rsidP="009453A8">
      <w:pPr>
        <w:spacing w:after="240"/>
        <w:rPr>
          <w:i/>
          <w:iCs/>
          <w:vertAlign w:val="subscript"/>
        </w:rPr>
      </w:pPr>
      <w:r>
        <w:rPr>
          <w:iCs/>
        </w:rPr>
        <w:tab/>
      </w:r>
      <w:r>
        <w:rPr>
          <w:iCs/>
        </w:rPr>
        <w:tab/>
        <w:t>HDSAP = (1/</w:t>
      </w:r>
      <w:r w:rsidRPr="007D0D4F">
        <w:rPr>
          <w:i/>
          <w:iCs/>
        </w:rPr>
        <w:t>nh</w:t>
      </w:r>
      <w:r>
        <w:rPr>
          <w:i/>
          <w:iCs/>
        </w:rPr>
        <w:t>d</w:t>
      </w:r>
      <w:r w:rsidRPr="007D0D4F">
        <w:rPr>
          <w:i/>
          <w:iCs/>
        </w:rPr>
        <w:t>h</w:t>
      </w:r>
      <w:r>
        <w:rPr>
          <w:iCs/>
        </w:rPr>
        <w:t xml:space="preserve">) * </w:t>
      </w:r>
      <m:oMath>
        <m:nary>
          <m:naryPr>
            <m:chr m:val="∑"/>
            <m:limLoc m:val="undOvr"/>
            <m:ctrlPr>
              <w:rPr>
                <w:rFonts w:ascii="Cambria Math" w:hAnsi="Cambria Math"/>
                <w:i/>
                <w:iCs/>
              </w:rPr>
            </m:ctrlPr>
          </m:naryPr>
          <m:sub>
            <m:r>
              <w:rPr>
                <w:rFonts w:ascii="Cambria Math" w:hAnsi="Cambria Math"/>
              </w:rPr>
              <m:t>hdh=</m:t>
            </m:r>
            <m:r>
              <w:rPr>
                <w:rFonts w:ascii="Cambria Math" w:hAnsi="Cambria Math"/>
              </w:rPr>
              <m:t>1</m:t>
            </m:r>
          </m:sub>
          <m:sup>
            <m:r>
              <w:rPr>
                <w:rFonts w:ascii="Cambria Math" w:hAnsi="Cambria Math"/>
              </w:rPr>
              <m:t>nhdh</m:t>
            </m:r>
          </m:sup>
          <m:e>
            <m:r>
              <m:rPr>
                <m:sty m:val="p"/>
              </m:rPr>
              <w:rPr>
                <w:rFonts w:ascii="Cambria Math" w:hAnsi="Cambria Math"/>
              </w:rPr>
              <m:t>[</m:t>
            </m:r>
          </m:e>
        </m:nary>
      </m:oMath>
      <w:r w:rsidRPr="005035F1">
        <w:rPr>
          <w:iCs/>
        </w:rPr>
        <w:t>DASPP</w:t>
      </w:r>
      <w:r w:rsidRPr="005035F1">
        <w:rPr>
          <w:i/>
          <w:iCs/>
        </w:rPr>
        <w:t xml:space="preserve"> </w:t>
      </w:r>
      <w:r w:rsidRPr="005035F1">
        <w:rPr>
          <w:i/>
          <w:iCs/>
          <w:vertAlign w:val="subscript"/>
        </w:rPr>
        <w:t>hdh, rhub</w:t>
      </w:r>
      <w:r w:rsidRPr="005035F1">
        <w:rPr>
          <w:iCs/>
        </w:rPr>
        <w:t>]</w:t>
      </w:r>
    </w:p>
    <w:p w14:paraId="76963AFD" w14:textId="77777777" w:rsidR="009453A8" w:rsidRDefault="009453A8" w:rsidP="009453A8">
      <w:pPr>
        <w:keepNext/>
        <w:spacing w:after="240"/>
        <w:ind w:left="1440" w:hanging="720"/>
        <w:rPr>
          <w:iCs/>
        </w:rPr>
      </w:pPr>
      <w:r>
        <w:rPr>
          <w:iCs/>
        </w:rPr>
        <w:lastRenderedPageBreak/>
        <w:t>(f)</w:t>
      </w:r>
      <w:r>
        <w:rPr>
          <w:iCs/>
        </w:rPr>
        <w:tab/>
      </w:r>
      <w:r w:rsidRPr="00CB1534">
        <w:rPr>
          <w:iCs/>
        </w:rPr>
        <w:t xml:space="preserve">Real-Time Forward Adjustment Factor (RFAF): </w:t>
      </w:r>
    </w:p>
    <w:p w14:paraId="7C61FC8F" w14:textId="77777777" w:rsidR="009453A8" w:rsidRDefault="009453A8" w:rsidP="009453A8">
      <w:pPr>
        <w:keepNext/>
        <w:spacing w:after="240"/>
        <w:ind w:left="1440" w:hanging="720"/>
        <w:rPr>
          <w:iCs/>
        </w:rPr>
      </w:pPr>
      <w:r>
        <w:rPr>
          <w:iCs/>
        </w:rPr>
        <w:tab/>
      </w:r>
      <w:r w:rsidRPr="00CB1534">
        <w:rPr>
          <w:iCs/>
        </w:rPr>
        <w:t>RFAF = P</w:t>
      </w:r>
      <w:r>
        <w:rPr>
          <w:iCs/>
        </w:rPr>
        <w:t>R</w:t>
      </w:r>
      <w:r w:rsidRPr="00CB1534">
        <w:rPr>
          <w:iCs/>
        </w:rPr>
        <w:t>FAP/HRSAP</w:t>
      </w:r>
    </w:p>
    <w:p w14:paraId="5622F581" w14:textId="77777777" w:rsidR="009453A8" w:rsidRDefault="009453A8" w:rsidP="009453A8">
      <w:pPr>
        <w:keepNext/>
        <w:spacing w:after="240"/>
        <w:ind w:left="1440" w:hanging="720"/>
        <w:rPr>
          <w:iCs/>
        </w:rPr>
      </w:pPr>
      <w:r>
        <w:rPr>
          <w:iCs/>
        </w:rPr>
        <w:t>(g)</w:t>
      </w:r>
      <w:r>
        <w:rPr>
          <w:iCs/>
        </w:rPr>
        <w:tab/>
        <w:t>Day-Ahead Forward Adjustment Factor (DFAF):</w:t>
      </w:r>
    </w:p>
    <w:p w14:paraId="163143F0" w14:textId="77777777" w:rsidR="009453A8" w:rsidRDefault="009453A8" w:rsidP="009453A8">
      <w:pPr>
        <w:keepNext/>
        <w:spacing w:after="240"/>
        <w:ind w:left="1440" w:hanging="720"/>
      </w:pPr>
      <w:r>
        <w:rPr>
          <w:iCs/>
        </w:rPr>
        <w:tab/>
        <w:t xml:space="preserve">DFAF = PDFAP/HDSAP </w:t>
      </w:r>
    </w:p>
    <w:p w14:paraId="7B07FB24" w14:textId="77777777" w:rsidR="009453A8" w:rsidRDefault="009453A8" w:rsidP="009453A8">
      <w:r>
        <w:t>The above variables are defined as follows:</w:t>
      </w:r>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264"/>
        <w:gridCol w:w="899"/>
        <w:gridCol w:w="7107"/>
      </w:tblGrid>
      <w:tr w:rsidR="009453A8" w14:paraId="72692938" w14:textId="77777777" w:rsidTr="005551AD">
        <w:tc>
          <w:tcPr>
            <w:tcW w:w="1264" w:type="dxa"/>
          </w:tcPr>
          <w:p w14:paraId="7C3A93AD" w14:textId="77777777" w:rsidR="009453A8" w:rsidRDefault="009453A8" w:rsidP="005551AD">
            <w:pPr>
              <w:pStyle w:val="TableHead"/>
            </w:pPr>
            <w:r>
              <w:t>Variable</w:t>
            </w:r>
          </w:p>
        </w:tc>
        <w:tc>
          <w:tcPr>
            <w:tcW w:w="899" w:type="dxa"/>
          </w:tcPr>
          <w:p w14:paraId="6E4060EF" w14:textId="77777777" w:rsidR="009453A8" w:rsidRDefault="009453A8" w:rsidP="005551AD">
            <w:pPr>
              <w:pStyle w:val="TableHead"/>
            </w:pPr>
            <w:r>
              <w:t>Unit</w:t>
            </w:r>
          </w:p>
        </w:tc>
        <w:tc>
          <w:tcPr>
            <w:tcW w:w="7107" w:type="dxa"/>
          </w:tcPr>
          <w:p w14:paraId="36D3B23A" w14:textId="77777777" w:rsidR="009453A8" w:rsidRDefault="009453A8" w:rsidP="005551AD">
            <w:pPr>
              <w:pStyle w:val="TableHead"/>
            </w:pPr>
            <w:r>
              <w:t>Description</w:t>
            </w:r>
          </w:p>
        </w:tc>
      </w:tr>
      <w:tr w:rsidR="009453A8" w14:paraId="18ABD624" w14:textId="77777777" w:rsidTr="005551AD">
        <w:tc>
          <w:tcPr>
            <w:tcW w:w="1264" w:type="dxa"/>
          </w:tcPr>
          <w:p w14:paraId="475F347E" w14:textId="77777777" w:rsidR="009453A8" w:rsidRDefault="009453A8" w:rsidP="005551AD">
            <w:pPr>
              <w:pStyle w:val="TableBody"/>
            </w:pPr>
            <w:r>
              <w:t>PRFAP</w:t>
            </w:r>
          </w:p>
        </w:tc>
        <w:tc>
          <w:tcPr>
            <w:tcW w:w="899" w:type="dxa"/>
          </w:tcPr>
          <w:p w14:paraId="2A6D9606" w14:textId="77777777" w:rsidR="009453A8" w:rsidRDefault="009453A8" w:rsidP="005551AD">
            <w:pPr>
              <w:pStyle w:val="TableBody"/>
              <w:rPr>
                <w:i/>
              </w:rPr>
            </w:pPr>
            <w:r>
              <w:t>$/MWh</w:t>
            </w:r>
          </w:p>
        </w:tc>
        <w:tc>
          <w:tcPr>
            <w:tcW w:w="7107" w:type="dxa"/>
          </w:tcPr>
          <w:p w14:paraId="49212C43" w14:textId="77777777" w:rsidR="009453A8" w:rsidRDefault="009453A8" w:rsidP="005551AD">
            <w:pPr>
              <w:pStyle w:val="TableBody"/>
            </w:pPr>
            <w:r>
              <w:rPr>
                <w:i/>
              </w:rPr>
              <w:t>Projected Real-Time Forward Average Price</w:t>
            </w:r>
            <w:r>
              <w:sym w:font="Symbol" w:char="F0BE"/>
            </w:r>
            <w:r>
              <w:t>The average RTM price per MWh projected forward based on futures market prices.</w:t>
            </w:r>
          </w:p>
        </w:tc>
      </w:tr>
      <w:tr w:rsidR="009453A8" w14:paraId="60681ACE" w14:textId="77777777" w:rsidTr="005551AD">
        <w:tc>
          <w:tcPr>
            <w:tcW w:w="1264" w:type="dxa"/>
          </w:tcPr>
          <w:p w14:paraId="1342E7B7" w14:textId="77777777" w:rsidR="009453A8" w:rsidRDefault="009453A8" w:rsidP="005551AD">
            <w:pPr>
              <w:pStyle w:val="TableBody"/>
            </w:pPr>
            <w:r>
              <w:t>PDFAP</w:t>
            </w:r>
          </w:p>
        </w:tc>
        <w:tc>
          <w:tcPr>
            <w:tcW w:w="899" w:type="dxa"/>
          </w:tcPr>
          <w:p w14:paraId="08C019A5" w14:textId="77777777" w:rsidR="009453A8" w:rsidRDefault="009453A8" w:rsidP="005551AD">
            <w:pPr>
              <w:pStyle w:val="TableBody"/>
            </w:pPr>
            <w:r>
              <w:t>$/MWh</w:t>
            </w:r>
          </w:p>
        </w:tc>
        <w:tc>
          <w:tcPr>
            <w:tcW w:w="7107" w:type="dxa"/>
          </w:tcPr>
          <w:p w14:paraId="4CA49154" w14:textId="77777777" w:rsidR="009453A8" w:rsidRDefault="009453A8" w:rsidP="005551AD">
            <w:pPr>
              <w:pStyle w:val="TableBody"/>
              <w:rPr>
                <w:i/>
              </w:rPr>
            </w:pPr>
            <w:r>
              <w:rPr>
                <w:i/>
              </w:rPr>
              <w:t>Projected Day-Ahead Forward Average Price</w:t>
            </w:r>
            <w:r>
              <w:sym w:font="Symbol" w:char="F0BE"/>
            </w:r>
            <w:r>
              <w:t>The average DAM price per MWh projected forward based on futures market prices.</w:t>
            </w:r>
          </w:p>
        </w:tc>
      </w:tr>
      <w:tr w:rsidR="009453A8" w14:paraId="38A74898" w14:textId="77777777" w:rsidTr="005551AD">
        <w:tc>
          <w:tcPr>
            <w:tcW w:w="1264" w:type="dxa"/>
          </w:tcPr>
          <w:p w14:paraId="14D94221" w14:textId="77777777" w:rsidR="009453A8" w:rsidRDefault="009453A8" w:rsidP="005551AD">
            <w:pPr>
              <w:pStyle w:val="TableBody"/>
            </w:pPr>
            <w:r>
              <w:rPr>
                <w:i/>
              </w:rPr>
              <w:t>w</w:t>
            </w:r>
          </w:p>
        </w:tc>
        <w:tc>
          <w:tcPr>
            <w:tcW w:w="899" w:type="dxa"/>
          </w:tcPr>
          <w:p w14:paraId="6DCAB80A" w14:textId="77777777" w:rsidR="009453A8" w:rsidRDefault="009453A8" w:rsidP="005551AD">
            <w:pPr>
              <w:pStyle w:val="TableBody"/>
            </w:pPr>
            <w:r>
              <w:t>None</w:t>
            </w:r>
          </w:p>
        </w:tc>
        <w:tc>
          <w:tcPr>
            <w:tcW w:w="7107" w:type="dxa"/>
          </w:tcPr>
          <w:p w14:paraId="15033F7D" w14:textId="6EB2B123" w:rsidR="009453A8" w:rsidRPr="006B56FB" w:rsidRDefault="009453A8" w:rsidP="00A9389C">
            <w:pPr>
              <w:pStyle w:val="TableBody"/>
            </w:pPr>
            <w:r w:rsidRPr="006B56FB">
              <w:t>One of the three consecutive</w:t>
            </w:r>
            <w:r>
              <w:t xml:space="preserve"> </w:t>
            </w:r>
            <w:r w:rsidRPr="006B56FB">
              <w:t xml:space="preserve">forward weeks </w:t>
            </w:r>
            <w:r w:rsidR="00A9389C">
              <w:t>beginning with</w:t>
            </w:r>
            <w:r w:rsidRPr="006B56FB">
              <w:t xml:space="preserve"> the current Operating Day.</w:t>
            </w:r>
          </w:p>
        </w:tc>
      </w:tr>
      <w:tr w:rsidR="009453A8" w14:paraId="72D82C44" w14:textId="77777777" w:rsidTr="005551AD">
        <w:tc>
          <w:tcPr>
            <w:tcW w:w="1264" w:type="dxa"/>
          </w:tcPr>
          <w:p w14:paraId="0498D32D" w14:textId="77777777" w:rsidR="009453A8" w:rsidRPr="0021233C" w:rsidRDefault="009453A8" w:rsidP="005551AD">
            <w:pPr>
              <w:pStyle w:val="TableBody"/>
            </w:pPr>
            <w:r w:rsidRPr="006B56FB">
              <w:rPr>
                <w:i/>
              </w:rPr>
              <w:t>RWF</w:t>
            </w:r>
            <w:r w:rsidRPr="00240B9F">
              <w:rPr>
                <w:i/>
                <w:vertAlign w:val="subscript"/>
              </w:rPr>
              <w:t>w</w:t>
            </w:r>
          </w:p>
        </w:tc>
        <w:tc>
          <w:tcPr>
            <w:tcW w:w="899" w:type="dxa"/>
          </w:tcPr>
          <w:p w14:paraId="75EA24A9" w14:textId="77777777" w:rsidR="009453A8" w:rsidRDefault="009453A8" w:rsidP="005551AD">
            <w:pPr>
              <w:pStyle w:val="TableBody"/>
            </w:pPr>
            <w:r>
              <w:t>None</w:t>
            </w:r>
          </w:p>
        </w:tc>
        <w:tc>
          <w:tcPr>
            <w:tcW w:w="7107" w:type="dxa"/>
          </w:tcPr>
          <w:p w14:paraId="328D53E4" w14:textId="77777777" w:rsidR="009453A8" w:rsidRDefault="009453A8" w:rsidP="005551AD">
            <w:pPr>
              <w:pStyle w:val="TableBody"/>
              <w:rPr>
                <w:i/>
              </w:rPr>
            </w:pPr>
            <w:r>
              <w:rPr>
                <w:i/>
              </w:rPr>
              <w:t xml:space="preserve">Real-Time Weight Factor for forward week w </w:t>
            </w:r>
            <w:r>
              <w:rPr>
                <w:iCs w:val="0"/>
              </w:rPr>
              <w:t xml:space="preserve">such that </w:t>
            </w:r>
            <w:r w:rsidRPr="0086681B">
              <w:rPr>
                <w:rFonts w:ascii="Cambria Math" w:hAnsi="Cambria Math"/>
              </w:rPr>
              <w:br/>
            </w:r>
            <m:oMath>
              <m:nary>
                <m:naryPr>
                  <m:chr m:val="∑"/>
                  <m:limLoc m:val="undOvr"/>
                  <m:ctrlPr>
                    <w:rPr>
                      <w:rFonts w:ascii="Cambria Math" w:hAnsi="Cambria Math"/>
                      <w:i/>
                    </w:rPr>
                  </m:ctrlPr>
                </m:naryPr>
                <m:sub>
                  <m:r>
                    <w:rPr>
                      <w:rFonts w:ascii="Cambria Math" w:hAnsi="Cambria Math"/>
                    </w:rPr>
                    <m:t>w=1</m:t>
                  </m:r>
                </m:sub>
                <m:sup>
                  <m:r>
                    <w:rPr>
                      <w:rFonts w:ascii="Cambria Math" w:hAnsi="Cambria Math"/>
                    </w:rPr>
                    <m:t>3</m:t>
                  </m:r>
                </m:sup>
                <m:e>
                  <m:r>
                    <w:rPr>
                      <w:rFonts w:ascii="Cambria Math" w:hAnsi="Cambria Math"/>
                    </w:rPr>
                    <m:t>RW</m:t>
                  </m:r>
                  <m:sSub>
                    <m:sSubPr>
                      <m:ctrlPr>
                        <w:rPr>
                          <w:rFonts w:ascii="Cambria Math" w:eastAsia="Calibri" w:hAnsi="Cambria Math"/>
                          <w:i/>
                        </w:rPr>
                      </m:ctrlPr>
                    </m:sSubPr>
                    <m:e>
                      <m:r>
                        <w:rPr>
                          <w:rFonts w:ascii="Cambria Math" w:hAnsi="Cambria Math"/>
                        </w:rPr>
                        <m:t>F</m:t>
                      </m:r>
                    </m:e>
                    <m:sub>
                      <m:r>
                        <w:rPr>
                          <w:rFonts w:ascii="Cambria Math" w:hAnsi="Cambria Math"/>
                        </w:rPr>
                        <m:t>w</m:t>
                      </m:r>
                    </m:sub>
                  </m:sSub>
                  <m:r>
                    <w:rPr>
                      <w:rFonts w:ascii="Cambria Math" w:hAnsi="Cambria Math"/>
                    </w:rPr>
                    <m:t>=1</m:t>
                  </m:r>
                </m:e>
              </m:nary>
            </m:oMath>
            <w:r w:rsidRPr="00B77CA9">
              <w:fldChar w:fldCharType="begin"/>
            </w:r>
            <w:r w:rsidRPr="00B77CA9">
              <w:instrText xml:space="preserve"> QUOTE </w:instrText>
            </w:r>
            <m:oMath>
              <m:nary>
                <m:naryPr>
                  <m:chr m:val="∑"/>
                  <m:limLoc m:val="undOvr"/>
                  <m:ctrlPr>
                    <w:rPr>
                      <w:rFonts w:ascii="Cambria Math" w:hAnsi="Cambria Math"/>
                      <w:i/>
                    </w:rPr>
                  </m:ctrlPr>
                </m:naryPr>
                <m:sub>
                  <m:r>
                    <m:rPr>
                      <m:sty m:val="p"/>
                    </m:rPr>
                    <w:rPr>
                      <w:rFonts w:ascii="Cambria Math" w:hAnsi="Cambria Math"/>
                    </w:rPr>
                    <m:t>w=1</m:t>
                  </m:r>
                </m:sub>
                <m:sup>
                  <m:r>
                    <m:rPr>
                      <m:sty m:val="p"/>
                    </m:rPr>
                    <w:rPr>
                      <w:rFonts w:ascii="Cambria Math" w:hAnsi="Cambria Math"/>
                    </w:rPr>
                    <m:t>3</m:t>
                  </m:r>
                </m:sup>
                <m:e>
                  <m:r>
                    <m:rPr>
                      <m:sty m:val="p"/>
                    </m:rPr>
                    <w:rPr>
                      <w:rFonts w:ascii="Cambria Math" w:hAnsi="Cambria Math"/>
                    </w:rPr>
                    <m:t>w</m:t>
                  </m:r>
                </m:e>
              </m:nary>
              <m:r>
                <m:rPr>
                  <m:sty m:val="p"/>
                </m:rPr>
                <w:rPr>
                  <w:rFonts w:ascii="Cambria Math" w:hAnsi="Cambria Math"/>
                </w:rPr>
                <m:t>=1</m:t>
              </m:r>
            </m:oMath>
            <w:r w:rsidRPr="00B77CA9">
              <w:instrText xml:space="preserve"> </w:instrText>
            </w:r>
            <w:r w:rsidRPr="00B77CA9">
              <w:fldChar w:fldCharType="end"/>
            </w:r>
          </w:p>
        </w:tc>
      </w:tr>
      <w:tr w:rsidR="009453A8" w14:paraId="40D55130" w14:textId="77777777" w:rsidTr="005551AD">
        <w:tc>
          <w:tcPr>
            <w:tcW w:w="1264" w:type="dxa"/>
          </w:tcPr>
          <w:p w14:paraId="6A270FC2" w14:textId="77777777" w:rsidR="009453A8" w:rsidRDefault="009453A8" w:rsidP="005551AD">
            <w:pPr>
              <w:pStyle w:val="TableBody"/>
              <w:rPr>
                <w:i/>
              </w:rPr>
            </w:pPr>
            <w:r w:rsidRPr="006B56FB">
              <w:rPr>
                <w:i/>
              </w:rPr>
              <w:t>DWF</w:t>
            </w:r>
            <w:r w:rsidRPr="00240B9F">
              <w:rPr>
                <w:i/>
                <w:vertAlign w:val="subscript"/>
              </w:rPr>
              <w:t>w</w:t>
            </w:r>
          </w:p>
        </w:tc>
        <w:tc>
          <w:tcPr>
            <w:tcW w:w="899" w:type="dxa"/>
          </w:tcPr>
          <w:p w14:paraId="77946468" w14:textId="77777777" w:rsidR="009453A8" w:rsidRDefault="009453A8" w:rsidP="005551AD">
            <w:pPr>
              <w:pStyle w:val="TableBody"/>
            </w:pPr>
            <w:r>
              <w:t>None</w:t>
            </w:r>
          </w:p>
        </w:tc>
        <w:tc>
          <w:tcPr>
            <w:tcW w:w="7107" w:type="dxa"/>
          </w:tcPr>
          <w:p w14:paraId="71F8661D" w14:textId="77777777" w:rsidR="00EC3B71" w:rsidRDefault="009453A8" w:rsidP="00EC3B71">
            <w:pPr>
              <w:pStyle w:val="TableBody"/>
              <w:rPr>
                <w:iCs w:val="0"/>
              </w:rPr>
            </w:pPr>
            <w:r>
              <w:rPr>
                <w:i/>
              </w:rPr>
              <w:t xml:space="preserve">Day-Ahead Weight Factor for forward week w </w:t>
            </w:r>
            <w:r>
              <w:rPr>
                <w:iCs w:val="0"/>
              </w:rPr>
              <w:t>such that</w:t>
            </w:r>
          </w:p>
          <w:p w14:paraId="12DCEF4E" w14:textId="64C804E3" w:rsidR="009453A8" w:rsidRPr="00EC3B71" w:rsidRDefault="009453A8" w:rsidP="00EC3B71">
            <w:pPr>
              <w:pStyle w:val="TableBody"/>
              <w:rPr>
                <w:i/>
              </w:rPr>
            </w:pPr>
            <w:r>
              <w:rPr>
                <w:iCs w:val="0"/>
              </w:rPr>
              <w:t xml:space="preserve"> </w:t>
            </w:r>
            <m:oMath>
              <m:nary>
                <m:naryPr>
                  <m:chr m:val="∑"/>
                  <m:limLoc m:val="undOvr"/>
                  <m:ctrlPr>
                    <w:rPr>
                      <w:rFonts w:ascii="Cambria Math" w:hAnsi="Cambria Math"/>
                      <w:i/>
                    </w:rPr>
                  </m:ctrlPr>
                </m:naryPr>
                <m:sub>
                  <m:r>
                    <w:rPr>
                      <w:rFonts w:ascii="Cambria Math" w:hAnsi="Cambria Math"/>
                    </w:rPr>
                    <m:t>w=1</m:t>
                  </m:r>
                </m:sub>
                <m:sup>
                  <m:r>
                    <w:rPr>
                      <w:rFonts w:ascii="Cambria Math" w:hAnsi="Cambria Math"/>
                    </w:rPr>
                    <m:t>3</m:t>
                  </m:r>
                </m:sup>
                <m:e>
                  <m:r>
                    <w:rPr>
                      <w:rFonts w:ascii="Cambria Math" w:hAnsi="Cambria Math"/>
                    </w:rPr>
                    <m:t>DW</m:t>
                  </m:r>
                  <m:sSub>
                    <m:sSubPr>
                      <m:ctrlPr>
                        <w:rPr>
                          <w:rFonts w:ascii="Cambria Math" w:eastAsia="Calibri" w:hAnsi="Cambria Math"/>
                          <w:i/>
                        </w:rPr>
                      </m:ctrlPr>
                    </m:sSubPr>
                    <m:e>
                      <m:r>
                        <w:rPr>
                          <w:rFonts w:ascii="Cambria Math" w:hAnsi="Cambria Math"/>
                        </w:rPr>
                        <m:t>F</m:t>
                      </m:r>
                    </m:e>
                    <m:sub>
                      <m:r>
                        <w:rPr>
                          <w:rFonts w:ascii="Cambria Math" w:hAnsi="Cambria Math"/>
                        </w:rPr>
                        <m:t>w</m:t>
                      </m:r>
                    </m:sub>
                  </m:sSub>
                  <m:r>
                    <w:rPr>
                      <w:rFonts w:ascii="Cambria Math" w:hAnsi="Cambria Math"/>
                    </w:rPr>
                    <m:t>=1</m:t>
                  </m:r>
                </m:e>
              </m:nary>
            </m:oMath>
          </w:p>
        </w:tc>
      </w:tr>
      <w:tr w:rsidR="009453A8" w14:paraId="369BE066" w14:textId="77777777" w:rsidTr="005551AD">
        <w:tc>
          <w:tcPr>
            <w:tcW w:w="1264" w:type="dxa"/>
          </w:tcPr>
          <w:p w14:paraId="52986DB6" w14:textId="77777777" w:rsidR="009453A8" w:rsidRPr="00A82C3C" w:rsidRDefault="009453A8" w:rsidP="005551AD">
            <w:pPr>
              <w:pStyle w:val="TableBody"/>
              <w:rPr>
                <w:i/>
              </w:rPr>
            </w:pPr>
            <w:r>
              <w:rPr>
                <w:i/>
              </w:rPr>
              <w:t>fwh</w:t>
            </w:r>
          </w:p>
        </w:tc>
        <w:tc>
          <w:tcPr>
            <w:tcW w:w="899" w:type="dxa"/>
          </w:tcPr>
          <w:p w14:paraId="3CB5BFB3" w14:textId="77777777" w:rsidR="009453A8" w:rsidRDefault="009453A8" w:rsidP="005551AD">
            <w:pPr>
              <w:pStyle w:val="TableBody"/>
            </w:pPr>
            <w:r>
              <w:t>None</w:t>
            </w:r>
          </w:p>
        </w:tc>
        <w:tc>
          <w:tcPr>
            <w:tcW w:w="7107" w:type="dxa"/>
          </w:tcPr>
          <w:p w14:paraId="2388150A" w14:textId="77777777" w:rsidR="009453A8" w:rsidRDefault="009453A8" w:rsidP="005551AD">
            <w:pPr>
              <w:pStyle w:val="TableBody"/>
              <w:rPr>
                <w:i/>
              </w:rPr>
            </w:pPr>
            <w:r>
              <w:rPr>
                <w:i/>
              </w:rPr>
              <w:t>Forward Week Hour</w:t>
            </w:r>
            <w:r>
              <w:sym w:font="Symbol" w:char="F0BE"/>
            </w:r>
            <w:r w:rsidRPr="00240B9F">
              <w:t xml:space="preserve">An </w:t>
            </w:r>
            <w:r>
              <w:t>Operating H</w:t>
            </w:r>
            <w:r w:rsidRPr="00240B9F">
              <w:t xml:space="preserve">our from a </w:t>
            </w:r>
            <w:r>
              <w:t>f</w:t>
            </w:r>
            <w:r w:rsidRPr="00240B9F">
              <w:t>orward</w:t>
            </w:r>
            <w:r>
              <w:t xml:space="preserve"> w</w:t>
            </w:r>
            <w:r w:rsidRPr="00240B9F">
              <w:t xml:space="preserve">eek </w:t>
            </w:r>
            <w:r w:rsidRPr="00240B9F">
              <w:rPr>
                <w:i/>
              </w:rPr>
              <w:t>w</w:t>
            </w:r>
            <w:r w:rsidRPr="00240B9F">
              <w:t>.</w:t>
            </w:r>
          </w:p>
        </w:tc>
      </w:tr>
      <w:tr w:rsidR="009453A8" w14:paraId="586DB612" w14:textId="77777777" w:rsidTr="005551AD">
        <w:tc>
          <w:tcPr>
            <w:tcW w:w="1264" w:type="dxa"/>
          </w:tcPr>
          <w:p w14:paraId="14FC72A3" w14:textId="77777777" w:rsidR="009453A8" w:rsidRDefault="009453A8" w:rsidP="005551AD">
            <w:pPr>
              <w:pStyle w:val="TableBody"/>
              <w:rPr>
                <w:i/>
              </w:rPr>
            </w:pPr>
            <w:r>
              <w:rPr>
                <w:i/>
              </w:rPr>
              <w:t>nfwh</w:t>
            </w:r>
          </w:p>
        </w:tc>
        <w:tc>
          <w:tcPr>
            <w:tcW w:w="899" w:type="dxa"/>
          </w:tcPr>
          <w:p w14:paraId="33C698EE" w14:textId="77777777" w:rsidR="009453A8" w:rsidRDefault="009453A8" w:rsidP="005551AD">
            <w:pPr>
              <w:pStyle w:val="TableBody"/>
            </w:pPr>
            <w:r>
              <w:t>None</w:t>
            </w:r>
          </w:p>
        </w:tc>
        <w:tc>
          <w:tcPr>
            <w:tcW w:w="7107" w:type="dxa"/>
          </w:tcPr>
          <w:p w14:paraId="64E5A166" w14:textId="77777777" w:rsidR="009453A8" w:rsidRPr="00240B9F" w:rsidRDefault="009453A8" w:rsidP="005551AD">
            <w:pPr>
              <w:pStyle w:val="TableBody"/>
            </w:pPr>
            <w:r>
              <w:rPr>
                <w:i/>
              </w:rPr>
              <w:t>Number of Forward Week Hours</w:t>
            </w:r>
            <w:r>
              <w:sym w:font="Symbol" w:char="F0BE"/>
            </w:r>
            <w:r>
              <w:t>Total number of hours in a forward week.</w:t>
            </w:r>
          </w:p>
        </w:tc>
      </w:tr>
      <w:tr w:rsidR="009453A8" w14:paraId="7E4200E0" w14:textId="77777777" w:rsidTr="005551AD">
        <w:tc>
          <w:tcPr>
            <w:tcW w:w="1264" w:type="dxa"/>
          </w:tcPr>
          <w:p w14:paraId="03EEBF96" w14:textId="77777777" w:rsidR="009453A8" w:rsidRDefault="009453A8" w:rsidP="005551AD">
            <w:pPr>
              <w:pStyle w:val="TableBody"/>
              <w:rPr>
                <w:i/>
              </w:rPr>
            </w:pPr>
            <w:r>
              <w:rPr>
                <w:i/>
              </w:rPr>
              <w:t>r</w:t>
            </w:r>
            <w:r w:rsidRPr="006E7FC0">
              <w:rPr>
                <w:i/>
              </w:rPr>
              <w:t>hub</w:t>
            </w:r>
          </w:p>
        </w:tc>
        <w:tc>
          <w:tcPr>
            <w:tcW w:w="899" w:type="dxa"/>
          </w:tcPr>
          <w:p w14:paraId="7938984F" w14:textId="77777777" w:rsidR="009453A8" w:rsidRDefault="009453A8" w:rsidP="005551AD">
            <w:pPr>
              <w:pStyle w:val="TableBody"/>
            </w:pPr>
            <w:r>
              <w:t>None</w:t>
            </w:r>
          </w:p>
        </w:tc>
        <w:tc>
          <w:tcPr>
            <w:tcW w:w="7107" w:type="dxa"/>
          </w:tcPr>
          <w:p w14:paraId="0B37FF18" w14:textId="77777777" w:rsidR="009453A8" w:rsidRDefault="009453A8" w:rsidP="005551AD">
            <w:pPr>
              <w:pStyle w:val="TableBody"/>
              <w:rPr>
                <w:i/>
              </w:rPr>
            </w:pPr>
            <w:r>
              <w:rPr>
                <w:i/>
              </w:rPr>
              <w:t>Reference Hub</w:t>
            </w:r>
            <w:r w:rsidRPr="00193B05">
              <w:sym w:font="Symbol" w:char="F0BE"/>
            </w:r>
            <w:r>
              <w:t>The electrical Hub used as a reference for futures mark-to-market prices</w:t>
            </w:r>
            <w:r w:rsidRPr="00193B05">
              <w:t>.</w:t>
            </w:r>
          </w:p>
        </w:tc>
      </w:tr>
      <w:tr w:rsidR="009453A8" w14:paraId="63791361" w14:textId="77777777" w:rsidTr="005551AD">
        <w:tc>
          <w:tcPr>
            <w:tcW w:w="1264" w:type="dxa"/>
          </w:tcPr>
          <w:p w14:paraId="45288451" w14:textId="77777777" w:rsidR="009453A8" w:rsidRPr="00271210" w:rsidRDefault="009453A8" w:rsidP="005551AD">
            <w:pPr>
              <w:pStyle w:val="TableBody"/>
            </w:pPr>
            <w:r>
              <w:t>FWAP</w:t>
            </w:r>
            <w:r w:rsidRPr="00240B9F">
              <w:rPr>
                <w:i/>
                <w:vertAlign w:val="subscript"/>
              </w:rPr>
              <w:t>w</w:t>
            </w:r>
          </w:p>
        </w:tc>
        <w:tc>
          <w:tcPr>
            <w:tcW w:w="899" w:type="dxa"/>
          </w:tcPr>
          <w:p w14:paraId="3E68E37A" w14:textId="77777777" w:rsidR="009453A8" w:rsidRDefault="009453A8" w:rsidP="005551AD">
            <w:pPr>
              <w:pStyle w:val="TableBody"/>
            </w:pPr>
            <w:r>
              <w:t>$/MWh</w:t>
            </w:r>
          </w:p>
        </w:tc>
        <w:tc>
          <w:tcPr>
            <w:tcW w:w="7107" w:type="dxa"/>
          </w:tcPr>
          <w:p w14:paraId="58EBA72B" w14:textId="77777777" w:rsidR="009453A8" w:rsidRDefault="009453A8" w:rsidP="005551AD">
            <w:pPr>
              <w:pStyle w:val="TableBody"/>
            </w:pPr>
            <w:r>
              <w:rPr>
                <w:i/>
              </w:rPr>
              <w:t>Futures Weekly Average Price for week w</w:t>
            </w:r>
            <w:r>
              <w:sym w:font="Symbol" w:char="F0BE"/>
            </w:r>
            <w:r>
              <w:t xml:space="preserve">The average futures price for the hours of the forward week </w:t>
            </w:r>
            <w:r w:rsidRPr="00240B9F">
              <w:rPr>
                <w:i/>
              </w:rPr>
              <w:t>w</w:t>
            </w:r>
            <w:r>
              <w:t>.</w:t>
            </w:r>
          </w:p>
        </w:tc>
      </w:tr>
      <w:tr w:rsidR="009453A8" w14:paraId="6DBBAA35" w14:textId="77777777" w:rsidTr="005551AD">
        <w:tc>
          <w:tcPr>
            <w:tcW w:w="1264" w:type="dxa"/>
          </w:tcPr>
          <w:p w14:paraId="36E96C9F" w14:textId="77777777" w:rsidR="009453A8" w:rsidRDefault="009453A8" w:rsidP="005551AD">
            <w:pPr>
              <w:pStyle w:val="TableBody"/>
            </w:pPr>
            <w:r>
              <w:t>FHP</w:t>
            </w:r>
            <w:r w:rsidRPr="00CE4C14">
              <w:rPr>
                <w:vertAlign w:val="subscript"/>
              </w:rPr>
              <w:t xml:space="preserve"> </w:t>
            </w:r>
            <w:r w:rsidRPr="00240B9F">
              <w:rPr>
                <w:i/>
                <w:vertAlign w:val="subscript"/>
              </w:rPr>
              <w:t>fwh</w:t>
            </w:r>
            <w:r>
              <w:rPr>
                <w:i/>
                <w:vertAlign w:val="subscript"/>
              </w:rPr>
              <w:t>, rhub</w:t>
            </w:r>
          </w:p>
        </w:tc>
        <w:tc>
          <w:tcPr>
            <w:tcW w:w="899" w:type="dxa"/>
          </w:tcPr>
          <w:p w14:paraId="33F8D752" w14:textId="77777777" w:rsidR="009453A8" w:rsidRDefault="009453A8" w:rsidP="005551AD">
            <w:pPr>
              <w:pStyle w:val="TableBody"/>
            </w:pPr>
            <w:r w:rsidRPr="00CE4C14">
              <w:t>$/MWh</w:t>
            </w:r>
          </w:p>
        </w:tc>
        <w:tc>
          <w:tcPr>
            <w:tcW w:w="7107" w:type="dxa"/>
          </w:tcPr>
          <w:p w14:paraId="6C692A2C" w14:textId="77777777" w:rsidR="009453A8" w:rsidRDefault="009453A8" w:rsidP="005551AD">
            <w:pPr>
              <w:pStyle w:val="TableBody"/>
            </w:pPr>
            <w:r>
              <w:rPr>
                <w:i/>
              </w:rPr>
              <w:t>Futures Hourly Price of the Reference Hub rhub for Forward Week Hour fwh</w:t>
            </w:r>
            <w:r w:rsidRPr="00CE4C14">
              <w:sym w:font="Symbol" w:char="F0BE"/>
            </w:r>
            <w:r w:rsidRPr="00CE4C14">
              <w:t>The</w:t>
            </w:r>
            <w:r>
              <w:t xml:space="preserve"> most recent mark-to-market price available for an electricity futures product that is applicable to the forward week hour </w:t>
            </w:r>
            <w:r w:rsidRPr="00D54463">
              <w:rPr>
                <w:i/>
              </w:rPr>
              <w:t>fwh</w:t>
            </w:r>
            <w:r>
              <w:t xml:space="preserve"> for the reference Hub </w:t>
            </w:r>
            <w:r w:rsidRPr="00D54463">
              <w:rPr>
                <w:i/>
              </w:rPr>
              <w:t>rhub</w:t>
            </w:r>
            <w:r>
              <w:t>.</w:t>
            </w:r>
          </w:p>
          <w:p w14:paraId="1983BB78" w14:textId="77777777" w:rsidR="009453A8" w:rsidRPr="00D54463" w:rsidRDefault="009453A8" w:rsidP="00C42CCF">
            <w:pPr>
              <w:pStyle w:val="TableBody"/>
            </w:pPr>
            <w:r>
              <w:t>ERCOT will disclose to the market the source of its selected electricity futures product(s) used for FHP.  In the event that an ERCOT-selected electricity futures product(s) becomes unavailable or unsuitable for the intended purpose, ERCOT will select a substitute electricity futures product(s).  ERCOT shall set the value of RFAF to 1 and DFAF to 1, and provide Notice of this change as soon as practi</w:t>
            </w:r>
            <w:r w:rsidR="00C42CCF">
              <w:t>ca</w:t>
            </w:r>
            <w:r>
              <w:t>ble, until such time as a substitute electricity futures product(s) is selected and implemented by ERCOT.  ERCOT will notify Market Participants of any change in the electricity futures product(s) at least 60 days prior to the beginning of their use.  In the event that 60 days’ Notice cannot be given, ERCOT will notify Market Participants as soon as practicable prior to use.</w:t>
            </w:r>
          </w:p>
        </w:tc>
      </w:tr>
      <w:tr w:rsidR="009453A8" w14:paraId="6021E32B" w14:textId="77777777" w:rsidTr="005551AD">
        <w:tc>
          <w:tcPr>
            <w:tcW w:w="1264" w:type="dxa"/>
          </w:tcPr>
          <w:p w14:paraId="537D9542" w14:textId="77777777" w:rsidR="009453A8" w:rsidRPr="00D54463" w:rsidRDefault="009453A8" w:rsidP="005551AD">
            <w:pPr>
              <w:pStyle w:val="TableBody"/>
              <w:rPr>
                <w:i/>
              </w:rPr>
            </w:pPr>
            <w:r w:rsidRPr="003E3244">
              <w:rPr>
                <w:i/>
              </w:rPr>
              <w:t>hr</w:t>
            </w:r>
            <w:r w:rsidRPr="00D54463">
              <w:rPr>
                <w:i/>
              </w:rPr>
              <w:t>h</w:t>
            </w:r>
          </w:p>
        </w:tc>
        <w:tc>
          <w:tcPr>
            <w:tcW w:w="899" w:type="dxa"/>
          </w:tcPr>
          <w:p w14:paraId="13D3F54C" w14:textId="77777777" w:rsidR="009453A8" w:rsidRPr="00193B05" w:rsidRDefault="009453A8" w:rsidP="005551AD">
            <w:pPr>
              <w:pStyle w:val="TableBody"/>
            </w:pPr>
            <w:r>
              <w:t>None</w:t>
            </w:r>
          </w:p>
        </w:tc>
        <w:tc>
          <w:tcPr>
            <w:tcW w:w="7107" w:type="dxa"/>
          </w:tcPr>
          <w:p w14:paraId="457622CD" w14:textId="77777777" w:rsidR="009453A8" w:rsidRPr="00193B05" w:rsidRDefault="009453A8" w:rsidP="005551AD">
            <w:pPr>
              <w:pStyle w:val="TableBody"/>
              <w:rPr>
                <w:i/>
              </w:rPr>
            </w:pPr>
            <w:r>
              <w:rPr>
                <w:i/>
              </w:rPr>
              <w:t>Historic Real-Time Hour</w:t>
            </w:r>
            <w:r w:rsidRPr="00193B05">
              <w:sym w:font="Symbol" w:char="F0BE"/>
            </w:r>
            <w:r>
              <w:t>An Operating Hour that is settled and used in the most recent RTLE calculation.</w:t>
            </w:r>
          </w:p>
        </w:tc>
      </w:tr>
      <w:tr w:rsidR="009453A8" w14:paraId="4B73C8FE" w14:textId="77777777" w:rsidTr="005551AD">
        <w:tc>
          <w:tcPr>
            <w:tcW w:w="1264" w:type="dxa"/>
          </w:tcPr>
          <w:p w14:paraId="0F14DA84" w14:textId="77777777" w:rsidR="009453A8" w:rsidRPr="00D54463" w:rsidRDefault="009453A8" w:rsidP="005551AD">
            <w:pPr>
              <w:pStyle w:val="TableBody"/>
              <w:rPr>
                <w:i/>
              </w:rPr>
            </w:pPr>
            <w:r>
              <w:rPr>
                <w:i/>
              </w:rPr>
              <w:t>nhrh</w:t>
            </w:r>
          </w:p>
        </w:tc>
        <w:tc>
          <w:tcPr>
            <w:tcW w:w="899" w:type="dxa"/>
          </w:tcPr>
          <w:p w14:paraId="2E0FB107" w14:textId="77777777" w:rsidR="009453A8" w:rsidRPr="00193B05" w:rsidRDefault="009453A8" w:rsidP="005551AD">
            <w:pPr>
              <w:pStyle w:val="TableBody"/>
            </w:pPr>
            <w:r>
              <w:t>None</w:t>
            </w:r>
          </w:p>
        </w:tc>
        <w:tc>
          <w:tcPr>
            <w:tcW w:w="7107" w:type="dxa"/>
          </w:tcPr>
          <w:p w14:paraId="2B07206D" w14:textId="77777777" w:rsidR="009453A8" w:rsidRPr="00193B05" w:rsidRDefault="009453A8" w:rsidP="005551AD">
            <w:pPr>
              <w:pStyle w:val="TableBody"/>
              <w:rPr>
                <w:i/>
              </w:rPr>
            </w:pPr>
            <w:r>
              <w:rPr>
                <w:i/>
              </w:rPr>
              <w:t>Number of Historic Real-Time Hours</w:t>
            </w:r>
            <w:r>
              <w:sym w:font="Symbol" w:char="F0BE"/>
            </w:r>
            <w:r>
              <w:t>Total number of historic Real-Time hours that are settled and used in the most recent RTLE calculation.</w:t>
            </w:r>
          </w:p>
        </w:tc>
      </w:tr>
      <w:tr w:rsidR="009453A8" w14:paraId="3E4E5F8D" w14:textId="77777777" w:rsidTr="005551AD">
        <w:tc>
          <w:tcPr>
            <w:tcW w:w="1264" w:type="dxa"/>
          </w:tcPr>
          <w:p w14:paraId="33F2987C" w14:textId="77777777" w:rsidR="009453A8" w:rsidRDefault="009453A8" w:rsidP="005551AD">
            <w:pPr>
              <w:pStyle w:val="TableBody"/>
              <w:rPr>
                <w:i/>
              </w:rPr>
            </w:pPr>
            <w:r>
              <w:rPr>
                <w:i/>
              </w:rPr>
              <w:t>i</w:t>
            </w:r>
          </w:p>
        </w:tc>
        <w:tc>
          <w:tcPr>
            <w:tcW w:w="899" w:type="dxa"/>
          </w:tcPr>
          <w:p w14:paraId="7CD08936" w14:textId="77777777" w:rsidR="009453A8" w:rsidRDefault="009453A8" w:rsidP="005551AD">
            <w:pPr>
              <w:pStyle w:val="TableBody"/>
            </w:pPr>
            <w:r>
              <w:t>None</w:t>
            </w:r>
          </w:p>
        </w:tc>
        <w:tc>
          <w:tcPr>
            <w:tcW w:w="7107" w:type="dxa"/>
          </w:tcPr>
          <w:p w14:paraId="672CD759" w14:textId="77777777" w:rsidR="009453A8" w:rsidRPr="00D54463" w:rsidRDefault="009453A8" w:rsidP="005551AD">
            <w:pPr>
              <w:pStyle w:val="TableBody"/>
            </w:pPr>
            <w:r>
              <w:rPr>
                <w:i/>
              </w:rPr>
              <w:t>Settlement Interval</w:t>
            </w:r>
            <w:r>
              <w:sym w:font="Symbol" w:char="F0BE"/>
            </w:r>
            <w:r>
              <w:t>A 15-minute interval that is part of an Operating Hour.</w:t>
            </w:r>
          </w:p>
        </w:tc>
      </w:tr>
      <w:tr w:rsidR="009453A8" w14:paraId="24E335FD" w14:textId="77777777" w:rsidTr="005551AD">
        <w:tc>
          <w:tcPr>
            <w:tcW w:w="1264" w:type="dxa"/>
          </w:tcPr>
          <w:p w14:paraId="5FB4857A" w14:textId="77777777" w:rsidR="009453A8" w:rsidRDefault="009453A8" w:rsidP="005551AD">
            <w:pPr>
              <w:pStyle w:val="TableBody"/>
              <w:rPr>
                <w:i/>
              </w:rPr>
            </w:pPr>
            <w:r>
              <w:t>RTSPP</w:t>
            </w:r>
            <w:r w:rsidRPr="00D54463">
              <w:rPr>
                <w:i/>
                <w:vertAlign w:val="subscript"/>
              </w:rPr>
              <w:t xml:space="preserve">hrh, i, rhub </w:t>
            </w:r>
          </w:p>
        </w:tc>
        <w:tc>
          <w:tcPr>
            <w:tcW w:w="899" w:type="dxa"/>
          </w:tcPr>
          <w:p w14:paraId="2B7190AF" w14:textId="77777777" w:rsidR="009453A8" w:rsidRDefault="009453A8" w:rsidP="005551AD">
            <w:pPr>
              <w:pStyle w:val="TableBody"/>
            </w:pPr>
            <w:r>
              <w:t>$/MWh</w:t>
            </w:r>
          </w:p>
        </w:tc>
        <w:tc>
          <w:tcPr>
            <w:tcW w:w="7107" w:type="dxa"/>
          </w:tcPr>
          <w:p w14:paraId="3EC84A9D" w14:textId="77777777" w:rsidR="009453A8" w:rsidRPr="006B56FB" w:rsidRDefault="009453A8" w:rsidP="005551AD">
            <w:pPr>
              <w:pStyle w:val="TableBody"/>
            </w:pPr>
            <w:r w:rsidRPr="006B56FB">
              <w:t xml:space="preserve">Real-Time Settlement Point Price for </w:t>
            </w:r>
            <w:r w:rsidRPr="009648F5">
              <w:rPr>
                <w:i/>
              </w:rPr>
              <w:t>i</w:t>
            </w:r>
            <w:r w:rsidRPr="006B56FB">
              <w:rPr>
                <w:vertAlign w:val="superscript"/>
              </w:rPr>
              <w:t>th</w:t>
            </w:r>
            <w:r w:rsidRPr="006B56FB">
              <w:t xml:space="preserve"> interval that is part of Operating Hour </w:t>
            </w:r>
            <w:r w:rsidRPr="009648F5">
              <w:rPr>
                <w:i/>
              </w:rPr>
              <w:t>hrh</w:t>
            </w:r>
            <w:r w:rsidRPr="006B56FB">
              <w:t xml:space="preserve"> for the Settlement Point </w:t>
            </w:r>
            <w:r w:rsidRPr="009648F5">
              <w:rPr>
                <w:i/>
              </w:rPr>
              <w:t>rhub</w:t>
            </w:r>
            <w:r w:rsidRPr="006B56FB">
              <w:t>.</w:t>
            </w:r>
          </w:p>
        </w:tc>
      </w:tr>
      <w:tr w:rsidR="009453A8" w14:paraId="05B5541C" w14:textId="77777777" w:rsidTr="005551AD">
        <w:tc>
          <w:tcPr>
            <w:tcW w:w="1264" w:type="dxa"/>
          </w:tcPr>
          <w:p w14:paraId="3B9AF34B" w14:textId="77777777" w:rsidR="009453A8" w:rsidRDefault="009453A8" w:rsidP="005551AD">
            <w:pPr>
              <w:pStyle w:val="TableBody"/>
            </w:pPr>
            <w:r>
              <w:t>HRSAP</w:t>
            </w:r>
          </w:p>
        </w:tc>
        <w:tc>
          <w:tcPr>
            <w:tcW w:w="899" w:type="dxa"/>
          </w:tcPr>
          <w:p w14:paraId="4274498E" w14:textId="77777777" w:rsidR="009453A8" w:rsidRDefault="009453A8" w:rsidP="005551AD">
            <w:pPr>
              <w:pStyle w:val="TableBody"/>
            </w:pPr>
            <w:r>
              <w:t>$/MWh</w:t>
            </w:r>
          </w:p>
        </w:tc>
        <w:tc>
          <w:tcPr>
            <w:tcW w:w="7107" w:type="dxa"/>
          </w:tcPr>
          <w:p w14:paraId="0236A71A" w14:textId="77777777" w:rsidR="009453A8" w:rsidRDefault="009453A8" w:rsidP="005551AD">
            <w:pPr>
              <w:pStyle w:val="TableBody"/>
              <w:rPr>
                <w:i/>
              </w:rPr>
            </w:pPr>
            <w:r>
              <w:rPr>
                <w:i/>
              </w:rPr>
              <w:t>Historic Real-Time Settled Average Price</w:t>
            </w:r>
            <w:r>
              <w:sym w:font="Symbol" w:char="F0BE"/>
            </w:r>
            <w:r w:rsidRPr="006E7FC0">
              <w:t>The</w:t>
            </w:r>
            <w:r>
              <w:rPr>
                <w:i/>
              </w:rPr>
              <w:t xml:space="preserve"> </w:t>
            </w:r>
            <w:r w:rsidRPr="006E7FC0">
              <w:t>a</w:t>
            </w:r>
            <w:r>
              <w:t>verage historic Real-Time settled price</w:t>
            </w:r>
            <w:r w:rsidRPr="006E7FC0">
              <w:t>.</w:t>
            </w:r>
          </w:p>
        </w:tc>
      </w:tr>
      <w:tr w:rsidR="009453A8" w14:paraId="1382F94B" w14:textId="77777777" w:rsidTr="005551AD">
        <w:tc>
          <w:tcPr>
            <w:tcW w:w="1264" w:type="dxa"/>
          </w:tcPr>
          <w:p w14:paraId="18686A7A" w14:textId="77777777" w:rsidR="009453A8" w:rsidRDefault="009453A8" w:rsidP="005551AD">
            <w:pPr>
              <w:pStyle w:val="TableBody"/>
            </w:pPr>
            <w:r>
              <w:lastRenderedPageBreak/>
              <w:t>HDSAP</w:t>
            </w:r>
          </w:p>
        </w:tc>
        <w:tc>
          <w:tcPr>
            <w:tcW w:w="899" w:type="dxa"/>
          </w:tcPr>
          <w:p w14:paraId="78C98C8B" w14:textId="77777777" w:rsidR="009453A8" w:rsidRDefault="009453A8" w:rsidP="005551AD">
            <w:pPr>
              <w:pStyle w:val="TableBody"/>
            </w:pPr>
            <w:r>
              <w:t>$/MWh</w:t>
            </w:r>
          </w:p>
        </w:tc>
        <w:tc>
          <w:tcPr>
            <w:tcW w:w="7107" w:type="dxa"/>
          </w:tcPr>
          <w:p w14:paraId="6721B754" w14:textId="77777777" w:rsidR="009453A8" w:rsidRDefault="009453A8" w:rsidP="005551AD">
            <w:pPr>
              <w:pStyle w:val="TableBody"/>
              <w:rPr>
                <w:i/>
              </w:rPr>
            </w:pPr>
            <w:r>
              <w:rPr>
                <w:i/>
              </w:rPr>
              <w:t>Historic Day-Ahead Settled Average Price</w:t>
            </w:r>
            <w:r>
              <w:sym w:font="Symbol" w:char="F0BE"/>
            </w:r>
            <w:r w:rsidRPr="006B56FB">
              <w:t>The average historic Day-Ahead settled price.</w:t>
            </w:r>
          </w:p>
        </w:tc>
      </w:tr>
      <w:tr w:rsidR="009453A8" w14:paraId="2CA48BA0" w14:textId="77777777" w:rsidTr="005551AD">
        <w:tc>
          <w:tcPr>
            <w:tcW w:w="1264" w:type="dxa"/>
          </w:tcPr>
          <w:p w14:paraId="22A27BAE" w14:textId="77777777" w:rsidR="009453A8" w:rsidRDefault="009453A8" w:rsidP="005551AD">
            <w:pPr>
              <w:pStyle w:val="TableBody"/>
            </w:pPr>
            <w:r w:rsidRPr="003E3244">
              <w:rPr>
                <w:i/>
              </w:rPr>
              <w:t>h</w:t>
            </w:r>
            <w:r>
              <w:rPr>
                <w:i/>
              </w:rPr>
              <w:t>d</w:t>
            </w:r>
            <w:r w:rsidRPr="006E7FC0">
              <w:rPr>
                <w:i/>
              </w:rPr>
              <w:t>h</w:t>
            </w:r>
          </w:p>
        </w:tc>
        <w:tc>
          <w:tcPr>
            <w:tcW w:w="899" w:type="dxa"/>
          </w:tcPr>
          <w:p w14:paraId="4E6F75FC" w14:textId="77777777" w:rsidR="009453A8" w:rsidRDefault="009453A8" w:rsidP="005551AD">
            <w:pPr>
              <w:pStyle w:val="TableBody"/>
            </w:pPr>
            <w:r>
              <w:t>None</w:t>
            </w:r>
          </w:p>
        </w:tc>
        <w:tc>
          <w:tcPr>
            <w:tcW w:w="7107" w:type="dxa"/>
          </w:tcPr>
          <w:p w14:paraId="250E3218" w14:textId="77777777" w:rsidR="009453A8" w:rsidRDefault="009453A8" w:rsidP="005551AD">
            <w:pPr>
              <w:pStyle w:val="TableBody"/>
              <w:rPr>
                <w:i/>
              </w:rPr>
            </w:pPr>
            <w:r>
              <w:rPr>
                <w:i/>
              </w:rPr>
              <w:t>Historic Day-Ahead Hour</w:t>
            </w:r>
            <w:r w:rsidRPr="00193B05">
              <w:sym w:font="Symbol" w:char="F0BE"/>
            </w:r>
            <w:r>
              <w:t>An Operating Hour that is settled and used in the most recent DALE calculation.</w:t>
            </w:r>
          </w:p>
        </w:tc>
      </w:tr>
      <w:tr w:rsidR="009453A8" w14:paraId="3517870D" w14:textId="77777777" w:rsidTr="005551AD">
        <w:tc>
          <w:tcPr>
            <w:tcW w:w="1264" w:type="dxa"/>
          </w:tcPr>
          <w:p w14:paraId="3F8D48D9" w14:textId="77777777" w:rsidR="009453A8" w:rsidRDefault="009453A8" w:rsidP="005551AD">
            <w:pPr>
              <w:pStyle w:val="TableBody"/>
            </w:pPr>
            <w:r>
              <w:rPr>
                <w:i/>
              </w:rPr>
              <w:t>nhdh</w:t>
            </w:r>
          </w:p>
        </w:tc>
        <w:tc>
          <w:tcPr>
            <w:tcW w:w="899" w:type="dxa"/>
          </w:tcPr>
          <w:p w14:paraId="2A3090DD" w14:textId="77777777" w:rsidR="009453A8" w:rsidRDefault="009453A8" w:rsidP="005551AD">
            <w:pPr>
              <w:pStyle w:val="TableBody"/>
            </w:pPr>
            <w:r>
              <w:t>None</w:t>
            </w:r>
          </w:p>
        </w:tc>
        <w:tc>
          <w:tcPr>
            <w:tcW w:w="7107" w:type="dxa"/>
          </w:tcPr>
          <w:p w14:paraId="24323492" w14:textId="77777777" w:rsidR="009453A8" w:rsidRDefault="009453A8" w:rsidP="005551AD">
            <w:pPr>
              <w:pStyle w:val="TableBody"/>
              <w:rPr>
                <w:i/>
              </w:rPr>
            </w:pPr>
            <w:r>
              <w:rPr>
                <w:i/>
              </w:rPr>
              <w:t>Number of Historic Day-Ahead Hours</w:t>
            </w:r>
            <w:r>
              <w:sym w:font="Symbol" w:char="F0BE"/>
            </w:r>
            <w:r w:rsidRPr="006B56FB">
              <w:t>Total number of historic day-ahead hours that are settled and used in the most recent DALE calculation.</w:t>
            </w:r>
          </w:p>
        </w:tc>
      </w:tr>
      <w:tr w:rsidR="009453A8" w14:paraId="225E040D" w14:textId="77777777" w:rsidTr="005551AD">
        <w:tc>
          <w:tcPr>
            <w:tcW w:w="1264" w:type="dxa"/>
          </w:tcPr>
          <w:p w14:paraId="62A4D889" w14:textId="77777777" w:rsidR="009453A8" w:rsidRDefault="009453A8" w:rsidP="005551AD">
            <w:pPr>
              <w:pStyle w:val="TableBody"/>
              <w:rPr>
                <w:i/>
              </w:rPr>
            </w:pPr>
            <w:r>
              <w:t>DASPP</w:t>
            </w:r>
            <w:r w:rsidRPr="006E7FC0">
              <w:rPr>
                <w:i/>
                <w:vertAlign w:val="subscript"/>
              </w:rPr>
              <w:t xml:space="preserve">hrh, rhub </w:t>
            </w:r>
          </w:p>
        </w:tc>
        <w:tc>
          <w:tcPr>
            <w:tcW w:w="899" w:type="dxa"/>
          </w:tcPr>
          <w:p w14:paraId="6913DF4D" w14:textId="77777777" w:rsidR="009453A8" w:rsidRDefault="009453A8" w:rsidP="005551AD">
            <w:pPr>
              <w:pStyle w:val="TableBody"/>
            </w:pPr>
            <w:r>
              <w:t>$/MWh</w:t>
            </w:r>
          </w:p>
        </w:tc>
        <w:tc>
          <w:tcPr>
            <w:tcW w:w="7107" w:type="dxa"/>
          </w:tcPr>
          <w:p w14:paraId="3A6A7D84" w14:textId="77777777" w:rsidR="009453A8" w:rsidRPr="006B56FB" w:rsidRDefault="009453A8" w:rsidP="005551AD">
            <w:pPr>
              <w:pStyle w:val="TableBody"/>
            </w:pPr>
            <w:r w:rsidRPr="006B56FB">
              <w:t xml:space="preserve">Day-Ahead Settlement Point Price for Operating Hour </w:t>
            </w:r>
            <w:r w:rsidRPr="009648F5">
              <w:rPr>
                <w:i/>
              </w:rPr>
              <w:t>hdh</w:t>
            </w:r>
            <w:r w:rsidRPr="006B56FB">
              <w:t xml:space="preserve"> for the Settlement Point </w:t>
            </w:r>
            <w:r w:rsidRPr="009648F5">
              <w:rPr>
                <w:i/>
              </w:rPr>
              <w:t>rhub</w:t>
            </w:r>
            <w:r w:rsidRPr="006B56FB">
              <w:t>.</w:t>
            </w:r>
          </w:p>
        </w:tc>
      </w:tr>
      <w:tr w:rsidR="009453A8" w14:paraId="77C7145E" w14:textId="77777777" w:rsidTr="005551AD">
        <w:tc>
          <w:tcPr>
            <w:tcW w:w="1264" w:type="dxa"/>
          </w:tcPr>
          <w:p w14:paraId="0BCE2B10" w14:textId="77777777" w:rsidR="009453A8" w:rsidRDefault="009453A8" w:rsidP="005551AD">
            <w:pPr>
              <w:pStyle w:val="TableBody"/>
            </w:pPr>
            <w:r>
              <w:t>RFAF</w:t>
            </w:r>
          </w:p>
        </w:tc>
        <w:tc>
          <w:tcPr>
            <w:tcW w:w="899" w:type="dxa"/>
          </w:tcPr>
          <w:p w14:paraId="7F56AB19" w14:textId="77777777" w:rsidR="009453A8" w:rsidRDefault="009453A8" w:rsidP="005551AD">
            <w:pPr>
              <w:pStyle w:val="TableBody"/>
            </w:pPr>
            <w:r>
              <w:t>None</w:t>
            </w:r>
          </w:p>
        </w:tc>
        <w:tc>
          <w:tcPr>
            <w:tcW w:w="7107" w:type="dxa"/>
          </w:tcPr>
          <w:p w14:paraId="3AEED751" w14:textId="77777777" w:rsidR="009453A8" w:rsidRDefault="009453A8" w:rsidP="005551AD">
            <w:pPr>
              <w:pStyle w:val="TableBody"/>
              <w:rPr>
                <w:i/>
              </w:rPr>
            </w:pPr>
            <w:r w:rsidRPr="00CE4C14">
              <w:rPr>
                <w:i/>
              </w:rPr>
              <w:t>R</w:t>
            </w:r>
            <w:r>
              <w:rPr>
                <w:i/>
              </w:rPr>
              <w:t>eal-Time Forward Adjustment Factor.</w:t>
            </w:r>
          </w:p>
        </w:tc>
      </w:tr>
      <w:tr w:rsidR="009453A8" w14:paraId="13038ECF" w14:textId="77777777" w:rsidTr="005551AD">
        <w:tc>
          <w:tcPr>
            <w:tcW w:w="1264" w:type="dxa"/>
          </w:tcPr>
          <w:p w14:paraId="2B65411A" w14:textId="77777777" w:rsidR="009453A8" w:rsidRDefault="009453A8" w:rsidP="005551AD">
            <w:pPr>
              <w:pStyle w:val="TableBody"/>
            </w:pPr>
            <w:r>
              <w:t>DFAF</w:t>
            </w:r>
          </w:p>
        </w:tc>
        <w:tc>
          <w:tcPr>
            <w:tcW w:w="899" w:type="dxa"/>
          </w:tcPr>
          <w:p w14:paraId="667F4C19" w14:textId="77777777" w:rsidR="009453A8" w:rsidRDefault="009453A8" w:rsidP="005551AD">
            <w:pPr>
              <w:pStyle w:val="TableBody"/>
            </w:pPr>
            <w:r>
              <w:t>None</w:t>
            </w:r>
          </w:p>
        </w:tc>
        <w:tc>
          <w:tcPr>
            <w:tcW w:w="7107" w:type="dxa"/>
          </w:tcPr>
          <w:p w14:paraId="3C974A20" w14:textId="77777777" w:rsidR="009453A8" w:rsidRPr="00CE4C14" w:rsidRDefault="009453A8" w:rsidP="005551AD">
            <w:pPr>
              <w:pStyle w:val="TableBody"/>
              <w:rPr>
                <w:i/>
              </w:rPr>
            </w:pPr>
            <w:r>
              <w:rPr>
                <w:i/>
              </w:rPr>
              <w:t>Day-Ahead Forward Adjustment Factor.</w:t>
            </w:r>
          </w:p>
        </w:tc>
      </w:tr>
    </w:tbl>
    <w:p w14:paraId="0A8A653B" w14:textId="7F6AE5C5" w:rsidR="009453A8" w:rsidRDefault="009453A8" w:rsidP="009453A8">
      <w:pPr>
        <w:pStyle w:val="BodyText"/>
        <w:spacing w:before="240" w:after="0"/>
      </w:pPr>
      <w:r>
        <w:t>The above parameters are defined as follows</w:t>
      </w:r>
      <w:r w:rsidR="002F03A7">
        <w:t>:</w:t>
      </w:r>
      <w:r>
        <w:t xml:space="preserve"> </w:t>
      </w:r>
    </w:p>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48"/>
        <w:gridCol w:w="1702"/>
        <w:gridCol w:w="5940"/>
      </w:tblGrid>
      <w:tr w:rsidR="009453A8" w:rsidRPr="00BE4766" w14:paraId="10291ED3" w14:textId="77777777" w:rsidTr="005551AD">
        <w:trPr>
          <w:trHeight w:val="351"/>
          <w:tblHeader/>
        </w:trPr>
        <w:tc>
          <w:tcPr>
            <w:tcW w:w="1448" w:type="dxa"/>
          </w:tcPr>
          <w:p w14:paraId="7A5A4D97" w14:textId="77777777" w:rsidR="009453A8" w:rsidRPr="00BE4766" w:rsidRDefault="009453A8" w:rsidP="005551AD">
            <w:pPr>
              <w:pStyle w:val="TableHead"/>
            </w:pPr>
            <w:r>
              <w:t>Parameter</w:t>
            </w:r>
          </w:p>
        </w:tc>
        <w:tc>
          <w:tcPr>
            <w:tcW w:w="1702" w:type="dxa"/>
          </w:tcPr>
          <w:p w14:paraId="755F8CCB" w14:textId="77777777" w:rsidR="009453A8" w:rsidRPr="00BE4766" w:rsidRDefault="009453A8" w:rsidP="005551AD">
            <w:pPr>
              <w:pStyle w:val="TableHead"/>
            </w:pPr>
            <w:r w:rsidRPr="00BE4766">
              <w:t>Unit</w:t>
            </w:r>
          </w:p>
        </w:tc>
        <w:tc>
          <w:tcPr>
            <w:tcW w:w="5940" w:type="dxa"/>
          </w:tcPr>
          <w:p w14:paraId="6DA93A29" w14:textId="77777777" w:rsidR="009453A8" w:rsidRPr="00BE4766" w:rsidRDefault="009453A8" w:rsidP="005551AD">
            <w:pPr>
              <w:pStyle w:val="TableHead"/>
            </w:pPr>
            <w:r>
              <w:t>Current Value*</w:t>
            </w:r>
          </w:p>
        </w:tc>
      </w:tr>
      <w:tr w:rsidR="009453A8" w:rsidRPr="00BE4766" w14:paraId="4E8115D5" w14:textId="77777777" w:rsidTr="005551AD">
        <w:trPr>
          <w:trHeight w:val="242"/>
        </w:trPr>
        <w:tc>
          <w:tcPr>
            <w:tcW w:w="1448" w:type="dxa"/>
          </w:tcPr>
          <w:p w14:paraId="149035BC" w14:textId="77777777" w:rsidR="009453A8" w:rsidRPr="008F4340" w:rsidRDefault="009453A8" w:rsidP="005551AD">
            <w:pPr>
              <w:pStyle w:val="TableBody"/>
              <w:rPr>
                <w:i/>
              </w:rPr>
            </w:pPr>
            <w:r>
              <w:rPr>
                <w:i/>
                <w:lang w:val="fr-FR"/>
              </w:rPr>
              <w:t>rhub</w:t>
            </w:r>
          </w:p>
        </w:tc>
        <w:tc>
          <w:tcPr>
            <w:tcW w:w="1702" w:type="dxa"/>
          </w:tcPr>
          <w:p w14:paraId="7B6A1FCC" w14:textId="77777777" w:rsidR="009453A8" w:rsidRDefault="009453A8" w:rsidP="005551AD">
            <w:pPr>
              <w:pStyle w:val="TableBody"/>
            </w:pPr>
            <w:r>
              <w:t>None</w:t>
            </w:r>
          </w:p>
        </w:tc>
        <w:tc>
          <w:tcPr>
            <w:tcW w:w="5940" w:type="dxa"/>
          </w:tcPr>
          <w:p w14:paraId="3152BF49" w14:textId="77777777" w:rsidR="009453A8" w:rsidRDefault="009453A8" w:rsidP="005551AD">
            <w:pPr>
              <w:pStyle w:val="TableBody"/>
            </w:pPr>
            <w:r>
              <w:t>ERCOT North Hub</w:t>
            </w:r>
          </w:p>
        </w:tc>
      </w:tr>
      <w:tr w:rsidR="009453A8" w:rsidRPr="00BE4766" w14:paraId="094230F2" w14:textId="77777777" w:rsidTr="005551AD">
        <w:trPr>
          <w:trHeight w:val="242"/>
        </w:trPr>
        <w:tc>
          <w:tcPr>
            <w:tcW w:w="1448" w:type="dxa"/>
          </w:tcPr>
          <w:p w14:paraId="492F5CB4" w14:textId="77777777" w:rsidR="009453A8" w:rsidRDefault="009453A8" w:rsidP="005551AD">
            <w:pPr>
              <w:pStyle w:val="TableBody"/>
              <w:rPr>
                <w:i/>
                <w:lang w:val="fr-FR"/>
              </w:rPr>
            </w:pPr>
            <w:r w:rsidRPr="006B56FB">
              <w:rPr>
                <w:i/>
              </w:rPr>
              <w:t>RWF</w:t>
            </w:r>
            <w:r>
              <w:rPr>
                <w:i/>
                <w:vertAlign w:val="subscript"/>
              </w:rPr>
              <w:t>1</w:t>
            </w:r>
          </w:p>
        </w:tc>
        <w:tc>
          <w:tcPr>
            <w:tcW w:w="1702" w:type="dxa"/>
          </w:tcPr>
          <w:p w14:paraId="39043471" w14:textId="77777777" w:rsidR="009453A8" w:rsidRDefault="009453A8" w:rsidP="005551AD">
            <w:pPr>
              <w:pStyle w:val="TableBody"/>
            </w:pPr>
            <w:r>
              <w:t>None</w:t>
            </w:r>
          </w:p>
        </w:tc>
        <w:tc>
          <w:tcPr>
            <w:tcW w:w="5940" w:type="dxa"/>
          </w:tcPr>
          <w:p w14:paraId="715C9EBA" w14:textId="77777777" w:rsidR="009453A8" w:rsidRDefault="009453A8" w:rsidP="005551AD">
            <w:pPr>
              <w:pStyle w:val="TableBody"/>
            </w:pPr>
            <w:r>
              <w:t>1/3</w:t>
            </w:r>
          </w:p>
        </w:tc>
      </w:tr>
      <w:tr w:rsidR="009453A8" w:rsidRPr="00BE4766" w14:paraId="55E45EF8" w14:textId="77777777" w:rsidTr="005551AD">
        <w:trPr>
          <w:trHeight w:val="242"/>
        </w:trPr>
        <w:tc>
          <w:tcPr>
            <w:tcW w:w="1448" w:type="dxa"/>
          </w:tcPr>
          <w:p w14:paraId="4B5C72A1" w14:textId="77777777" w:rsidR="009453A8" w:rsidRPr="00DE5E37" w:rsidRDefault="009453A8" w:rsidP="005551AD">
            <w:pPr>
              <w:pStyle w:val="TableBody"/>
              <w:rPr>
                <w:i/>
              </w:rPr>
            </w:pPr>
            <w:r w:rsidRPr="00824AAE">
              <w:rPr>
                <w:i/>
              </w:rPr>
              <w:t>RWF</w:t>
            </w:r>
            <w:r>
              <w:rPr>
                <w:i/>
                <w:vertAlign w:val="subscript"/>
              </w:rPr>
              <w:t>2</w:t>
            </w:r>
          </w:p>
        </w:tc>
        <w:tc>
          <w:tcPr>
            <w:tcW w:w="1702" w:type="dxa"/>
          </w:tcPr>
          <w:p w14:paraId="34A6659A" w14:textId="77777777" w:rsidR="009453A8" w:rsidRDefault="009453A8" w:rsidP="005551AD">
            <w:pPr>
              <w:pStyle w:val="TableBody"/>
            </w:pPr>
            <w:r>
              <w:t>None</w:t>
            </w:r>
          </w:p>
        </w:tc>
        <w:tc>
          <w:tcPr>
            <w:tcW w:w="5940" w:type="dxa"/>
          </w:tcPr>
          <w:p w14:paraId="6E9499FD" w14:textId="77777777" w:rsidR="009453A8" w:rsidRDefault="009453A8" w:rsidP="005551AD">
            <w:pPr>
              <w:pStyle w:val="TableBody"/>
            </w:pPr>
            <w:r>
              <w:t>1/3</w:t>
            </w:r>
          </w:p>
        </w:tc>
      </w:tr>
      <w:tr w:rsidR="009453A8" w:rsidRPr="00BE4766" w14:paraId="4434777B" w14:textId="77777777" w:rsidTr="005551AD">
        <w:trPr>
          <w:trHeight w:val="242"/>
        </w:trPr>
        <w:tc>
          <w:tcPr>
            <w:tcW w:w="1448" w:type="dxa"/>
          </w:tcPr>
          <w:p w14:paraId="351C24D7" w14:textId="77777777" w:rsidR="009453A8" w:rsidRPr="00DE5E37" w:rsidRDefault="009453A8" w:rsidP="005551AD">
            <w:pPr>
              <w:pStyle w:val="TableBody"/>
              <w:rPr>
                <w:i/>
              </w:rPr>
            </w:pPr>
            <w:r w:rsidRPr="00824AAE">
              <w:rPr>
                <w:i/>
              </w:rPr>
              <w:t>RWF</w:t>
            </w:r>
            <w:r>
              <w:rPr>
                <w:i/>
                <w:vertAlign w:val="subscript"/>
              </w:rPr>
              <w:t>3</w:t>
            </w:r>
          </w:p>
        </w:tc>
        <w:tc>
          <w:tcPr>
            <w:tcW w:w="1702" w:type="dxa"/>
          </w:tcPr>
          <w:p w14:paraId="13BE104B" w14:textId="77777777" w:rsidR="009453A8" w:rsidRDefault="009453A8" w:rsidP="005551AD">
            <w:pPr>
              <w:pStyle w:val="TableBody"/>
            </w:pPr>
            <w:r>
              <w:t>None</w:t>
            </w:r>
          </w:p>
        </w:tc>
        <w:tc>
          <w:tcPr>
            <w:tcW w:w="5940" w:type="dxa"/>
          </w:tcPr>
          <w:p w14:paraId="7D83CBF5" w14:textId="77777777" w:rsidR="009453A8" w:rsidRDefault="009453A8" w:rsidP="005551AD">
            <w:pPr>
              <w:pStyle w:val="TableBody"/>
            </w:pPr>
            <w:r>
              <w:t>1/3</w:t>
            </w:r>
          </w:p>
        </w:tc>
      </w:tr>
      <w:tr w:rsidR="009453A8" w:rsidRPr="00BE4766" w14:paraId="3486703E" w14:textId="77777777" w:rsidTr="005551AD">
        <w:trPr>
          <w:trHeight w:val="242"/>
        </w:trPr>
        <w:tc>
          <w:tcPr>
            <w:tcW w:w="1448" w:type="dxa"/>
          </w:tcPr>
          <w:p w14:paraId="2BD87EBB" w14:textId="77777777" w:rsidR="009453A8" w:rsidRPr="00DE5E37" w:rsidRDefault="009453A8" w:rsidP="005551AD">
            <w:pPr>
              <w:pStyle w:val="TableBody"/>
              <w:rPr>
                <w:i/>
              </w:rPr>
            </w:pPr>
            <w:r>
              <w:rPr>
                <w:i/>
              </w:rPr>
              <w:t>D</w:t>
            </w:r>
            <w:r w:rsidRPr="00824AAE">
              <w:rPr>
                <w:i/>
              </w:rPr>
              <w:t>WF</w:t>
            </w:r>
            <w:r>
              <w:rPr>
                <w:i/>
                <w:vertAlign w:val="subscript"/>
              </w:rPr>
              <w:t>1</w:t>
            </w:r>
          </w:p>
        </w:tc>
        <w:tc>
          <w:tcPr>
            <w:tcW w:w="1702" w:type="dxa"/>
          </w:tcPr>
          <w:p w14:paraId="2B8285A1" w14:textId="77777777" w:rsidR="009453A8" w:rsidRDefault="009453A8" w:rsidP="005551AD">
            <w:pPr>
              <w:pStyle w:val="TableBody"/>
            </w:pPr>
            <w:r>
              <w:t>None</w:t>
            </w:r>
          </w:p>
        </w:tc>
        <w:tc>
          <w:tcPr>
            <w:tcW w:w="5940" w:type="dxa"/>
          </w:tcPr>
          <w:p w14:paraId="494D4615" w14:textId="77777777" w:rsidR="009453A8" w:rsidRDefault="009453A8" w:rsidP="005551AD">
            <w:pPr>
              <w:pStyle w:val="TableBody"/>
            </w:pPr>
            <w:r>
              <w:t>1/3</w:t>
            </w:r>
          </w:p>
        </w:tc>
      </w:tr>
      <w:tr w:rsidR="009453A8" w:rsidRPr="00BE4766" w14:paraId="385E1652" w14:textId="77777777" w:rsidTr="005551AD">
        <w:trPr>
          <w:trHeight w:val="242"/>
        </w:trPr>
        <w:tc>
          <w:tcPr>
            <w:tcW w:w="1448" w:type="dxa"/>
          </w:tcPr>
          <w:p w14:paraId="248CC17C" w14:textId="77777777" w:rsidR="009453A8" w:rsidRPr="00DE5E37" w:rsidRDefault="009453A8" w:rsidP="005551AD">
            <w:pPr>
              <w:pStyle w:val="TableBody"/>
              <w:rPr>
                <w:i/>
              </w:rPr>
            </w:pPr>
            <w:r>
              <w:rPr>
                <w:i/>
              </w:rPr>
              <w:t>D</w:t>
            </w:r>
            <w:r w:rsidRPr="00824AAE">
              <w:rPr>
                <w:i/>
              </w:rPr>
              <w:t>WF</w:t>
            </w:r>
            <w:r>
              <w:rPr>
                <w:i/>
                <w:vertAlign w:val="subscript"/>
              </w:rPr>
              <w:t>2</w:t>
            </w:r>
          </w:p>
        </w:tc>
        <w:tc>
          <w:tcPr>
            <w:tcW w:w="1702" w:type="dxa"/>
          </w:tcPr>
          <w:p w14:paraId="46E7660C" w14:textId="77777777" w:rsidR="009453A8" w:rsidRDefault="009453A8" w:rsidP="005551AD">
            <w:pPr>
              <w:pStyle w:val="TableBody"/>
            </w:pPr>
            <w:r>
              <w:t>None</w:t>
            </w:r>
          </w:p>
        </w:tc>
        <w:tc>
          <w:tcPr>
            <w:tcW w:w="5940" w:type="dxa"/>
          </w:tcPr>
          <w:p w14:paraId="3642B672" w14:textId="77777777" w:rsidR="009453A8" w:rsidRDefault="009453A8" w:rsidP="005551AD">
            <w:pPr>
              <w:pStyle w:val="TableBody"/>
            </w:pPr>
            <w:r>
              <w:t>1/3</w:t>
            </w:r>
          </w:p>
        </w:tc>
      </w:tr>
      <w:tr w:rsidR="009453A8" w:rsidRPr="00BE4766" w14:paraId="7F181369" w14:textId="77777777" w:rsidTr="005551AD">
        <w:trPr>
          <w:trHeight w:val="242"/>
        </w:trPr>
        <w:tc>
          <w:tcPr>
            <w:tcW w:w="1448" w:type="dxa"/>
          </w:tcPr>
          <w:p w14:paraId="0C8B18A4" w14:textId="77777777" w:rsidR="009453A8" w:rsidRPr="00DE5E37" w:rsidRDefault="009453A8" w:rsidP="005551AD">
            <w:pPr>
              <w:pStyle w:val="TableBody"/>
              <w:rPr>
                <w:i/>
              </w:rPr>
            </w:pPr>
            <w:r>
              <w:rPr>
                <w:i/>
              </w:rPr>
              <w:t>D</w:t>
            </w:r>
            <w:r w:rsidRPr="00824AAE">
              <w:rPr>
                <w:i/>
              </w:rPr>
              <w:t>WF</w:t>
            </w:r>
            <w:r>
              <w:rPr>
                <w:i/>
                <w:vertAlign w:val="subscript"/>
              </w:rPr>
              <w:t>3</w:t>
            </w:r>
          </w:p>
        </w:tc>
        <w:tc>
          <w:tcPr>
            <w:tcW w:w="1702" w:type="dxa"/>
          </w:tcPr>
          <w:p w14:paraId="4F3CFEAE" w14:textId="77777777" w:rsidR="009453A8" w:rsidRDefault="009453A8" w:rsidP="005551AD">
            <w:pPr>
              <w:pStyle w:val="TableBody"/>
            </w:pPr>
            <w:r>
              <w:t>None</w:t>
            </w:r>
          </w:p>
        </w:tc>
        <w:tc>
          <w:tcPr>
            <w:tcW w:w="5940" w:type="dxa"/>
          </w:tcPr>
          <w:p w14:paraId="72032E67" w14:textId="77777777" w:rsidR="009453A8" w:rsidRDefault="009453A8" w:rsidP="005551AD">
            <w:pPr>
              <w:pStyle w:val="TableBody"/>
            </w:pPr>
            <w:r>
              <w:t>1/3</w:t>
            </w:r>
          </w:p>
        </w:tc>
      </w:tr>
      <w:tr w:rsidR="009453A8" w:rsidRPr="00BE4766" w14:paraId="735AF65B" w14:textId="77777777" w:rsidTr="005551AD">
        <w:trPr>
          <w:trHeight w:val="519"/>
        </w:trPr>
        <w:tc>
          <w:tcPr>
            <w:tcW w:w="9090" w:type="dxa"/>
            <w:gridSpan w:val="3"/>
          </w:tcPr>
          <w:p w14:paraId="59AD95DC" w14:textId="77777777" w:rsidR="009453A8" w:rsidRDefault="009453A8" w:rsidP="005551AD">
            <w:pPr>
              <w:pStyle w:val="TableBody"/>
            </w:pPr>
            <w:r>
              <w:t xml:space="preserve">*  </w:t>
            </w:r>
            <w:r w:rsidRPr="00126667">
              <w:t xml:space="preserve">The </w:t>
            </w:r>
            <w:r>
              <w:t xml:space="preserve">current value for the </w:t>
            </w:r>
            <w:r w:rsidRPr="00126667">
              <w:t xml:space="preserve">parameters referenced in </w:t>
            </w:r>
            <w:r>
              <w:t xml:space="preserve">the table above </w:t>
            </w:r>
            <w:r w:rsidRPr="00126667">
              <w:t>will be recommended by TAC and approved by the ERCOT Board.  ERCOT shall update parameter values on the first day of the month following ERCOT Board approval unless otherwise directed by the ERCOT Board.  ERCOT shall provide a Market Notice prior to implementation of a revised parameter value</w:t>
            </w:r>
            <w:r>
              <w:t>.</w:t>
            </w:r>
          </w:p>
        </w:tc>
      </w:tr>
    </w:tbl>
    <w:p w14:paraId="03A9EE4F" w14:textId="77777777" w:rsidR="00FC1C5F" w:rsidRDefault="00727E32" w:rsidP="009453A8">
      <w:pPr>
        <w:pStyle w:val="ListIntroduction"/>
        <w:tabs>
          <w:tab w:val="left" w:pos="1260"/>
        </w:tabs>
        <w:spacing w:before="480"/>
        <w:outlineLvl w:val="3"/>
      </w:pPr>
      <w:bookmarkStart w:id="509" w:name="_Toc148960877"/>
      <w:r w:rsidRPr="00EA38A1">
        <w:rPr>
          <w:b/>
          <w:iCs w:val="0"/>
        </w:rPr>
        <w:t>16</w:t>
      </w:r>
      <w:r w:rsidRPr="00D63F95">
        <w:rPr>
          <w:b/>
        </w:rPr>
        <w:t>.11.4.4</w:t>
      </w:r>
      <w:r w:rsidRPr="00D63F95">
        <w:rPr>
          <w:b/>
        </w:rPr>
        <w:tab/>
      </w:r>
      <w:r w:rsidR="00E12AFD" w:rsidRPr="00DD1960">
        <w:rPr>
          <w:b/>
          <w:i/>
        </w:rPr>
        <w:t>[RESERVED]</w:t>
      </w:r>
      <w:bookmarkEnd w:id="498"/>
      <w:bookmarkEnd w:id="499"/>
      <w:bookmarkEnd w:id="500"/>
      <w:bookmarkEnd w:id="501"/>
      <w:bookmarkEnd w:id="502"/>
      <w:bookmarkEnd w:id="503"/>
      <w:bookmarkEnd w:id="509"/>
    </w:p>
    <w:p w14:paraId="2927F9E2" w14:textId="77777777" w:rsidR="00A36A5A" w:rsidRPr="00341696" w:rsidRDefault="00A36A5A" w:rsidP="00A36A5A">
      <w:pPr>
        <w:keepNext/>
        <w:widowControl w:val="0"/>
        <w:tabs>
          <w:tab w:val="left" w:pos="1260"/>
        </w:tabs>
        <w:spacing w:before="240" w:after="240"/>
        <w:ind w:left="1267" w:hanging="1267"/>
        <w:outlineLvl w:val="3"/>
        <w:rPr>
          <w:b/>
          <w:bCs/>
          <w:snapToGrid w:val="0"/>
        </w:rPr>
      </w:pPr>
      <w:bookmarkStart w:id="510" w:name="_Toc390438970"/>
      <w:bookmarkStart w:id="511" w:name="_Toc405897668"/>
      <w:bookmarkStart w:id="512" w:name="_Toc415055772"/>
      <w:bookmarkStart w:id="513" w:name="_Toc415055898"/>
      <w:bookmarkStart w:id="514" w:name="_Toc415055997"/>
      <w:bookmarkStart w:id="515" w:name="_Toc415056098"/>
      <w:bookmarkStart w:id="516" w:name="_Toc148960878"/>
      <w:r w:rsidRPr="00341696">
        <w:rPr>
          <w:b/>
          <w:bCs/>
          <w:snapToGrid w:val="0"/>
        </w:rPr>
        <w:t>16.11.4.5</w:t>
      </w:r>
      <w:r w:rsidRPr="00341696">
        <w:rPr>
          <w:b/>
          <w:bCs/>
          <w:snapToGrid w:val="0"/>
        </w:rPr>
        <w:tab/>
        <w:t>Determination of the Counter-Party Future Credit Exposure</w:t>
      </w:r>
      <w:bookmarkEnd w:id="510"/>
      <w:bookmarkEnd w:id="511"/>
      <w:bookmarkEnd w:id="512"/>
      <w:bookmarkEnd w:id="513"/>
      <w:bookmarkEnd w:id="514"/>
      <w:bookmarkEnd w:id="515"/>
      <w:bookmarkEnd w:id="516"/>
    </w:p>
    <w:p w14:paraId="7DAA1AE1" w14:textId="77777777" w:rsidR="00A36A5A" w:rsidRDefault="00A36A5A" w:rsidP="00A36A5A">
      <w:pPr>
        <w:pStyle w:val="BodyText"/>
        <w:tabs>
          <w:tab w:val="left" w:pos="720"/>
        </w:tabs>
        <w:ind w:left="720" w:hanging="720"/>
      </w:pPr>
      <w:r w:rsidRPr="00341696">
        <w:rPr>
          <w:iCs w:val="0"/>
        </w:rPr>
        <w:t>(1)</w:t>
      </w:r>
      <w:r w:rsidRPr="00341696">
        <w:rPr>
          <w:iCs w:val="0"/>
        </w:rPr>
        <w:tab/>
        <w:t xml:space="preserve">ERCOT shall monitor and calculate the Counter-Party’s FCE for all </w:t>
      </w:r>
      <w:r w:rsidR="00613851">
        <w:rPr>
          <w:iCs w:val="0"/>
        </w:rPr>
        <w:t>the CRR Account Holders represented by</w:t>
      </w:r>
      <w:r w:rsidRPr="00341696">
        <w:rPr>
          <w:iCs w:val="0"/>
        </w:rPr>
        <w:t xml:space="preserve"> the Counter-Party as </w:t>
      </w:r>
      <w:r>
        <w:rPr>
          <w:iCs w:val="0"/>
        </w:rPr>
        <w:t>CRR O</w:t>
      </w:r>
      <w:r w:rsidRPr="00341696">
        <w:rPr>
          <w:iCs w:val="0"/>
        </w:rPr>
        <w:t>wner of record at ERCOT</w:t>
      </w:r>
      <w:r w:rsidRPr="00891D7E">
        <w:t>.</w:t>
      </w:r>
      <w:r>
        <w:t xml:space="preserve"> </w:t>
      </w:r>
    </w:p>
    <w:p w14:paraId="01D62A65" w14:textId="77777777" w:rsidR="00A36A5A" w:rsidRPr="002475CE" w:rsidRDefault="00A36A5A" w:rsidP="00A36A5A">
      <w:pPr>
        <w:pStyle w:val="Instructions"/>
        <w:spacing w:after="0"/>
        <w:ind w:left="720"/>
        <w:rPr>
          <w:i w:val="0"/>
        </w:rPr>
      </w:pPr>
      <w:r w:rsidRPr="002475CE">
        <w:rPr>
          <w:i w:val="0"/>
          <w:lang w:val="it-IT"/>
        </w:rPr>
        <w:t xml:space="preserve">FCE </w:t>
      </w:r>
      <w:r w:rsidR="00613851">
        <w:rPr>
          <w:rFonts w:ascii="Times New Roman Bold" w:hAnsi="Times New Roman Bold"/>
          <w:vertAlign w:val="subscript"/>
          <w:lang w:val="it-IT"/>
        </w:rPr>
        <w:t>a</w:t>
      </w:r>
      <w:r w:rsidRPr="002475CE">
        <w:rPr>
          <w:i w:val="0"/>
          <w:lang w:val="it-IT"/>
        </w:rPr>
        <w:t xml:space="preserve">  =  FCEOBL </w:t>
      </w:r>
      <w:r w:rsidR="00613851">
        <w:rPr>
          <w:rFonts w:ascii="Times New Roman Bold" w:hAnsi="Times New Roman Bold"/>
          <w:vertAlign w:val="subscript"/>
          <w:lang w:val="it-IT"/>
        </w:rPr>
        <w:t>a</w:t>
      </w:r>
      <w:r w:rsidRPr="002475CE">
        <w:rPr>
          <w:i w:val="0"/>
          <w:lang w:val="it-IT"/>
        </w:rPr>
        <w:t xml:space="preserve"> + FCEOPT </w:t>
      </w:r>
      <w:r w:rsidR="00613851">
        <w:rPr>
          <w:rFonts w:ascii="Times New Roman Bold" w:hAnsi="Times New Roman Bold"/>
          <w:vertAlign w:val="subscript"/>
          <w:lang w:val="it-IT"/>
        </w:rPr>
        <w:t>a</w:t>
      </w:r>
      <w:r w:rsidRPr="00D36347">
        <w:rPr>
          <w:rFonts w:ascii="Times New Roman Bold" w:hAnsi="Times New Roman Bold"/>
          <w:vertAlign w:val="subscript"/>
          <w:lang w:val="it-IT"/>
        </w:rPr>
        <w:t xml:space="preserve"> </w:t>
      </w:r>
    </w:p>
    <w:p w14:paraId="10251386" w14:textId="77777777" w:rsidR="00A36A5A" w:rsidRPr="00FA6425" w:rsidRDefault="00A36A5A" w:rsidP="00A36A5A">
      <w:pPr>
        <w:pStyle w:val="ListIntroduction"/>
        <w:spacing w:after="0"/>
        <w:rPr>
          <w:lang w:val="en-US" w:eastAsia="en-US"/>
        </w:rPr>
      </w:pPr>
    </w:p>
    <w:p w14:paraId="796AC34F" w14:textId="77777777" w:rsidR="00A36A5A" w:rsidRPr="00FA6425" w:rsidRDefault="00A36A5A" w:rsidP="00A36A5A">
      <w:pPr>
        <w:pStyle w:val="ListIntroduction"/>
        <w:spacing w:after="0"/>
        <w:rPr>
          <w:lang w:val="en-US" w:eastAsia="en-US"/>
        </w:rPr>
      </w:pPr>
      <w:r w:rsidRPr="00FA6425">
        <w:rPr>
          <w:lang w:val="en-US" w:eastAsia="en-US"/>
        </w:rPr>
        <w:t>The above variables are defined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98"/>
        <w:gridCol w:w="739"/>
        <w:gridCol w:w="6948"/>
      </w:tblGrid>
      <w:tr w:rsidR="00A36A5A" w14:paraId="2DF9B6A5" w14:textId="77777777" w:rsidTr="00077067">
        <w:trPr>
          <w:cantSplit/>
          <w:trHeight w:val="351"/>
          <w:tblHeader/>
        </w:trPr>
        <w:tc>
          <w:tcPr>
            <w:tcW w:w="0" w:type="auto"/>
          </w:tcPr>
          <w:p w14:paraId="0FD3B76C" w14:textId="77777777" w:rsidR="00A36A5A" w:rsidRDefault="00A36A5A" w:rsidP="00077067">
            <w:pPr>
              <w:pStyle w:val="TableHead"/>
            </w:pPr>
            <w:r>
              <w:t>Variable</w:t>
            </w:r>
          </w:p>
        </w:tc>
        <w:tc>
          <w:tcPr>
            <w:tcW w:w="739" w:type="dxa"/>
          </w:tcPr>
          <w:p w14:paraId="48305851" w14:textId="77777777" w:rsidR="00A36A5A" w:rsidRDefault="00A36A5A" w:rsidP="00077067">
            <w:pPr>
              <w:pStyle w:val="TableHead"/>
            </w:pPr>
            <w:r>
              <w:t>Unit</w:t>
            </w:r>
          </w:p>
        </w:tc>
        <w:tc>
          <w:tcPr>
            <w:tcW w:w="6948" w:type="dxa"/>
          </w:tcPr>
          <w:p w14:paraId="01B8EA1B" w14:textId="77777777" w:rsidR="00A36A5A" w:rsidRDefault="00A36A5A" w:rsidP="00077067">
            <w:pPr>
              <w:pStyle w:val="TableHead"/>
            </w:pPr>
            <w:r>
              <w:t>Description</w:t>
            </w:r>
          </w:p>
        </w:tc>
      </w:tr>
      <w:tr w:rsidR="00A36A5A" w14:paraId="5CD90055" w14:textId="77777777" w:rsidTr="00077067">
        <w:trPr>
          <w:trHeight w:val="260"/>
        </w:trPr>
        <w:tc>
          <w:tcPr>
            <w:tcW w:w="0" w:type="auto"/>
          </w:tcPr>
          <w:p w14:paraId="5FE0B18E" w14:textId="77777777" w:rsidR="00A36A5A" w:rsidRDefault="00A36A5A" w:rsidP="00613851">
            <w:pPr>
              <w:pStyle w:val="TableBody"/>
            </w:pPr>
            <w:r>
              <w:t xml:space="preserve">FCE </w:t>
            </w:r>
            <w:r w:rsidR="00613851">
              <w:rPr>
                <w:rFonts w:ascii="Times New Roman Bold" w:hAnsi="Times New Roman Bold"/>
                <w:i/>
                <w:vertAlign w:val="subscript"/>
              </w:rPr>
              <w:t>a</w:t>
            </w:r>
          </w:p>
        </w:tc>
        <w:tc>
          <w:tcPr>
            <w:tcW w:w="739" w:type="dxa"/>
          </w:tcPr>
          <w:p w14:paraId="4A088EB8" w14:textId="77777777" w:rsidR="00A36A5A" w:rsidRDefault="00A36A5A" w:rsidP="00077067">
            <w:pPr>
              <w:pStyle w:val="TableBody"/>
            </w:pPr>
            <w:r>
              <w:t>$</w:t>
            </w:r>
          </w:p>
        </w:tc>
        <w:tc>
          <w:tcPr>
            <w:tcW w:w="6948" w:type="dxa"/>
          </w:tcPr>
          <w:p w14:paraId="45580588" w14:textId="77777777" w:rsidR="00A36A5A" w:rsidRDefault="00A36A5A" w:rsidP="008C0679">
            <w:pPr>
              <w:pStyle w:val="TableBody"/>
            </w:pPr>
            <w:r w:rsidRPr="00B67540">
              <w:rPr>
                <w:i/>
              </w:rPr>
              <w:t>Future Credit Exposure</w:t>
            </w:r>
            <w:r>
              <w:t xml:space="preserve"> for all CRRs held by </w:t>
            </w:r>
            <w:r w:rsidR="008C0679" w:rsidRPr="00545E0B">
              <w:rPr>
                <w:i/>
              </w:rPr>
              <w:t>all CRR Account Holders</w:t>
            </w:r>
            <w:r w:rsidR="008C0679">
              <w:t xml:space="preserve"> represented by </w:t>
            </w:r>
            <w:r>
              <w:t>the Counter-Party.</w:t>
            </w:r>
          </w:p>
        </w:tc>
      </w:tr>
      <w:tr w:rsidR="00A36A5A" w14:paraId="32EEE376" w14:textId="77777777" w:rsidTr="00077067">
        <w:trPr>
          <w:trHeight w:val="611"/>
        </w:trPr>
        <w:tc>
          <w:tcPr>
            <w:tcW w:w="0" w:type="auto"/>
          </w:tcPr>
          <w:p w14:paraId="0BEE9320" w14:textId="77777777" w:rsidR="00A36A5A" w:rsidRDefault="00A36A5A" w:rsidP="00613851">
            <w:pPr>
              <w:pStyle w:val="TableBody"/>
            </w:pPr>
            <w:r>
              <w:t xml:space="preserve">FCEOBL </w:t>
            </w:r>
            <w:r w:rsidR="00613851">
              <w:rPr>
                <w:rFonts w:ascii="Times New Roman Bold" w:hAnsi="Times New Roman Bold"/>
                <w:i/>
                <w:vertAlign w:val="subscript"/>
              </w:rPr>
              <w:t>a</w:t>
            </w:r>
          </w:p>
        </w:tc>
        <w:tc>
          <w:tcPr>
            <w:tcW w:w="739" w:type="dxa"/>
          </w:tcPr>
          <w:p w14:paraId="5A8EE8B9" w14:textId="77777777" w:rsidR="00A36A5A" w:rsidRDefault="00A36A5A" w:rsidP="00077067">
            <w:pPr>
              <w:pStyle w:val="TableBody"/>
            </w:pPr>
            <w:r>
              <w:t>$</w:t>
            </w:r>
          </w:p>
        </w:tc>
        <w:tc>
          <w:tcPr>
            <w:tcW w:w="6948" w:type="dxa"/>
          </w:tcPr>
          <w:p w14:paraId="3782E097" w14:textId="77777777" w:rsidR="00A36A5A" w:rsidRPr="00B67540" w:rsidRDefault="00A36A5A" w:rsidP="008C0679">
            <w:pPr>
              <w:pStyle w:val="TableBody"/>
              <w:rPr>
                <w:iCs w:val="0"/>
              </w:rPr>
            </w:pPr>
            <w:r w:rsidRPr="00B67540">
              <w:rPr>
                <w:i/>
              </w:rPr>
              <w:t>Future Credit Exposure for PTP Obligations</w:t>
            </w:r>
            <w:r>
              <w:t xml:space="preserve"> for all PTP Obligations held by </w:t>
            </w:r>
            <w:r w:rsidR="008C0679">
              <w:t xml:space="preserve">all CRR Account Holders represented by </w:t>
            </w:r>
            <w:r>
              <w:t>the Counter-Party as CRR Owner</w:t>
            </w:r>
            <w:r w:rsidRPr="00B67540">
              <w:rPr>
                <w:i/>
              </w:rPr>
              <w:t xml:space="preserve"> </w:t>
            </w:r>
            <w:r>
              <w:t xml:space="preserve">of record at ERCOT, for all Operating Days in the current operating month, Prompt Month, and all Forward Months. </w:t>
            </w:r>
          </w:p>
        </w:tc>
      </w:tr>
      <w:tr w:rsidR="00A36A5A" w14:paraId="3614E631" w14:textId="77777777" w:rsidTr="00077067">
        <w:trPr>
          <w:trHeight w:val="530"/>
        </w:trPr>
        <w:tc>
          <w:tcPr>
            <w:tcW w:w="0" w:type="auto"/>
          </w:tcPr>
          <w:p w14:paraId="11990135" w14:textId="77777777" w:rsidR="00A36A5A" w:rsidRDefault="00A36A5A" w:rsidP="00613851">
            <w:pPr>
              <w:pStyle w:val="TableBody"/>
            </w:pPr>
            <w:r>
              <w:t xml:space="preserve">FCEOPT </w:t>
            </w:r>
            <w:r w:rsidR="00613851">
              <w:rPr>
                <w:rFonts w:ascii="Times New Roman Bold" w:hAnsi="Times New Roman Bold"/>
                <w:i/>
                <w:vertAlign w:val="subscript"/>
              </w:rPr>
              <w:t>a</w:t>
            </w:r>
          </w:p>
        </w:tc>
        <w:tc>
          <w:tcPr>
            <w:tcW w:w="739" w:type="dxa"/>
          </w:tcPr>
          <w:p w14:paraId="35D011D7" w14:textId="77777777" w:rsidR="00A36A5A" w:rsidRDefault="00A36A5A" w:rsidP="00077067">
            <w:pPr>
              <w:pStyle w:val="TableBody"/>
            </w:pPr>
            <w:r>
              <w:t>$</w:t>
            </w:r>
          </w:p>
        </w:tc>
        <w:tc>
          <w:tcPr>
            <w:tcW w:w="6948" w:type="dxa"/>
          </w:tcPr>
          <w:p w14:paraId="0A4938CE" w14:textId="77777777" w:rsidR="00A36A5A" w:rsidRDefault="00A36A5A" w:rsidP="008C0679">
            <w:pPr>
              <w:pStyle w:val="TableBody"/>
            </w:pPr>
            <w:r w:rsidRPr="00B67540">
              <w:rPr>
                <w:i/>
              </w:rPr>
              <w:t>Future Credit Exposure for PTP Options</w:t>
            </w:r>
            <w:r>
              <w:t xml:space="preserve"> for all PTP Options held by </w:t>
            </w:r>
            <w:r w:rsidR="008C0679">
              <w:t xml:space="preserve">all CRR Account Holders represented by </w:t>
            </w:r>
            <w:r>
              <w:t>the Counter-Party as CRR Owner</w:t>
            </w:r>
            <w:r w:rsidRPr="00B67540">
              <w:rPr>
                <w:i/>
              </w:rPr>
              <w:t xml:space="preserve"> </w:t>
            </w:r>
            <w:r>
              <w:t xml:space="preserve">of record at </w:t>
            </w:r>
            <w:r>
              <w:lastRenderedPageBreak/>
              <w:t xml:space="preserve">ERCOT, for all Operating Days remaining in the current operating month and Prompt Month. </w:t>
            </w:r>
          </w:p>
        </w:tc>
      </w:tr>
      <w:tr w:rsidR="00A36A5A" w14:paraId="371F84CB" w14:textId="77777777" w:rsidTr="00077067">
        <w:trPr>
          <w:trHeight w:val="350"/>
        </w:trPr>
        <w:tc>
          <w:tcPr>
            <w:tcW w:w="0" w:type="auto"/>
          </w:tcPr>
          <w:p w14:paraId="5ACFB7D9" w14:textId="77777777" w:rsidR="00A36A5A" w:rsidRPr="00D36347" w:rsidRDefault="00613851" w:rsidP="00077067">
            <w:pPr>
              <w:pStyle w:val="TableBody"/>
              <w:rPr>
                <w:i/>
              </w:rPr>
            </w:pPr>
            <w:r>
              <w:rPr>
                <w:i/>
              </w:rPr>
              <w:lastRenderedPageBreak/>
              <w:t>a</w:t>
            </w:r>
          </w:p>
        </w:tc>
        <w:tc>
          <w:tcPr>
            <w:tcW w:w="739" w:type="dxa"/>
          </w:tcPr>
          <w:p w14:paraId="6DCCD5B3" w14:textId="77777777" w:rsidR="00A36A5A" w:rsidRDefault="00A36A5A" w:rsidP="00077067">
            <w:pPr>
              <w:pStyle w:val="TableBody"/>
            </w:pPr>
            <w:r>
              <w:t>none</w:t>
            </w:r>
          </w:p>
        </w:tc>
        <w:tc>
          <w:tcPr>
            <w:tcW w:w="6948" w:type="dxa"/>
          </w:tcPr>
          <w:p w14:paraId="662F1402" w14:textId="77777777" w:rsidR="00A36A5A" w:rsidRDefault="00A36A5A" w:rsidP="008C0679">
            <w:pPr>
              <w:pStyle w:val="TableBody"/>
            </w:pPr>
            <w:r>
              <w:t>A</w:t>
            </w:r>
            <w:r w:rsidR="008C0679">
              <w:t>ll</w:t>
            </w:r>
            <w:r>
              <w:t xml:space="preserve"> CRR </w:t>
            </w:r>
            <w:r w:rsidR="008C0679">
              <w:t>Account Holders represented by the Counter-Party</w:t>
            </w:r>
            <w:r>
              <w:t>.</w:t>
            </w:r>
          </w:p>
        </w:tc>
      </w:tr>
    </w:tbl>
    <w:p w14:paraId="4F362115" w14:textId="77777777" w:rsidR="00A36A5A" w:rsidRPr="00341696" w:rsidRDefault="00A36A5A" w:rsidP="00A36A5A">
      <w:pPr>
        <w:tabs>
          <w:tab w:val="left" w:pos="720"/>
        </w:tabs>
        <w:spacing w:before="240" w:after="240"/>
        <w:ind w:left="720" w:hanging="720"/>
        <w:rPr>
          <w:b/>
          <w:bCs/>
          <w:iCs/>
        </w:rPr>
      </w:pPr>
      <w:r w:rsidRPr="00341696">
        <w:rPr>
          <w:iCs/>
        </w:rPr>
        <w:t>(2)</w:t>
      </w:r>
      <w:r w:rsidRPr="00341696">
        <w:rPr>
          <w:iCs/>
        </w:rPr>
        <w:tab/>
        <w:t xml:space="preserve">The Counter-Party’s FCE for PTP Obligations (FCEOBL) held by </w:t>
      </w:r>
      <w:r w:rsidR="008C0679">
        <w:t xml:space="preserve">all CRR Account Holders represented by </w:t>
      </w:r>
      <w:r w:rsidRPr="00341696">
        <w:rPr>
          <w:iCs/>
        </w:rPr>
        <w:t xml:space="preserve">the Counter-Party as </w:t>
      </w:r>
      <w:r>
        <w:rPr>
          <w:iCs/>
        </w:rPr>
        <w:t>CRR O</w:t>
      </w:r>
      <w:r w:rsidRPr="00341696">
        <w:rPr>
          <w:iCs/>
        </w:rPr>
        <w:t xml:space="preserve">wner of record at ERCOT </w:t>
      </w:r>
      <w:r>
        <w:rPr>
          <w:iCs/>
        </w:rPr>
        <w:t xml:space="preserve">are </w:t>
      </w:r>
      <w:r w:rsidRPr="00341696">
        <w:rPr>
          <w:iCs/>
        </w:rPr>
        <w:t>calculated as follows:</w:t>
      </w:r>
    </w:p>
    <w:p w14:paraId="6AA00B74" w14:textId="77777777" w:rsidR="00A36A5A" w:rsidRDefault="00A36A5A" w:rsidP="00A36A5A">
      <w:pPr>
        <w:tabs>
          <w:tab w:val="left" w:pos="1440"/>
          <w:tab w:val="left" w:pos="1800"/>
        </w:tabs>
        <w:spacing w:after="240"/>
        <w:ind w:left="720"/>
        <w:contextualSpacing/>
        <w:rPr>
          <w:b/>
        </w:rPr>
      </w:pPr>
      <w:r w:rsidRPr="00341696">
        <w:rPr>
          <w:b/>
          <w:iCs/>
        </w:rPr>
        <w:t xml:space="preserve">FCEOBL </w:t>
      </w:r>
      <w:r w:rsidR="008C0679">
        <w:rPr>
          <w:rFonts w:ascii="Times New Roman Bold" w:hAnsi="Times New Roman Bold"/>
          <w:i/>
          <w:iCs/>
          <w:vertAlign w:val="subscript"/>
        </w:rPr>
        <w:t>a</w:t>
      </w:r>
      <w:r w:rsidRPr="00972D5D">
        <w:rPr>
          <w:iCs/>
        </w:rPr>
        <w:t xml:space="preserve"> </w:t>
      </w:r>
      <w:r w:rsidRPr="00341696">
        <w:rPr>
          <w:iCs/>
        </w:rPr>
        <w:tab/>
      </w:r>
      <w:r w:rsidRPr="00341696">
        <w:rPr>
          <w:b/>
          <w:iCs/>
        </w:rPr>
        <w:t>=</w:t>
      </w:r>
      <w:r w:rsidRPr="00341696">
        <w:rPr>
          <w:b/>
          <w:iCs/>
        </w:rPr>
        <w:tab/>
      </w:r>
      <w:r>
        <w:t>∑</w:t>
      </w:r>
      <w:r w:rsidRPr="00D36347">
        <w:rPr>
          <w:i/>
          <w:vertAlign w:val="subscript"/>
        </w:rPr>
        <w:t>m</w:t>
      </w:r>
      <w:r w:rsidRPr="00CE5CAA">
        <w:rPr>
          <w:b/>
        </w:rPr>
        <w:t xml:space="preserve"> </w:t>
      </w:r>
      <w:r w:rsidRPr="00E551AB">
        <w:rPr>
          <w:b/>
        </w:rPr>
        <w:t>[(∑</w:t>
      </w:r>
      <w:r w:rsidRPr="00D36347">
        <w:rPr>
          <w:b/>
          <w:i/>
          <w:vertAlign w:val="subscript"/>
        </w:rPr>
        <w:t>h</w:t>
      </w:r>
      <w:r w:rsidRPr="00E551AB">
        <w:rPr>
          <w:b/>
          <w:vertAlign w:val="subscript"/>
        </w:rPr>
        <w:t xml:space="preserve"> </w:t>
      </w:r>
      <w:r w:rsidRPr="00E551AB">
        <w:rPr>
          <w:b/>
        </w:rPr>
        <w:t>∑</w:t>
      </w:r>
      <w:r w:rsidRPr="00D36347">
        <w:rPr>
          <w:b/>
          <w:i/>
          <w:vertAlign w:val="subscript"/>
        </w:rPr>
        <w:t>j, k</w:t>
      </w:r>
      <w:r w:rsidRPr="00E551AB">
        <w:rPr>
          <w:b/>
          <w:vertAlign w:val="subscript"/>
        </w:rPr>
        <w:t xml:space="preserve"> </w:t>
      </w:r>
      <w:r w:rsidRPr="00E551AB">
        <w:rPr>
          <w:b/>
        </w:rPr>
        <w:t>NAOBLMW</w:t>
      </w:r>
      <w:r>
        <w:rPr>
          <w:b/>
        </w:rPr>
        <w:t xml:space="preserve"> </w:t>
      </w:r>
      <w:r w:rsidRPr="00D36347">
        <w:rPr>
          <w:b/>
          <w:i/>
          <w:vertAlign w:val="subscript"/>
        </w:rPr>
        <w:t>m, h, (j, k)</w:t>
      </w:r>
      <w:r>
        <w:rPr>
          <w:b/>
        </w:rPr>
        <w:t>)</w:t>
      </w:r>
      <w:r w:rsidRPr="00E551AB">
        <w:rPr>
          <w:b/>
        </w:rPr>
        <w:t xml:space="preserve"> * (</w:t>
      </w:r>
      <w:r>
        <w:rPr>
          <w:b/>
        </w:rPr>
        <w:t>-M</w:t>
      </w:r>
      <w:r w:rsidRPr="00E551AB">
        <w:rPr>
          <w:b/>
        </w:rPr>
        <w:t>in</w:t>
      </w:r>
      <w:r w:rsidRPr="00AD1A26">
        <w:rPr>
          <w:b/>
        </w:rPr>
        <w:t>(0,</w:t>
      </w:r>
      <w:r w:rsidR="00D24ED8">
        <w:rPr>
          <w:b/>
        </w:rPr>
        <w:t xml:space="preserve"> </w:t>
      </w:r>
      <w:r>
        <w:rPr>
          <w:b/>
        </w:rPr>
        <w:t xml:space="preserve">PWA </w:t>
      </w:r>
      <w:r w:rsidRPr="00D36347">
        <w:rPr>
          <w:b/>
          <w:i/>
          <w:vertAlign w:val="subscript"/>
        </w:rPr>
        <w:t>ci100, m</w:t>
      </w:r>
      <w:r>
        <w:rPr>
          <w:b/>
        </w:rPr>
        <w:t>, PW</w:t>
      </w:r>
      <w:r w:rsidRPr="00E551AB">
        <w:rPr>
          <w:b/>
        </w:rPr>
        <w:t>ACP</w:t>
      </w:r>
      <w:r>
        <w:rPr>
          <w:b/>
        </w:rPr>
        <w:t xml:space="preserve"> </w:t>
      </w:r>
      <w:r w:rsidRPr="00D36347">
        <w:rPr>
          <w:b/>
          <w:i/>
          <w:vertAlign w:val="subscript"/>
        </w:rPr>
        <w:t>m</w:t>
      </w:r>
      <w:r w:rsidRPr="00E551AB">
        <w:rPr>
          <w:b/>
        </w:rPr>
        <w:t>)</w:t>
      </w:r>
      <w:r>
        <w:rPr>
          <w:b/>
        </w:rPr>
        <w:t>)</w:t>
      </w:r>
      <w:r w:rsidRPr="00E551AB">
        <w:rPr>
          <w:b/>
        </w:rPr>
        <w:t>]</w:t>
      </w:r>
    </w:p>
    <w:p w14:paraId="18E43F67" w14:textId="77777777" w:rsidR="0083787A" w:rsidRDefault="0083787A" w:rsidP="0083787A">
      <w:pPr>
        <w:tabs>
          <w:tab w:val="left" w:pos="1440"/>
          <w:tab w:val="left" w:pos="1800"/>
        </w:tabs>
        <w:spacing w:after="240"/>
        <w:ind w:left="720"/>
        <w:contextualSpacing/>
        <w:rPr>
          <w:b/>
        </w:rPr>
      </w:pPr>
    </w:p>
    <w:p w14:paraId="0761193B" w14:textId="77777777" w:rsidR="00A36A5A" w:rsidRDefault="0083787A" w:rsidP="008779D4">
      <w:pPr>
        <w:tabs>
          <w:tab w:val="left" w:pos="1440"/>
          <w:tab w:val="left" w:pos="1800"/>
        </w:tabs>
        <w:ind w:left="720"/>
        <w:contextualSpacing/>
        <w:rPr>
          <w:b/>
        </w:rPr>
      </w:pPr>
      <w:r w:rsidRPr="00920E6B">
        <w:rPr>
          <w:b/>
        </w:rPr>
        <w:t xml:space="preserve">PWACP </w:t>
      </w:r>
      <w:r w:rsidRPr="00D36347">
        <w:rPr>
          <w:b/>
          <w:i/>
          <w:vertAlign w:val="subscript"/>
        </w:rPr>
        <w:t>m</w:t>
      </w:r>
      <w:r w:rsidRPr="00920E6B">
        <w:rPr>
          <w:b/>
          <w:vertAlign w:val="subscript"/>
        </w:rPr>
        <w:t xml:space="preserve"> </w:t>
      </w:r>
      <w:r w:rsidRPr="00920E6B">
        <w:rPr>
          <w:b/>
          <w:vertAlign w:val="subscript"/>
        </w:rPr>
        <w:tab/>
      </w:r>
      <w:r w:rsidRPr="00920E6B">
        <w:rPr>
          <w:b/>
          <w:iCs/>
        </w:rPr>
        <w:t>=</w:t>
      </w:r>
      <w:r w:rsidRPr="00920E6B">
        <w:rPr>
          <w:b/>
          <w:vertAlign w:val="subscript"/>
        </w:rPr>
        <w:tab/>
      </w:r>
      <w:r w:rsidRPr="00920E6B">
        <w:rPr>
          <w:b/>
        </w:rPr>
        <w:t>∑</w:t>
      </w:r>
      <w:r w:rsidRPr="00D36347">
        <w:rPr>
          <w:b/>
          <w:i/>
          <w:vertAlign w:val="subscript"/>
        </w:rPr>
        <w:t>h</w:t>
      </w:r>
      <w:r w:rsidRPr="00920E6B">
        <w:rPr>
          <w:b/>
          <w:vertAlign w:val="subscript"/>
        </w:rPr>
        <w:t xml:space="preserve"> </w:t>
      </w:r>
      <w:r w:rsidRPr="00920E6B">
        <w:rPr>
          <w:b/>
        </w:rPr>
        <w:t>∑</w:t>
      </w:r>
      <w:r w:rsidRPr="00D36347">
        <w:rPr>
          <w:b/>
          <w:i/>
          <w:vertAlign w:val="subscript"/>
        </w:rPr>
        <w:t>j, k</w:t>
      </w:r>
      <w:r w:rsidRPr="00920E6B">
        <w:rPr>
          <w:b/>
          <w:vertAlign w:val="subscript"/>
        </w:rPr>
        <w:t xml:space="preserve"> </w:t>
      </w:r>
      <w:r w:rsidRPr="00920E6B">
        <w:rPr>
          <w:b/>
        </w:rPr>
        <w:t xml:space="preserve">[NAOBLMW </w:t>
      </w:r>
      <w:r w:rsidRPr="00D36347">
        <w:rPr>
          <w:b/>
          <w:i/>
          <w:vertAlign w:val="subscript"/>
        </w:rPr>
        <w:t>m, h, (j, k)</w:t>
      </w:r>
      <w:r w:rsidRPr="00920E6B">
        <w:rPr>
          <w:b/>
          <w:vertAlign w:val="subscript"/>
        </w:rPr>
        <w:t xml:space="preserve"> </w:t>
      </w:r>
      <w:r w:rsidRPr="00920E6B">
        <w:rPr>
          <w:b/>
        </w:rPr>
        <w:t>* EACP</w:t>
      </w:r>
      <w:r w:rsidRPr="00920E6B">
        <w:rPr>
          <w:b/>
          <w:sz w:val="20"/>
          <w:vertAlign w:val="subscript"/>
        </w:rPr>
        <w:t xml:space="preserve"> </w:t>
      </w:r>
      <w:r w:rsidRPr="00D36347">
        <w:rPr>
          <w:b/>
          <w:i/>
          <w:vertAlign w:val="subscript"/>
        </w:rPr>
        <w:t>m, h, (j, k)</w:t>
      </w:r>
      <w:r w:rsidRPr="00920E6B">
        <w:rPr>
          <w:b/>
        </w:rPr>
        <w:t>] / ∑</w:t>
      </w:r>
      <w:r w:rsidRPr="00D36347">
        <w:rPr>
          <w:b/>
          <w:i/>
          <w:vertAlign w:val="subscript"/>
        </w:rPr>
        <w:t>h</w:t>
      </w:r>
      <w:r w:rsidRPr="00920E6B">
        <w:rPr>
          <w:b/>
          <w:vertAlign w:val="subscript"/>
        </w:rPr>
        <w:t xml:space="preserve"> </w:t>
      </w:r>
      <w:r w:rsidRPr="00920E6B">
        <w:rPr>
          <w:b/>
        </w:rPr>
        <w:t>∑</w:t>
      </w:r>
      <w:r w:rsidRPr="00D36347">
        <w:rPr>
          <w:b/>
          <w:i/>
          <w:vertAlign w:val="subscript"/>
        </w:rPr>
        <w:t>j, k</w:t>
      </w:r>
      <w:r w:rsidRPr="00920E6B">
        <w:rPr>
          <w:b/>
          <w:vertAlign w:val="subscript"/>
        </w:rPr>
        <w:t xml:space="preserve"> </w:t>
      </w:r>
      <w:r w:rsidRPr="00920E6B">
        <w:rPr>
          <w:b/>
        </w:rPr>
        <w:t xml:space="preserve">[NAOBLMW </w:t>
      </w:r>
      <w:r w:rsidRPr="00D36347">
        <w:rPr>
          <w:b/>
          <w:i/>
          <w:vertAlign w:val="subscript"/>
        </w:rPr>
        <w:t>m, h, (j, k)</w:t>
      </w:r>
      <w:r w:rsidRPr="00920E6B">
        <w:rPr>
          <w:b/>
        </w:rPr>
        <w:t>]</w:t>
      </w:r>
    </w:p>
    <w:p w14:paraId="33119280" w14:textId="77777777" w:rsidR="008779D4" w:rsidRPr="00341696" w:rsidRDefault="008779D4" w:rsidP="008779D4">
      <w:pPr>
        <w:tabs>
          <w:tab w:val="left" w:pos="1440"/>
          <w:tab w:val="left" w:pos="1800"/>
        </w:tabs>
        <w:ind w:left="720"/>
        <w:contextualSpacing/>
        <w:rPr>
          <w:b/>
          <w:iCs/>
        </w:rPr>
      </w:pPr>
    </w:p>
    <w:p w14:paraId="442DF677" w14:textId="77777777" w:rsidR="00A36A5A" w:rsidRPr="00341696" w:rsidRDefault="00A36A5A" w:rsidP="008779D4">
      <w:pPr>
        <w:keepNext/>
        <w:rPr>
          <w:iCs/>
        </w:rPr>
      </w:pPr>
      <w:r w:rsidRPr="00341696">
        <w:rPr>
          <w:iCs/>
        </w:rPr>
        <w:t>The above variables are defined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37"/>
        <w:gridCol w:w="739"/>
        <w:gridCol w:w="6574"/>
      </w:tblGrid>
      <w:tr w:rsidR="00A36A5A" w:rsidRPr="00341696" w14:paraId="4FF95375" w14:textId="77777777" w:rsidTr="00E00BA1">
        <w:trPr>
          <w:cantSplit/>
          <w:trHeight w:val="351"/>
          <w:tblHeader/>
        </w:trPr>
        <w:tc>
          <w:tcPr>
            <w:tcW w:w="2069" w:type="dxa"/>
          </w:tcPr>
          <w:p w14:paraId="32551563" w14:textId="77777777" w:rsidR="00A36A5A" w:rsidRPr="00341696" w:rsidRDefault="00A36A5A" w:rsidP="00077067">
            <w:pPr>
              <w:spacing w:after="120"/>
              <w:rPr>
                <w:b/>
                <w:iCs/>
                <w:sz w:val="20"/>
              </w:rPr>
            </w:pPr>
            <w:r w:rsidRPr="00341696">
              <w:rPr>
                <w:b/>
                <w:iCs/>
                <w:sz w:val="20"/>
              </w:rPr>
              <w:t>Variable</w:t>
            </w:r>
          </w:p>
        </w:tc>
        <w:tc>
          <w:tcPr>
            <w:tcW w:w="739" w:type="dxa"/>
          </w:tcPr>
          <w:p w14:paraId="05224EDC" w14:textId="77777777" w:rsidR="00A36A5A" w:rsidRPr="00341696" w:rsidRDefault="00A36A5A" w:rsidP="00077067">
            <w:pPr>
              <w:spacing w:after="120"/>
              <w:rPr>
                <w:b/>
                <w:iCs/>
                <w:sz w:val="20"/>
              </w:rPr>
            </w:pPr>
            <w:r w:rsidRPr="00341696">
              <w:rPr>
                <w:b/>
                <w:iCs/>
                <w:sz w:val="20"/>
              </w:rPr>
              <w:t>Unit</w:t>
            </w:r>
          </w:p>
        </w:tc>
        <w:tc>
          <w:tcPr>
            <w:tcW w:w="6768" w:type="dxa"/>
          </w:tcPr>
          <w:p w14:paraId="103803E0" w14:textId="77777777" w:rsidR="00A36A5A" w:rsidRPr="00341696" w:rsidRDefault="00A36A5A" w:rsidP="00077067">
            <w:pPr>
              <w:spacing w:after="120"/>
              <w:rPr>
                <w:b/>
                <w:iCs/>
                <w:sz w:val="20"/>
              </w:rPr>
            </w:pPr>
            <w:r w:rsidRPr="00341696">
              <w:rPr>
                <w:b/>
                <w:iCs/>
                <w:sz w:val="20"/>
              </w:rPr>
              <w:t>Description</w:t>
            </w:r>
          </w:p>
        </w:tc>
      </w:tr>
      <w:tr w:rsidR="00A36A5A" w:rsidRPr="00341696" w14:paraId="30BEC859" w14:textId="77777777" w:rsidTr="00E00BA1">
        <w:trPr>
          <w:cantSplit/>
          <w:trHeight w:val="519"/>
        </w:trPr>
        <w:tc>
          <w:tcPr>
            <w:tcW w:w="2069" w:type="dxa"/>
          </w:tcPr>
          <w:p w14:paraId="2B039A5A" w14:textId="77777777" w:rsidR="00A36A5A" w:rsidRPr="00341696" w:rsidRDefault="00A36A5A" w:rsidP="008C0679">
            <w:pPr>
              <w:spacing w:after="60"/>
              <w:rPr>
                <w:iCs/>
                <w:sz w:val="20"/>
              </w:rPr>
            </w:pPr>
            <w:r w:rsidRPr="00341696">
              <w:rPr>
                <w:iCs/>
                <w:sz w:val="20"/>
              </w:rPr>
              <w:t xml:space="preserve">FCEOBL </w:t>
            </w:r>
            <w:r w:rsidR="008C0679">
              <w:rPr>
                <w:i/>
                <w:iCs/>
                <w:sz w:val="20"/>
                <w:vertAlign w:val="subscript"/>
              </w:rPr>
              <w:t>a</w:t>
            </w:r>
          </w:p>
        </w:tc>
        <w:tc>
          <w:tcPr>
            <w:tcW w:w="739" w:type="dxa"/>
          </w:tcPr>
          <w:p w14:paraId="44454949" w14:textId="77777777" w:rsidR="00A36A5A" w:rsidRPr="00341696" w:rsidRDefault="00A36A5A" w:rsidP="00077067">
            <w:pPr>
              <w:spacing w:after="60"/>
              <w:rPr>
                <w:iCs/>
                <w:sz w:val="20"/>
              </w:rPr>
            </w:pPr>
            <w:r w:rsidRPr="00341696">
              <w:rPr>
                <w:iCs/>
                <w:sz w:val="20"/>
              </w:rPr>
              <w:t>$</w:t>
            </w:r>
          </w:p>
        </w:tc>
        <w:tc>
          <w:tcPr>
            <w:tcW w:w="6768" w:type="dxa"/>
          </w:tcPr>
          <w:p w14:paraId="31194026" w14:textId="77777777" w:rsidR="00A36A5A" w:rsidRPr="00341696" w:rsidRDefault="00A36A5A" w:rsidP="008C0679">
            <w:pPr>
              <w:spacing w:after="60"/>
              <w:rPr>
                <w:iCs/>
                <w:sz w:val="20"/>
              </w:rPr>
            </w:pPr>
            <w:r w:rsidRPr="00341696">
              <w:rPr>
                <w:i/>
                <w:iCs/>
                <w:sz w:val="20"/>
              </w:rPr>
              <w:t>Future Credit Exposure for PTP Obligations</w:t>
            </w:r>
            <w:r w:rsidRPr="00341696">
              <w:rPr>
                <w:iCs/>
                <w:sz w:val="20"/>
              </w:rPr>
              <w:t xml:space="preserve"> for all PTP Obligations held by </w:t>
            </w:r>
            <w:r w:rsidR="008C0679" w:rsidRPr="00545E0B">
              <w:rPr>
                <w:sz w:val="20"/>
              </w:rPr>
              <w:t>all CRR Account Holders represented by</w:t>
            </w:r>
            <w:r w:rsidR="008C0679">
              <w:t xml:space="preserve"> </w:t>
            </w:r>
            <w:r w:rsidRPr="00341696">
              <w:rPr>
                <w:iCs/>
                <w:sz w:val="20"/>
              </w:rPr>
              <w:t xml:space="preserve">the Counter-Party as </w:t>
            </w:r>
            <w:r>
              <w:rPr>
                <w:iCs/>
                <w:sz w:val="20"/>
              </w:rPr>
              <w:t>CRR O</w:t>
            </w:r>
            <w:r w:rsidRPr="00341696">
              <w:rPr>
                <w:iCs/>
                <w:sz w:val="20"/>
              </w:rPr>
              <w:t>wner</w:t>
            </w:r>
            <w:r w:rsidRPr="00341696">
              <w:rPr>
                <w:i/>
                <w:iCs/>
                <w:sz w:val="20"/>
              </w:rPr>
              <w:t xml:space="preserve"> </w:t>
            </w:r>
            <w:r w:rsidRPr="00341696">
              <w:rPr>
                <w:iCs/>
                <w:sz w:val="20"/>
              </w:rPr>
              <w:t xml:space="preserve">of record at ERCOT for all Operating Days </w:t>
            </w:r>
            <w:r>
              <w:rPr>
                <w:iCs/>
                <w:sz w:val="20"/>
              </w:rPr>
              <w:t>in the current operating month, Prompt Month, and all Forward Months</w:t>
            </w:r>
            <w:r w:rsidRPr="00341696">
              <w:rPr>
                <w:iCs/>
                <w:sz w:val="20"/>
              </w:rPr>
              <w:t>.</w:t>
            </w:r>
          </w:p>
        </w:tc>
      </w:tr>
      <w:tr w:rsidR="00A36A5A" w:rsidRPr="00341696" w14:paraId="4B82EF2B" w14:textId="77777777" w:rsidTr="00E00BA1">
        <w:tblPrEx>
          <w:tblLook w:val="01E0" w:firstRow="1" w:lastRow="1" w:firstColumn="1" w:lastColumn="1" w:noHBand="0" w:noVBand="0"/>
        </w:tblPrEx>
        <w:trPr>
          <w:cantSplit/>
          <w:trHeight w:val="350"/>
        </w:trPr>
        <w:tc>
          <w:tcPr>
            <w:tcW w:w="2069" w:type="dxa"/>
          </w:tcPr>
          <w:p w14:paraId="2218D04E" w14:textId="77777777" w:rsidR="00A36A5A" w:rsidRPr="00341696" w:rsidRDefault="00A36A5A" w:rsidP="008C0679">
            <w:pPr>
              <w:spacing w:after="60"/>
              <w:rPr>
                <w:iCs/>
                <w:sz w:val="20"/>
              </w:rPr>
            </w:pPr>
            <w:r w:rsidRPr="000433EB">
              <w:rPr>
                <w:sz w:val="20"/>
              </w:rPr>
              <w:t>NAOBLMW</w:t>
            </w:r>
            <w:r w:rsidRPr="000433EB">
              <w:rPr>
                <w:sz w:val="20"/>
                <w:vertAlign w:val="subscript"/>
              </w:rPr>
              <w:t xml:space="preserve"> </w:t>
            </w:r>
            <w:r w:rsidRPr="00D36347">
              <w:rPr>
                <w:i/>
                <w:sz w:val="20"/>
                <w:vertAlign w:val="subscript"/>
              </w:rPr>
              <w:t>m, h, (j, k)</w:t>
            </w:r>
          </w:p>
        </w:tc>
        <w:tc>
          <w:tcPr>
            <w:tcW w:w="739" w:type="dxa"/>
          </w:tcPr>
          <w:p w14:paraId="2CFC0F3D" w14:textId="77777777" w:rsidR="00A36A5A" w:rsidRPr="00341696" w:rsidRDefault="00A36A5A" w:rsidP="00077067">
            <w:pPr>
              <w:spacing w:after="60"/>
              <w:rPr>
                <w:iCs/>
                <w:sz w:val="20"/>
              </w:rPr>
            </w:pPr>
            <w:r w:rsidRPr="000433EB">
              <w:rPr>
                <w:sz w:val="20"/>
              </w:rPr>
              <w:t>MW</w:t>
            </w:r>
          </w:p>
        </w:tc>
        <w:tc>
          <w:tcPr>
            <w:tcW w:w="6768" w:type="dxa"/>
          </w:tcPr>
          <w:p w14:paraId="5CE154E6" w14:textId="77777777" w:rsidR="00A36A5A" w:rsidRPr="00341696" w:rsidRDefault="00A36A5A" w:rsidP="008C0679">
            <w:pPr>
              <w:spacing w:after="60"/>
              <w:rPr>
                <w:iCs/>
                <w:sz w:val="20"/>
              </w:rPr>
            </w:pPr>
            <w:r w:rsidRPr="000433EB">
              <w:rPr>
                <w:i/>
                <w:sz w:val="20"/>
              </w:rPr>
              <w:t>Net Awarded PTP Obligations</w:t>
            </w:r>
            <w:r w:rsidRPr="008C1469">
              <w:rPr>
                <w:iCs/>
                <w:sz w:val="20"/>
              </w:rPr>
              <w:sym w:font="Symbol" w:char="F0BE"/>
            </w:r>
            <w:r>
              <w:rPr>
                <w:sz w:val="20"/>
              </w:rPr>
              <w:t xml:space="preserve">Net awarded PTP Obligations </w:t>
            </w:r>
            <w:r w:rsidRPr="000433EB">
              <w:rPr>
                <w:sz w:val="20"/>
              </w:rPr>
              <w:t xml:space="preserve">with the source </w:t>
            </w:r>
            <w:r w:rsidRPr="000433EB">
              <w:rPr>
                <w:i/>
                <w:sz w:val="20"/>
              </w:rPr>
              <w:t>j</w:t>
            </w:r>
            <w:r w:rsidRPr="000433EB">
              <w:rPr>
                <w:sz w:val="20"/>
              </w:rPr>
              <w:t xml:space="preserve"> and sink </w:t>
            </w:r>
            <w:r w:rsidRPr="000433EB">
              <w:rPr>
                <w:i/>
                <w:sz w:val="20"/>
              </w:rPr>
              <w:t>k</w:t>
            </w:r>
            <w:r w:rsidRPr="000433EB">
              <w:rPr>
                <w:sz w:val="20"/>
              </w:rPr>
              <w:t xml:space="preserve"> for the hour </w:t>
            </w:r>
            <w:r w:rsidRPr="000433EB">
              <w:rPr>
                <w:i/>
                <w:sz w:val="20"/>
              </w:rPr>
              <w:t>h</w:t>
            </w:r>
            <w:r w:rsidRPr="000433EB">
              <w:rPr>
                <w:sz w:val="20"/>
              </w:rPr>
              <w:t xml:space="preserve"> and month </w:t>
            </w:r>
            <w:r w:rsidRPr="000433EB">
              <w:rPr>
                <w:i/>
                <w:sz w:val="20"/>
              </w:rPr>
              <w:t>m</w:t>
            </w:r>
            <w:r w:rsidRPr="000433EB">
              <w:rPr>
                <w:sz w:val="20"/>
              </w:rPr>
              <w:t xml:space="preserve"> owned by </w:t>
            </w:r>
            <w:r w:rsidR="008C0679" w:rsidRPr="00545E0B">
              <w:rPr>
                <w:sz w:val="20"/>
              </w:rPr>
              <w:t>all CRR Account Holders represented by</w:t>
            </w:r>
            <w:r w:rsidR="008C0679">
              <w:t xml:space="preserve"> </w:t>
            </w:r>
            <w:r w:rsidRPr="000433EB">
              <w:rPr>
                <w:sz w:val="20"/>
              </w:rPr>
              <w:t xml:space="preserve">the </w:t>
            </w:r>
            <w:r>
              <w:rPr>
                <w:sz w:val="20"/>
              </w:rPr>
              <w:t xml:space="preserve">Counter-Party as </w:t>
            </w:r>
            <w:r w:rsidRPr="000433EB">
              <w:rPr>
                <w:sz w:val="20"/>
              </w:rPr>
              <w:t xml:space="preserve">CRR Owner </w:t>
            </w:r>
            <w:r>
              <w:rPr>
                <w:sz w:val="20"/>
              </w:rPr>
              <w:t>of record at ERCOT for all Operating Days in the current operating month, Prompt Month, and F</w:t>
            </w:r>
            <w:r w:rsidRPr="000433EB">
              <w:rPr>
                <w:sz w:val="20"/>
              </w:rPr>
              <w:t xml:space="preserve">orward </w:t>
            </w:r>
            <w:r>
              <w:rPr>
                <w:sz w:val="20"/>
              </w:rPr>
              <w:t>M</w:t>
            </w:r>
            <w:r w:rsidRPr="000433EB">
              <w:rPr>
                <w:sz w:val="20"/>
              </w:rPr>
              <w:t>onths</w:t>
            </w:r>
            <w:r>
              <w:rPr>
                <w:sz w:val="20"/>
              </w:rPr>
              <w:t>.</w:t>
            </w:r>
          </w:p>
        </w:tc>
      </w:tr>
      <w:tr w:rsidR="00A36A5A" w:rsidRPr="00341696" w14:paraId="29446FF6" w14:textId="77777777" w:rsidTr="00E00BA1">
        <w:tblPrEx>
          <w:tblLook w:val="01E0" w:firstRow="1" w:lastRow="1" w:firstColumn="1" w:lastColumn="1" w:noHBand="0" w:noVBand="0"/>
        </w:tblPrEx>
        <w:trPr>
          <w:cantSplit/>
          <w:trHeight w:val="350"/>
        </w:trPr>
        <w:tc>
          <w:tcPr>
            <w:tcW w:w="2069" w:type="dxa"/>
          </w:tcPr>
          <w:p w14:paraId="791E28DF" w14:textId="77777777" w:rsidR="00A36A5A" w:rsidRPr="00341696" w:rsidRDefault="00A36A5A" w:rsidP="008C0679">
            <w:pPr>
              <w:spacing w:after="60"/>
              <w:rPr>
                <w:iCs/>
                <w:sz w:val="20"/>
              </w:rPr>
            </w:pPr>
            <w:r w:rsidRPr="000433EB">
              <w:rPr>
                <w:sz w:val="20"/>
              </w:rPr>
              <w:t>PWA</w:t>
            </w:r>
            <w:r w:rsidRPr="000433EB">
              <w:rPr>
                <w:sz w:val="20"/>
                <w:vertAlign w:val="subscript"/>
              </w:rPr>
              <w:t xml:space="preserve"> </w:t>
            </w:r>
            <w:r w:rsidRPr="00D36347">
              <w:rPr>
                <w:i/>
                <w:sz w:val="20"/>
                <w:vertAlign w:val="subscript"/>
              </w:rPr>
              <w:t>ci100, m</w:t>
            </w:r>
          </w:p>
        </w:tc>
        <w:tc>
          <w:tcPr>
            <w:tcW w:w="739" w:type="dxa"/>
          </w:tcPr>
          <w:p w14:paraId="1512F491" w14:textId="77777777" w:rsidR="00A36A5A" w:rsidRPr="00341696" w:rsidRDefault="00A36A5A" w:rsidP="00077067">
            <w:pPr>
              <w:spacing w:after="60"/>
              <w:rPr>
                <w:iCs/>
                <w:sz w:val="20"/>
              </w:rPr>
            </w:pPr>
            <w:r w:rsidRPr="000433EB">
              <w:rPr>
                <w:sz w:val="20"/>
              </w:rPr>
              <w:t>$/MW per hour</w:t>
            </w:r>
          </w:p>
        </w:tc>
        <w:tc>
          <w:tcPr>
            <w:tcW w:w="6768" w:type="dxa"/>
          </w:tcPr>
          <w:p w14:paraId="133D1467" w14:textId="77777777" w:rsidR="00A36A5A" w:rsidRPr="00341696" w:rsidRDefault="00A36A5A" w:rsidP="008C0679">
            <w:pPr>
              <w:spacing w:after="60"/>
              <w:rPr>
                <w:iCs/>
                <w:sz w:val="20"/>
              </w:rPr>
            </w:pPr>
            <w:r w:rsidRPr="000433EB">
              <w:rPr>
                <w:i/>
                <w:iCs/>
                <w:sz w:val="20"/>
              </w:rPr>
              <w:t>Portfolio Weighted Adder</w:t>
            </w:r>
            <w:r w:rsidRPr="008C1469">
              <w:rPr>
                <w:iCs/>
                <w:sz w:val="20"/>
              </w:rPr>
              <w:sym w:font="Symbol" w:char="F0BE"/>
            </w:r>
            <w:r>
              <w:rPr>
                <w:iCs/>
                <w:sz w:val="20"/>
              </w:rPr>
              <w:t xml:space="preserve">The portfolio weighted adder </w:t>
            </w:r>
            <w:r w:rsidRPr="000433EB">
              <w:rPr>
                <w:sz w:val="20"/>
              </w:rPr>
              <w:t>calculated as the 100</w:t>
            </w:r>
            <w:r w:rsidRPr="000433EB">
              <w:rPr>
                <w:sz w:val="20"/>
                <w:vertAlign w:val="superscript"/>
              </w:rPr>
              <w:t>th</w:t>
            </w:r>
            <w:r w:rsidRPr="000433EB">
              <w:rPr>
                <w:sz w:val="20"/>
              </w:rPr>
              <w:t xml:space="preserve"> percentile of a volume weighted average rolling consecutive DAM settled price for </w:t>
            </w:r>
            <w:r w:rsidR="008C0679" w:rsidRPr="00CF238E">
              <w:rPr>
                <w:sz w:val="20"/>
              </w:rPr>
              <w:t>all CRR Account Holders represented by</w:t>
            </w:r>
            <w:r w:rsidR="008C0679">
              <w:t xml:space="preserve"> </w:t>
            </w:r>
            <w:r w:rsidR="008C0679">
              <w:rPr>
                <w:sz w:val="20"/>
              </w:rPr>
              <w:t>the</w:t>
            </w:r>
            <w:r w:rsidRPr="000433EB">
              <w:rPr>
                <w:sz w:val="20"/>
              </w:rPr>
              <w:t xml:space="preserve"> </w:t>
            </w:r>
            <w:r>
              <w:rPr>
                <w:sz w:val="20"/>
              </w:rPr>
              <w:t xml:space="preserve">Counter-Party as </w:t>
            </w:r>
            <w:r w:rsidRPr="000433EB">
              <w:rPr>
                <w:sz w:val="20"/>
              </w:rPr>
              <w:t xml:space="preserve">CRR Owner </w:t>
            </w:r>
            <w:r>
              <w:rPr>
                <w:sz w:val="20"/>
              </w:rPr>
              <w:t xml:space="preserve">of record at ERCOT </w:t>
            </w:r>
            <w:r w:rsidRPr="000433EB">
              <w:rPr>
                <w:sz w:val="20"/>
              </w:rPr>
              <w:t>based on volumes owned for the month</w:t>
            </w:r>
            <w:r w:rsidRPr="000433EB">
              <w:rPr>
                <w:i/>
                <w:sz w:val="20"/>
              </w:rPr>
              <w:t xml:space="preserve"> m</w:t>
            </w:r>
            <w:r w:rsidRPr="000433EB">
              <w:rPr>
                <w:sz w:val="20"/>
              </w:rPr>
              <w:t>, over a period that represents a month for each product type (18</w:t>
            </w:r>
            <w:r>
              <w:rPr>
                <w:sz w:val="20"/>
              </w:rPr>
              <w:t xml:space="preserve"> </w:t>
            </w:r>
            <w:r w:rsidRPr="000433EB">
              <w:rPr>
                <w:sz w:val="20"/>
              </w:rPr>
              <w:t>days for 5*16, 8 days for 2*16, 28 days for 7*8</w:t>
            </w:r>
            <w:r>
              <w:rPr>
                <w:sz w:val="20"/>
              </w:rPr>
              <w:t xml:space="preserve">).  The look-back period for DAM settled prices shall be the lesser of January 1, 2011 to the current time, and the current time minus three years.  </w:t>
            </w:r>
            <w:r w:rsidRPr="00AA4725">
              <w:rPr>
                <w:bCs/>
                <w:iCs/>
                <w:sz w:val="20"/>
              </w:rPr>
              <w:t xml:space="preserve">If historical </w:t>
            </w:r>
            <w:r w:rsidR="00D24ED8">
              <w:rPr>
                <w:bCs/>
                <w:iCs/>
                <w:sz w:val="20"/>
              </w:rPr>
              <w:t>Day-Ahead Settlement Point Prices (</w:t>
            </w:r>
            <w:r>
              <w:rPr>
                <w:bCs/>
                <w:iCs/>
                <w:sz w:val="20"/>
              </w:rPr>
              <w:t>DASPP</w:t>
            </w:r>
            <w:r w:rsidRPr="00AA4725">
              <w:rPr>
                <w:bCs/>
                <w:iCs/>
                <w:sz w:val="20"/>
              </w:rPr>
              <w:t>s</w:t>
            </w:r>
            <w:r w:rsidR="00D24ED8">
              <w:rPr>
                <w:bCs/>
                <w:iCs/>
                <w:sz w:val="20"/>
              </w:rPr>
              <w:t>)</w:t>
            </w:r>
            <w:r w:rsidRPr="00AA4725">
              <w:rPr>
                <w:bCs/>
                <w:iCs/>
                <w:sz w:val="20"/>
              </w:rPr>
              <w:t xml:space="preserve"> are not available for a Settlement Point for one or more Operating Days, ERCOT will designate a proxy Settlement Point for this purpose, and the </w:t>
            </w:r>
            <w:r>
              <w:rPr>
                <w:bCs/>
                <w:iCs/>
                <w:sz w:val="20"/>
              </w:rPr>
              <w:t>DASPP</w:t>
            </w:r>
            <w:r w:rsidRPr="00AA4725">
              <w:rPr>
                <w:bCs/>
                <w:iCs/>
                <w:sz w:val="20"/>
              </w:rPr>
              <w:t>s of the proxy Settlement Point of corresponding Operating Days are used</w:t>
            </w:r>
            <w:r>
              <w:rPr>
                <w:bCs/>
                <w:iCs/>
                <w:sz w:val="20"/>
              </w:rPr>
              <w:t>.</w:t>
            </w:r>
            <w:r>
              <w:rPr>
                <w:sz w:val="20"/>
              </w:rPr>
              <w:t xml:space="preserve"> </w:t>
            </w:r>
            <w:r w:rsidRPr="000433EB">
              <w:rPr>
                <w:sz w:val="20"/>
              </w:rPr>
              <w:t xml:space="preserve"> </w:t>
            </w:r>
          </w:p>
        </w:tc>
      </w:tr>
      <w:tr w:rsidR="00A36A5A" w:rsidRPr="00341696" w14:paraId="3FB83E4E" w14:textId="77777777" w:rsidTr="00E00BA1">
        <w:tblPrEx>
          <w:tblLook w:val="01E0" w:firstRow="1" w:lastRow="1" w:firstColumn="1" w:lastColumn="1" w:noHBand="0" w:noVBand="0"/>
        </w:tblPrEx>
        <w:trPr>
          <w:cantSplit/>
          <w:trHeight w:val="350"/>
        </w:trPr>
        <w:tc>
          <w:tcPr>
            <w:tcW w:w="2069" w:type="dxa"/>
          </w:tcPr>
          <w:p w14:paraId="41880137" w14:textId="77777777" w:rsidR="00A36A5A" w:rsidRPr="00341696" w:rsidRDefault="00A36A5A" w:rsidP="008C0679">
            <w:pPr>
              <w:spacing w:after="60"/>
              <w:rPr>
                <w:iCs/>
                <w:sz w:val="20"/>
              </w:rPr>
            </w:pPr>
            <w:r w:rsidRPr="000433EB">
              <w:rPr>
                <w:sz w:val="20"/>
              </w:rPr>
              <w:t xml:space="preserve">PWACP </w:t>
            </w:r>
            <w:r w:rsidRPr="00D36347">
              <w:rPr>
                <w:i/>
                <w:sz w:val="20"/>
                <w:vertAlign w:val="subscript"/>
              </w:rPr>
              <w:t>m</w:t>
            </w:r>
          </w:p>
        </w:tc>
        <w:tc>
          <w:tcPr>
            <w:tcW w:w="739" w:type="dxa"/>
          </w:tcPr>
          <w:p w14:paraId="19A37473" w14:textId="77777777" w:rsidR="00A36A5A" w:rsidRPr="00341696" w:rsidRDefault="00A36A5A" w:rsidP="00077067">
            <w:pPr>
              <w:spacing w:after="60"/>
              <w:rPr>
                <w:iCs/>
                <w:sz w:val="20"/>
              </w:rPr>
            </w:pPr>
            <w:r w:rsidRPr="000433EB">
              <w:rPr>
                <w:sz w:val="20"/>
              </w:rPr>
              <w:t>$/MW per hour</w:t>
            </w:r>
          </w:p>
        </w:tc>
        <w:tc>
          <w:tcPr>
            <w:tcW w:w="6768" w:type="dxa"/>
          </w:tcPr>
          <w:p w14:paraId="2EB70E9C" w14:textId="77777777" w:rsidR="00A36A5A" w:rsidRPr="00341696" w:rsidRDefault="00A36A5A" w:rsidP="008C0679">
            <w:pPr>
              <w:spacing w:after="60"/>
              <w:rPr>
                <w:iCs/>
                <w:sz w:val="20"/>
              </w:rPr>
            </w:pPr>
            <w:r w:rsidRPr="000433EB">
              <w:rPr>
                <w:i/>
                <w:sz w:val="20"/>
              </w:rPr>
              <w:t>Portfolio Weighted Auction Clearing Price</w:t>
            </w:r>
            <w:r w:rsidRPr="008C1469">
              <w:rPr>
                <w:iCs/>
                <w:sz w:val="20"/>
              </w:rPr>
              <w:sym w:font="Symbol" w:char="F0BE"/>
            </w:r>
            <w:r>
              <w:rPr>
                <w:sz w:val="20"/>
              </w:rPr>
              <w:t xml:space="preserve">The portfolio weighted auction clearing price </w:t>
            </w:r>
            <w:r w:rsidRPr="000433EB">
              <w:rPr>
                <w:sz w:val="20"/>
              </w:rPr>
              <w:t xml:space="preserve">calculated as the volume weighted auction clearing price for </w:t>
            </w:r>
            <w:r w:rsidR="008C0679" w:rsidRPr="00CF238E">
              <w:rPr>
                <w:sz w:val="20"/>
              </w:rPr>
              <w:t>all CRR Account Holders represented by</w:t>
            </w:r>
            <w:r w:rsidR="008C0679">
              <w:rPr>
                <w:sz w:val="20"/>
              </w:rPr>
              <w:t xml:space="preserve"> </w:t>
            </w:r>
            <w:r w:rsidR="008C0679" w:rsidRPr="00545E0B">
              <w:rPr>
                <w:sz w:val="20"/>
              </w:rPr>
              <w:t>the</w:t>
            </w:r>
            <w:r w:rsidRPr="000433EB">
              <w:rPr>
                <w:sz w:val="20"/>
              </w:rPr>
              <w:t xml:space="preserve"> </w:t>
            </w:r>
            <w:r>
              <w:rPr>
                <w:sz w:val="20"/>
              </w:rPr>
              <w:t>Counter-Party as CRR Owner</w:t>
            </w:r>
            <w:r w:rsidRPr="000433EB">
              <w:rPr>
                <w:sz w:val="20"/>
              </w:rPr>
              <w:t xml:space="preserve"> </w:t>
            </w:r>
            <w:r>
              <w:rPr>
                <w:sz w:val="20"/>
              </w:rPr>
              <w:t xml:space="preserve">of record at ERCOT </w:t>
            </w:r>
            <w:r w:rsidRPr="000433EB">
              <w:rPr>
                <w:sz w:val="20"/>
              </w:rPr>
              <w:t xml:space="preserve">based on the most recent </w:t>
            </w:r>
            <w:r>
              <w:rPr>
                <w:sz w:val="20"/>
              </w:rPr>
              <w:t>a</w:t>
            </w:r>
            <w:r w:rsidRPr="000433EB">
              <w:rPr>
                <w:sz w:val="20"/>
              </w:rPr>
              <w:t xml:space="preserve">uction </w:t>
            </w:r>
            <w:r>
              <w:rPr>
                <w:sz w:val="20"/>
              </w:rPr>
              <w:t>c</w:t>
            </w:r>
            <w:r w:rsidRPr="000433EB">
              <w:rPr>
                <w:sz w:val="20"/>
              </w:rPr>
              <w:t>learing price for the month</w:t>
            </w:r>
            <w:r w:rsidRPr="000433EB">
              <w:rPr>
                <w:i/>
                <w:sz w:val="20"/>
              </w:rPr>
              <w:t xml:space="preserve"> m </w:t>
            </w:r>
            <w:r w:rsidRPr="000433EB">
              <w:rPr>
                <w:sz w:val="20"/>
              </w:rPr>
              <w:t>and volumes owned for the month</w:t>
            </w:r>
            <w:r w:rsidRPr="000433EB">
              <w:rPr>
                <w:i/>
                <w:sz w:val="20"/>
              </w:rPr>
              <w:t xml:space="preserve"> m</w:t>
            </w:r>
            <w:r>
              <w:rPr>
                <w:i/>
                <w:sz w:val="20"/>
              </w:rPr>
              <w:t>.</w:t>
            </w:r>
            <w:r w:rsidRPr="000433EB">
              <w:rPr>
                <w:sz w:val="20"/>
              </w:rPr>
              <w:t xml:space="preserve"> </w:t>
            </w:r>
          </w:p>
        </w:tc>
      </w:tr>
      <w:tr w:rsidR="0083787A" w:rsidRPr="00341696" w14:paraId="3F468DAE" w14:textId="77777777" w:rsidTr="00E00BA1">
        <w:tblPrEx>
          <w:tblLook w:val="01E0" w:firstRow="1" w:lastRow="1" w:firstColumn="1" w:lastColumn="1" w:noHBand="0" w:noVBand="0"/>
        </w:tblPrEx>
        <w:trPr>
          <w:cantSplit/>
          <w:trHeight w:val="350"/>
        </w:trPr>
        <w:tc>
          <w:tcPr>
            <w:tcW w:w="2069" w:type="dxa"/>
          </w:tcPr>
          <w:p w14:paraId="1A3B02B1" w14:textId="77777777" w:rsidR="0083787A" w:rsidRPr="00341696" w:rsidRDefault="0083787A" w:rsidP="00077067">
            <w:pPr>
              <w:spacing w:after="60"/>
              <w:rPr>
                <w:iCs/>
                <w:sz w:val="20"/>
              </w:rPr>
            </w:pPr>
            <w:r w:rsidRPr="00920E6B">
              <w:rPr>
                <w:sz w:val="20"/>
              </w:rPr>
              <w:lastRenderedPageBreak/>
              <w:t>EACP</w:t>
            </w:r>
            <w:r w:rsidRPr="00920E6B">
              <w:rPr>
                <w:sz w:val="20"/>
                <w:vertAlign w:val="subscript"/>
              </w:rPr>
              <w:t xml:space="preserve"> </w:t>
            </w:r>
            <w:r w:rsidRPr="00D36347">
              <w:rPr>
                <w:i/>
                <w:sz w:val="20"/>
                <w:vertAlign w:val="subscript"/>
              </w:rPr>
              <w:t>m, h, (j, k)</w:t>
            </w:r>
          </w:p>
        </w:tc>
        <w:tc>
          <w:tcPr>
            <w:tcW w:w="739" w:type="dxa"/>
          </w:tcPr>
          <w:p w14:paraId="64E2F74C" w14:textId="77777777" w:rsidR="0083787A" w:rsidRPr="00341696" w:rsidRDefault="0083787A" w:rsidP="00077067">
            <w:pPr>
              <w:spacing w:after="60"/>
              <w:rPr>
                <w:iCs/>
                <w:sz w:val="20"/>
              </w:rPr>
            </w:pPr>
            <w:r w:rsidRPr="00920E6B">
              <w:rPr>
                <w:sz w:val="20"/>
              </w:rPr>
              <w:t>$/MW per hour</w:t>
            </w:r>
          </w:p>
        </w:tc>
        <w:tc>
          <w:tcPr>
            <w:tcW w:w="6768" w:type="dxa"/>
          </w:tcPr>
          <w:p w14:paraId="723604E2" w14:textId="77777777" w:rsidR="0083787A" w:rsidRPr="00920E6B" w:rsidRDefault="0083787A" w:rsidP="0083787A">
            <w:pPr>
              <w:pStyle w:val="List"/>
              <w:spacing w:after="60"/>
              <w:ind w:left="0" w:firstLine="0"/>
              <w:rPr>
                <w:sz w:val="20"/>
              </w:rPr>
            </w:pPr>
            <w:r w:rsidRPr="00920E6B">
              <w:rPr>
                <w:i/>
                <w:sz w:val="20"/>
              </w:rPr>
              <w:t>Effective Auction Clearing Price</w:t>
            </w:r>
            <w:r w:rsidRPr="00920E6B">
              <w:rPr>
                <w:iCs/>
                <w:sz w:val="20"/>
              </w:rPr>
              <w:t>—</w:t>
            </w:r>
            <w:r>
              <w:rPr>
                <w:iCs/>
                <w:sz w:val="20"/>
              </w:rPr>
              <w:t xml:space="preserve"> </w:t>
            </w:r>
            <w:r w:rsidRPr="00920E6B">
              <w:rPr>
                <w:sz w:val="20"/>
              </w:rPr>
              <w:t xml:space="preserve">The auction clearing price with the source </w:t>
            </w:r>
            <w:r w:rsidRPr="00920E6B">
              <w:rPr>
                <w:i/>
                <w:sz w:val="20"/>
              </w:rPr>
              <w:t>j</w:t>
            </w:r>
            <w:r w:rsidRPr="00920E6B">
              <w:rPr>
                <w:sz w:val="20"/>
              </w:rPr>
              <w:t xml:space="preserve"> and sink </w:t>
            </w:r>
            <w:r w:rsidRPr="00920E6B">
              <w:rPr>
                <w:i/>
                <w:sz w:val="20"/>
              </w:rPr>
              <w:t>k</w:t>
            </w:r>
            <w:r w:rsidRPr="00920E6B">
              <w:rPr>
                <w:sz w:val="20"/>
              </w:rPr>
              <w:t xml:space="preserve"> for the hour</w:t>
            </w:r>
            <w:r w:rsidRPr="00920E6B">
              <w:rPr>
                <w:i/>
                <w:sz w:val="20"/>
              </w:rPr>
              <w:t xml:space="preserve"> h, </w:t>
            </w:r>
            <w:r w:rsidRPr="00920E6B">
              <w:rPr>
                <w:sz w:val="20"/>
              </w:rPr>
              <w:t>and month</w:t>
            </w:r>
            <w:r w:rsidRPr="00920E6B">
              <w:rPr>
                <w:i/>
                <w:sz w:val="20"/>
              </w:rPr>
              <w:t xml:space="preserve"> m</w:t>
            </w:r>
            <w:r w:rsidRPr="00920E6B">
              <w:rPr>
                <w:sz w:val="20"/>
              </w:rPr>
              <w:t xml:space="preserve">. </w:t>
            </w:r>
          </w:p>
          <w:p w14:paraId="1D664FFC" w14:textId="77777777" w:rsidR="0083787A" w:rsidRPr="00920E6B" w:rsidRDefault="0083787A" w:rsidP="0083787A">
            <w:pPr>
              <w:pStyle w:val="List"/>
              <w:spacing w:after="60"/>
              <w:ind w:left="0" w:firstLine="0"/>
              <w:rPr>
                <w:sz w:val="20"/>
              </w:rPr>
            </w:pPr>
            <w:r w:rsidRPr="00920E6B">
              <w:rPr>
                <w:sz w:val="20"/>
              </w:rPr>
              <w:t xml:space="preserve">For each CRR PTP Obligation, this value is equal to the </w:t>
            </w:r>
            <w:r w:rsidR="008779D4">
              <w:rPr>
                <w:sz w:val="20"/>
              </w:rPr>
              <w:t>a</w:t>
            </w:r>
            <w:r w:rsidRPr="00920E6B">
              <w:rPr>
                <w:sz w:val="20"/>
              </w:rPr>
              <w:t xml:space="preserve">uction </w:t>
            </w:r>
            <w:r w:rsidR="008779D4">
              <w:rPr>
                <w:sz w:val="20"/>
              </w:rPr>
              <w:t>c</w:t>
            </w:r>
            <w:r w:rsidRPr="00920E6B">
              <w:rPr>
                <w:sz w:val="20"/>
              </w:rPr>
              <w:t xml:space="preserve">learing </w:t>
            </w:r>
            <w:r w:rsidR="008779D4">
              <w:rPr>
                <w:sz w:val="20"/>
              </w:rPr>
              <w:t>p</w:t>
            </w:r>
            <w:r w:rsidRPr="00920E6B">
              <w:rPr>
                <w:sz w:val="20"/>
              </w:rPr>
              <w:t xml:space="preserve">rice of an awarded CRR selected as follows: </w:t>
            </w:r>
          </w:p>
          <w:p w14:paraId="79173004" w14:textId="77777777" w:rsidR="0083787A" w:rsidRPr="0083787A" w:rsidRDefault="0083787A" w:rsidP="0083787A">
            <w:pPr>
              <w:spacing w:after="60"/>
              <w:ind w:left="792" w:hanging="360"/>
              <w:rPr>
                <w:sz w:val="20"/>
              </w:rPr>
            </w:pPr>
            <w:r w:rsidRPr="0083787A">
              <w:rPr>
                <w:sz w:val="20"/>
              </w:rPr>
              <w:t>(a)</w:t>
            </w:r>
            <w:r w:rsidRPr="0083787A">
              <w:rPr>
                <w:sz w:val="20"/>
              </w:rPr>
              <w:tab/>
              <w:t xml:space="preserve">Awarded CRRs with the source </w:t>
            </w:r>
            <w:r w:rsidRPr="0083787A">
              <w:rPr>
                <w:i/>
                <w:sz w:val="20"/>
              </w:rPr>
              <w:t>j</w:t>
            </w:r>
            <w:r w:rsidRPr="0083787A">
              <w:rPr>
                <w:sz w:val="20"/>
              </w:rPr>
              <w:t xml:space="preserve"> and sink </w:t>
            </w:r>
            <w:r w:rsidRPr="0083787A">
              <w:rPr>
                <w:i/>
                <w:sz w:val="20"/>
              </w:rPr>
              <w:t>k</w:t>
            </w:r>
            <w:r w:rsidRPr="0083787A">
              <w:rPr>
                <w:sz w:val="20"/>
              </w:rPr>
              <w:t xml:space="preserve"> containing hour </w:t>
            </w:r>
            <w:r w:rsidRPr="0083787A">
              <w:rPr>
                <w:i/>
                <w:sz w:val="20"/>
              </w:rPr>
              <w:t>h</w:t>
            </w:r>
            <w:r w:rsidRPr="0083787A">
              <w:rPr>
                <w:sz w:val="20"/>
              </w:rPr>
              <w:t xml:space="preserve"> and operating month </w:t>
            </w:r>
            <w:r w:rsidRPr="0083787A">
              <w:rPr>
                <w:i/>
                <w:sz w:val="20"/>
              </w:rPr>
              <w:t xml:space="preserve">m </w:t>
            </w:r>
            <w:r w:rsidRPr="0083787A">
              <w:rPr>
                <w:sz w:val="20"/>
              </w:rPr>
              <w:t>are selected from the set of unexpired awarded PTP Obligations.  If no awarded CRRs are found the EACP value is zero.</w:t>
            </w:r>
          </w:p>
          <w:p w14:paraId="0999EF82" w14:textId="77777777" w:rsidR="0083787A" w:rsidRPr="0083787A" w:rsidRDefault="0083787A" w:rsidP="0083787A">
            <w:pPr>
              <w:spacing w:after="60"/>
              <w:ind w:left="792" w:hanging="360"/>
              <w:rPr>
                <w:sz w:val="20"/>
              </w:rPr>
            </w:pPr>
            <w:r w:rsidRPr="0083787A">
              <w:rPr>
                <w:sz w:val="20"/>
              </w:rPr>
              <w:t>(b)</w:t>
            </w:r>
            <w:r w:rsidRPr="0083787A">
              <w:rPr>
                <w:sz w:val="20"/>
              </w:rPr>
              <w:tab/>
              <w:t>If (a) results in more than one awarded CRR, awarded CRRs with the most recent award date are selected.</w:t>
            </w:r>
          </w:p>
          <w:p w14:paraId="718610FC" w14:textId="77777777" w:rsidR="0083787A" w:rsidRPr="00341696" w:rsidRDefault="0083787A" w:rsidP="008779D4">
            <w:pPr>
              <w:spacing w:after="60"/>
              <w:ind w:left="792" w:hanging="360"/>
              <w:rPr>
                <w:iCs/>
                <w:sz w:val="20"/>
              </w:rPr>
            </w:pPr>
            <w:r w:rsidRPr="0083787A">
              <w:rPr>
                <w:sz w:val="20"/>
              </w:rPr>
              <w:t>(c)</w:t>
            </w:r>
            <w:r w:rsidRPr="0083787A">
              <w:rPr>
                <w:sz w:val="20"/>
              </w:rPr>
              <w:tab/>
              <w:t xml:space="preserve">If (b) results in more than one awarded CRR, then the awarded CRR with the lowest </w:t>
            </w:r>
            <w:r w:rsidR="008779D4">
              <w:rPr>
                <w:sz w:val="20"/>
              </w:rPr>
              <w:t>a</w:t>
            </w:r>
            <w:r w:rsidRPr="0083787A">
              <w:rPr>
                <w:sz w:val="20"/>
              </w:rPr>
              <w:t xml:space="preserve">uction </w:t>
            </w:r>
            <w:r w:rsidR="008779D4">
              <w:rPr>
                <w:sz w:val="20"/>
              </w:rPr>
              <w:t>c</w:t>
            </w:r>
            <w:r w:rsidRPr="0083787A">
              <w:rPr>
                <w:sz w:val="20"/>
              </w:rPr>
              <w:t xml:space="preserve">learing </w:t>
            </w:r>
            <w:r w:rsidR="008779D4">
              <w:rPr>
                <w:sz w:val="20"/>
              </w:rPr>
              <w:t>p</w:t>
            </w:r>
            <w:r w:rsidRPr="0083787A">
              <w:rPr>
                <w:sz w:val="20"/>
              </w:rPr>
              <w:t>rice</w:t>
            </w:r>
            <w:r w:rsidRPr="007A2782">
              <w:rPr>
                <w:sz w:val="20"/>
              </w:rPr>
              <w:t xml:space="preserve"> </w:t>
            </w:r>
            <w:r w:rsidRPr="008E3E19">
              <w:rPr>
                <w:sz w:val="20"/>
              </w:rPr>
              <w:t>is selected.</w:t>
            </w:r>
          </w:p>
        </w:tc>
      </w:tr>
      <w:tr w:rsidR="00A36A5A" w:rsidRPr="00341696" w14:paraId="7419A9F6" w14:textId="77777777" w:rsidTr="00E00BA1">
        <w:tblPrEx>
          <w:tblLook w:val="01E0" w:firstRow="1" w:lastRow="1" w:firstColumn="1" w:lastColumn="1" w:noHBand="0" w:noVBand="0"/>
        </w:tblPrEx>
        <w:trPr>
          <w:cantSplit/>
          <w:trHeight w:val="350"/>
        </w:trPr>
        <w:tc>
          <w:tcPr>
            <w:tcW w:w="2069" w:type="dxa"/>
          </w:tcPr>
          <w:p w14:paraId="10B6290D" w14:textId="77777777" w:rsidR="00A36A5A" w:rsidRPr="00D36347" w:rsidRDefault="00A36A5A" w:rsidP="00077067">
            <w:pPr>
              <w:spacing w:after="60"/>
              <w:rPr>
                <w:i/>
                <w:iCs/>
                <w:sz w:val="20"/>
              </w:rPr>
            </w:pPr>
            <w:r w:rsidRPr="00D36347">
              <w:rPr>
                <w:i/>
                <w:iCs/>
                <w:sz w:val="20"/>
              </w:rPr>
              <w:t>j</w:t>
            </w:r>
          </w:p>
        </w:tc>
        <w:tc>
          <w:tcPr>
            <w:tcW w:w="739" w:type="dxa"/>
          </w:tcPr>
          <w:p w14:paraId="37518D39" w14:textId="77777777" w:rsidR="00A36A5A" w:rsidRPr="00341696" w:rsidRDefault="00A36A5A" w:rsidP="00077067">
            <w:pPr>
              <w:spacing w:after="60"/>
              <w:rPr>
                <w:iCs/>
                <w:sz w:val="20"/>
              </w:rPr>
            </w:pPr>
            <w:r w:rsidRPr="00341696">
              <w:rPr>
                <w:iCs/>
                <w:sz w:val="20"/>
              </w:rPr>
              <w:t>none</w:t>
            </w:r>
          </w:p>
        </w:tc>
        <w:tc>
          <w:tcPr>
            <w:tcW w:w="6768" w:type="dxa"/>
          </w:tcPr>
          <w:p w14:paraId="4EA391B5" w14:textId="77777777" w:rsidR="00A36A5A" w:rsidRPr="00341696" w:rsidRDefault="00A36A5A" w:rsidP="00077067">
            <w:pPr>
              <w:spacing w:after="60"/>
              <w:rPr>
                <w:iCs/>
                <w:sz w:val="20"/>
              </w:rPr>
            </w:pPr>
            <w:r w:rsidRPr="00341696">
              <w:rPr>
                <w:iCs/>
                <w:sz w:val="20"/>
              </w:rPr>
              <w:t>A source Settlement Point</w:t>
            </w:r>
            <w:r>
              <w:rPr>
                <w:iCs/>
                <w:sz w:val="20"/>
              </w:rPr>
              <w:t>.</w:t>
            </w:r>
          </w:p>
        </w:tc>
      </w:tr>
      <w:tr w:rsidR="00A36A5A" w:rsidRPr="00341696" w14:paraId="32D8BE4A" w14:textId="77777777" w:rsidTr="00E00BA1">
        <w:tblPrEx>
          <w:tblLook w:val="01E0" w:firstRow="1" w:lastRow="1" w:firstColumn="1" w:lastColumn="1" w:noHBand="0" w:noVBand="0"/>
        </w:tblPrEx>
        <w:trPr>
          <w:cantSplit/>
          <w:trHeight w:val="350"/>
        </w:trPr>
        <w:tc>
          <w:tcPr>
            <w:tcW w:w="2069" w:type="dxa"/>
          </w:tcPr>
          <w:p w14:paraId="179A4113" w14:textId="77777777" w:rsidR="00A36A5A" w:rsidRPr="00D36347" w:rsidRDefault="00A36A5A" w:rsidP="00077067">
            <w:pPr>
              <w:spacing w:after="60"/>
              <w:rPr>
                <w:i/>
                <w:iCs/>
                <w:sz w:val="20"/>
              </w:rPr>
            </w:pPr>
            <w:r w:rsidRPr="00D36347">
              <w:rPr>
                <w:i/>
                <w:iCs/>
                <w:sz w:val="20"/>
              </w:rPr>
              <w:t>k</w:t>
            </w:r>
          </w:p>
        </w:tc>
        <w:tc>
          <w:tcPr>
            <w:tcW w:w="739" w:type="dxa"/>
          </w:tcPr>
          <w:p w14:paraId="13BF2F60" w14:textId="77777777" w:rsidR="00A36A5A" w:rsidRPr="00341696" w:rsidRDefault="00A36A5A" w:rsidP="00077067">
            <w:pPr>
              <w:spacing w:after="60"/>
              <w:rPr>
                <w:iCs/>
                <w:sz w:val="20"/>
              </w:rPr>
            </w:pPr>
            <w:r w:rsidRPr="00341696">
              <w:rPr>
                <w:iCs/>
                <w:sz w:val="20"/>
              </w:rPr>
              <w:t>none</w:t>
            </w:r>
          </w:p>
        </w:tc>
        <w:tc>
          <w:tcPr>
            <w:tcW w:w="6768" w:type="dxa"/>
          </w:tcPr>
          <w:p w14:paraId="28893591" w14:textId="77777777" w:rsidR="00A36A5A" w:rsidRPr="00341696" w:rsidRDefault="00A36A5A" w:rsidP="00077067">
            <w:pPr>
              <w:spacing w:after="60"/>
              <w:rPr>
                <w:iCs/>
                <w:sz w:val="20"/>
              </w:rPr>
            </w:pPr>
            <w:r w:rsidRPr="00341696">
              <w:rPr>
                <w:iCs/>
                <w:sz w:val="20"/>
              </w:rPr>
              <w:t>A sink Settlement Point</w:t>
            </w:r>
            <w:r>
              <w:rPr>
                <w:iCs/>
                <w:sz w:val="20"/>
              </w:rPr>
              <w:t>.</w:t>
            </w:r>
          </w:p>
        </w:tc>
      </w:tr>
      <w:tr w:rsidR="00A36A5A" w:rsidRPr="00341696" w14:paraId="2CFDEF14" w14:textId="77777777" w:rsidTr="00E00BA1">
        <w:tblPrEx>
          <w:tblLook w:val="01E0" w:firstRow="1" w:lastRow="1" w:firstColumn="1" w:lastColumn="1" w:noHBand="0" w:noVBand="0"/>
        </w:tblPrEx>
        <w:trPr>
          <w:cantSplit/>
          <w:trHeight w:val="350"/>
        </w:trPr>
        <w:tc>
          <w:tcPr>
            <w:tcW w:w="2069" w:type="dxa"/>
          </w:tcPr>
          <w:p w14:paraId="4008E2B7" w14:textId="77777777" w:rsidR="00A36A5A" w:rsidRPr="00D36347" w:rsidRDefault="00A36A5A" w:rsidP="00077067">
            <w:pPr>
              <w:spacing w:after="60"/>
              <w:rPr>
                <w:i/>
                <w:iCs/>
                <w:sz w:val="20"/>
              </w:rPr>
            </w:pPr>
            <w:r w:rsidRPr="00D36347">
              <w:rPr>
                <w:i/>
                <w:iCs/>
                <w:sz w:val="20"/>
              </w:rPr>
              <w:t>m</w:t>
            </w:r>
          </w:p>
        </w:tc>
        <w:tc>
          <w:tcPr>
            <w:tcW w:w="739" w:type="dxa"/>
          </w:tcPr>
          <w:p w14:paraId="2FEE6B69" w14:textId="77777777" w:rsidR="00A36A5A" w:rsidRPr="00341696" w:rsidRDefault="00A36A5A" w:rsidP="00077067">
            <w:pPr>
              <w:spacing w:after="60"/>
              <w:rPr>
                <w:iCs/>
                <w:sz w:val="20"/>
              </w:rPr>
            </w:pPr>
            <w:r>
              <w:rPr>
                <w:iCs/>
                <w:sz w:val="20"/>
              </w:rPr>
              <w:t>none</w:t>
            </w:r>
          </w:p>
        </w:tc>
        <w:tc>
          <w:tcPr>
            <w:tcW w:w="6768" w:type="dxa"/>
          </w:tcPr>
          <w:p w14:paraId="689B6852" w14:textId="77777777" w:rsidR="00A36A5A" w:rsidRPr="00341696" w:rsidRDefault="00A36A5A" w:rsidP="00077067">
            <w:pPr>
              <w:spacing w:after="60"/>
              <w:rPr>
                <w:iCs/>
                <w:sz w:val="20"/>
              </w:rPr>
            </w:pPr>
            <w:r>
              <w:rPr>
                <w:iCs/>
                <w:sz w:val="20"/>
              </w:rPr>
              <w:t>An operating month.</w:t>
            </w:r>
          </w:p>
        </w:tc>
      </w:tr>
      <w:tr w:rsidR="00A36A5A" w:rsidRPr="00341696" w14:paraId="12F6271E" w14:textId="77777777" w:rsidTr="00E00BA1">
        <w:tblPrEx>
          <w:tblLook w:val="01E0" w:firstRow="1" w:lastRow="1" w:firstColumn="1" w:lastColumn="1" w:noHBand="0" w:noVBand="0"/>
        </w:tblPrEx>
        <w:trPr>
          <w:cantSplit/>
          <w:trHeight w:val="350"/>
        </w:trPr>
        <w:tc>
          <w:tcPr>
            <w:tcW w:w="2069" w:type="dxa"/>
          </w:tcPr>
          <w:p w14:paraId="24C98B37" w14:textId="77777777" w:rsidR="00A36A5A" w:rsidRPr="00D36347" w:rsidRDefault="00A36A5A" w:rsidP="00077067">
            <w:pPr>
              <w:spacing w:after="60"/>
              <w:rPr>
                <w:i/>
                <w:iCs/>
                <w:sz w:val="20"/>
              </w:rPr>
            </w:pPr>
            <w:r w:rsidRPr="00D36347">
              <w:rPr>
                <w:i/>
                <w:iCs/>
                <w:sz w:val="20"/>
              </w:rPr>
              <w:t>h</w:t>
            </w:r>
          </w:p>
        </w:tc>
        <w:tc>
          <w:tcPr>
            <w:tcW w:w="739" w:type="dxa"/>
          </w:tcPr>
          <w:p w14:paraId="62EE7241" w14:textId="77777777" w:rsidR="00A36A5A" w:rsidRPr="00341696" w:rsidRDefault="00A36A5A" w:rsidP="00077067">
            <w:pPr>
              <w:spacing w:after="60"/>
              <w:rPr>
                <w:iCs/>
                <w:sz w:val="20"/>
              </w:rPr>
            </w:pPr>
            <w:r w:rsidRPr="00341696">
              <w:rPr>
                <w:iCs/>
                <w:sz w:val="20"/>
              </w:rPr>
              <w:t>none</w:t>
            </w:r>
          </w:p>
        </w:tc>
        <w:tc>
          <w:tcPr>
            <w:tcW w:w="6768" w:type="dxa"/>
          </w:tcPr>
          <w:p w14:paraId="70A20712" w14:textId="77777777" w:rsidR="00A36A5A" w:rsidRPr="00341696" w:rsidRDefault="00A36A5A" w:rsidP="008C0679">
            <w:pPr>
              <w:spacing w:after="60"/>
              <w:rPr>
                <w:iCs/>
                <w:sz w:val="20"/>
              </w:rPr>
            </w:pPr>
            <w:r w:rsidRPr="00341696">
              <w:rPr>
                <w:iCs/>
                <w:sz w:val="20"/>
              </w:rPr>
              <w:t>An Operating Hour</w:t>
            </w:r>
            <w:r>
              <w:rPr>
                <w:iCs/>
                <w:sz w:val="20"/>
              </w:rPr>
              <w:t>.</w:t>
            </w:r>
          </w:p>
        </w:tc>
      </w:tr>
      <w:tr w:rsidR="00A36A5A" w:rsidRPr="00341696" w14:paraId="46826795" w14:textId="77777777" w:rsidTr="00E00BA1">
        <w:tblPrEx>
          <w:tblLook w:val="01E0" w:firstRow="1" w:lastRow="1" w:firstColumn="1" w:lastColumn="1" w:noHBand="0" w:noVBand="0"/>
        </w:tblPrEx>
        <w:trPr>
          <w:cantSplit/>
          <w:trHeight w:val="350"/>
        </w:trPr>
        <w:tc>
          <w:tcPr>
            <w:tcW w:w="2069" w:type="dxa"/>
          </w:tcPr>
          <w:p w14:paraId="08475AD5" w14:textId="77777777" w:rsidR="00A36A5A" w:rsidRPr="00D36347" w:rsidRDefault="008C0679" w:rsidP="00077067">
            <w:pPr>
              <w:spacing w:after="60"/>
              <w:rPr>
                <w:i/>
                <w:iCs/>
                <w:sz w:val="20"/>
              </w:rPr>
            </w:pPr>
            <w:r>
              <w:rPr>
                <w:i/>
                <w:iCs/>
                <w:sz w:val="20"/>
              </w:rPr>
              <w:t>a</w:t>
            </w:r>
          </w:p>
        </w:tc>
        <w:tc>
          <w:tcPr>
            <w:tcW w:w="739" w:type="dxa"/>
          </w:tcPr>
          <w:p w14:paraId="347441F2" w14:textId="77777777" w:rsidR="00A36A5A" w:rsidRPr="00341696" w:rsidRDefault="00A36A5A" w:rsidP="00077067">
            <w:pPr>
              <w:spacing w:after="60"/>
              <w:rPr>
                <w:iCs/>
                <w:sz w:val="20"/>
              </w:rPr>
            </w:pPr>
            <w:r w:rsidRPr="00341696">
              <w:rPr>
                <w:iCs/>
                <w:sz w:val="20"/>
              </w:rPr>
              <w:t>none</w:t>
            </w:r>
          </w:p>
        </w:tc>
        <w:tc>
          <w:tcPr>
            <w:tcW w:w="6768" w:type="dxa"/>
          </w:tcPr>
          <w:p w14:paraId="6B12ACF7" w14:textId="77777777" w:rsidR="00A36A5A" w:rsidRPr="00341696" w:rsidRDefault="00A36A5A" w:rsidP="008C0679">
            <w:pPr>
              <w:spacing w:after="60"/>
              <w:rPr>
                <w:iCs/>
                <w:sz w:val="20"/>
              </w:rPr>
            </w:pPr>
            <w:r w:rsidRPr="00341696">
              <w:rPr>
                <w:iCs/>
                <w:sz w:val="20"/>
              </w:rPr>
              <w:t>A</w:t>
            </w:r>
            <w:r w:rsidR="008C0679">
              <w:rPr>
                <w:iCs/>
                <w:sz w:val="20"/>
              </w:rPr>
              <w:t>ll</w:t>
            </w:r>
            <w:r w:rsidRPr="00341696">
              <w:rPr>
                <w:iCs/>
                <w:sz w:val="20"/>
              </w:rPr>
              <w:t xml:space="preserve"> </w:t>
            </w:r>
            <w:r>
              <w:rPr>
                <w:iCs/>
                <w:sz w:val="20"/>
              </w:rPr>
              <w:t xml:space="preserve">CRR </w:t>
            </w:r>
            <w:r w:rsidR="008C0679">
              <w:rPr>
                <w:iCs/>
                <w:sz w:val="20"/>
              </w:rPr>
              <w:t>Account Holders represented by the Counter-Party</w:t>
            </w:r>
            <w:r>
              <w:rPr>
                <w:iCs/>
                <w:sz w:val="20"/>
              </w:rPr>
              <w:t>.</w:t>
            </w:r>
          </w:p>
        </w:tc>
      </w:tr>
      <w:tr w:rsidR="00A36A5A" w:rsidRPr="00341696" w14:paraId="2C1F1F4D" w14:textId="77777777" w:rsidTr="00E00BA1">
        <w:tblPrEx>
          <w:tblLook w:val="01E0" w:firstRow="1" w:lastRow="1" w:firstColumn="1" w:lastColumn="1" w:noHBand="0" w:noVBand="0"/>
        </w:tblPrEx>
        <w:trPr>
          <w:cantSplit/>
          <w:trHeight w:val="350"/>
        </w:trPr>
        <w:tc>
          <w:tcPr>
            <w:tcW w:w="2069" w:type="dxa"/>
          </w:tcPr>
          <w:p w14:paraId="13CC8FAE" w14:textId="77777777" w:rsidR="00A36A5A" w:rsidRPr="00D36347" w:rsidRDefault="00A36A5A" w:rsidP="00077067">
            <w:pPr>
              <w:spacing w:after="60"/>
              <w:rPr>
                <w:i/>
                <w:iCs/>
                <w:sz w:val="20"/>
              </w:rPr>
            </w:pPr>
            <w:r w:rsidRPr="00D36347">
              <w:rPr>
                <w:i/>
                <w:iCs/>
                <w:sz w:val="20"/>
              </w:rPr>
              <w:t>ci100</w:t>
            </w:r>
          </w:p>
        </w:tc>
        <w:tc>
          <w:tcPr>
            <w:tcW w:w="739" w:type="dxa"/>
          </w:tcPr>
          <w:p w14:paraId="29B0C3CE" w14:textId="77777777" w:rsidR="00A36A5A" w:rsidRPr="00341696" w:rsidRDefault="00A36A5A" w:rsidP="00077067">
            <w:pPr>
              <w:spacing w:after="60"/>
              <w:rPr>
                <w:iCs/>
                <w:sz w:val="20"/>
              </w:rPr>
            </w:pPr>
            <w:r>
              <w:rPr>
                <w:iCs/>
                <w:sz w:val="20"/>
              </w:rPr>
              <w:t>none</w:t>
            </w:r>
          </w:p>
        </w:tc>
        <w:tc>
          <w:tcPr>
            <w:tcW w:w="6768" w:type="dxa"/>
          </w:tcPr>
          <w:p w14:paraId="7D547526" w14:textId="77777777" w:rsidR="00A36A5A" w:rsidRPr="00341696" w:rsidRDefault="00A36A5A" w:rsidP="00077067">
            <w:pPr>
              <w:spacing w:after="60"/>
              <w:rPr>
                <w:iCs/>
                <w:sz w:val="20"/>
              </w:rPr>
            </w:pPr>
            <w:r>
              <w:rPr>
                <w:iCs/>
                <w:sz w:val="20"/>
              </w:rPr>
              <w:t>100</w:t>
            </w:r>
            <w:r w:rsidRPr="00E85945">
              <w:rPr>
                <w:iCs/>
                <w:sz w:val="20"/>
                <w:vertAlign w:val="superscript"/>
              </w:rPr>
              <w:t>th</w:t>
            </w:r>
            <w:r>
              <w:rPr>
                <w:iCs/>
                <w:sz w:val="20"/>
              </w:rPr>
              <w:t xml:space="preserve"> percentile confidence interval.</w:t>
            </w:r>
          </w:p>
        </w:tc>
      </w:tr>
    </w:tbl>
    <w:p w14:paraId="4100A769" w14:textId="77777777" w:rsidR="00A36A5A" w:rsidRPr="00341696" w:rsidRDefault="00A36A5A" w:rsidP="00A36A5A">
      <w:pPr>
        <w:spacing w:before="240" w:after="240"/>
        <w:ind w:left="720" w:hanging="720"/>
        <w:rPr>
          <w:iCs/>
        </w:rPr>
      </w:pPr>
      <w:r w:rsidRPr="00341696">
        <w:rPr>
          <w:iCs/>
        </w:rPr>
        <w:t>(3)</w:t>
      </w:r>
      <w:r w:rsidRPr="00341696">
        <w:rPr>
          <w:iCs/>
        </w:rPr>
        <w:tab/>
        <w:t xml:space="preserve">The FCE for PTP Options (FCEOPT) held by </w:t>
      </w:r>
      <w:r w:rsidR="008C0679" w:rsidRPr="00545E0B">
        <w:rPr>
          <w:szCs w:val="24"/>
        </w:rPr>
        <w:t>all the CRR Account Holders represented by</w:t>
      </w:r>
      <w:r w:rsidR="008C0679">
        <w:t xml:space="preserve"> </w:t>
      </w:r>
      <w:r w:rsidRPr="00341696">
        <w:rPr>
          <w:iCs/>
        </w:rPr>
        <w:t xml:space="preserve">the Counter-Party as </w:t>
      </w:r>
      <w:r>
        <w:rPr>
          <w:iCs/>
        </w:rPr>
        <w:t>CRR O</w:t>
      </w:r>
      <w:r w:rsidRPr="00341696">
        <w:rPr>
          <w:iCs/>
        </w:rPr>
        <w:t xml:space="preserve">wner of record at </w:t>
      </w:r>
      <w:r>
        <w:rPr>
          <w:iCs/>
        </w:rPr>
        <w:t xml:space="preserve">ERCOT are </w:t>
      </w:r>
      <w:r w:rsidRPr="00341696">
        <w:rPr>
          <w:iCs/>
        </w:rPr>
        <w:t>calculated as follows</w:t>
      </w:r>
      <w:r>
        <w:rPr>
          <w:iCs/>
        </w:rPr>
        <w:t>:</w:t>
      </w:r>
    </w:p>
    <w:p w14:paraId="51234A33" w14:textId="77777777" w:rsidR="00A36A5A" w:rsidRDefault="00A36A5A" w:rsidP="00A36A5A">
      <w:pPr>
        <w:pStyle w:val="Instructions"/>
        <w:spacing w:after="0"/>
        <w:ind w:left="720"/>
        <w:rPr>
          <w:i w:val="0"/>
        </w:rPr>
      </w:pPr>
      <w:r w:rsidRPr="002475CE">
        <w:rPr>
          <w:i w:val="0"/>
          <w:iCs/>
        </w:rPr>
        <w:t>FCEOPT</w:t>
      </w:r>
      <w:r w:rsidRPr="005B6D42">
        <w:rPr>
          <w:iCs/>
        </w:rPr>
        <w:t xml:space="preserve"> </w:t>
      </w:r>
      <w:r w:rsidR="008C0679">
        <w:rPr>
          <w:rFonts w:ascii="Times New Roman Bold" w:hAnsi="Times New Roman Bold"/>
          <w:iCs/>
          <w:vertAlign w:val="subscript"/>
        </w:rPr>
        <w:t>a</w:t>
      </w:r>
      <w:r w:rsidRPr="002475CE">
        <w:rPr>
          <w:i w:val="0"/>
          <w:iCs/>
        </w:rPr>
        <w:t xml:space="preserve"> </w:t>
      </w:r>
      <w:r w:rsidRPr="002475CE">
        <w:rPr>
          <w:i w:val="0"/>
          <w:iCs/>
        </w:rPr>
        <w:tab/>
        <w:t>=</w:t>
      </w:r>
      <w:r w:rsidRPr="002475CE">
        <w:rPr>
          <w:i w:val="0"/>
          <w:iCs/>
        </w:rPr>
        <w:tab/>
      </w:r>
      <w:r>
        <w:rPr>
          <w:i w:val="0"/>
          <w:iCs/>
        </w:rPr>
        <w:t xml:space="preserve">- </w:t>
      </w:r>
      <w:r w:rsidRPr="000054E6">
        <w:rPr>
          <w:i w:val="0"/>
        </w:rPr>
        <w:t>∑</w:t>
      </w:r>
      <w:r w:rsidRPr="005B6D42">
        <w:rPr>
          <w:vertAlign w:val="subscript"/>
        </w:rPr>
        <w:t>m</w:t>
      </w:r>
      <w:r w:rsidRPr="000054E6">
        <w:rPr>
          <w:i w:val="0"/>
        </w:rPr>
        <w:t xml:space="preserve"> </w:t>
      </w:r>
      <w:r w:rsidRPr="00DC2980">
        <w:rPr>
          <w:i w:val="0"/>
        </w:rPr>
        <w:t>∑</w:t>
      </w:r>
      <w:r w:rsidRPr="005B6D42">
        <w:rPr>
          <w:vertAlign w:val="subscript"/>
        </w:rPr>
        <w:t>h</w:t>
      </w:r>
      <w:r w:rsidRPr="00DC2980">
        <w:rPr>
          <w:i w:val="0"/>
          <w:vertAlign w:val="subscript"/>
        </w:rPr>
        <w:t xml:space="preserve"> </w:t>
      </w:r>
      <w:r w:rsidRPr="00DC2980">
        <w:rPr>
          <w:i w:val="0"/>
        </w:rPr>
        <w:t>∑</w:t>
      </w:r>
      <w:r w:rsidRPr="005B6D42">
        <w:rPr>
          <w:vertAlign w:val="subscript"/>
        </w:rPr>
        <w:t>j, k</w:t>
      </w:r>
      <w:r w:rsidRPr="00DC2980">
        <w:rPr>
          <w:i w:val="0"/>
          <w:vertAlign w:val="subscript"/>
        </w:rPr>
        <w:t xml:space="preserve"> </w:t>
      </w:r>
      <w:r w:rsidRPr="00DC2980">
        <w:rPr>
          <w:i w:val="0"/>
        </w:rPr>
        <w:t>[(</w:t>
      </w:r>
      <w:r w:rsidRPr="000054E6">
        <w:rPr>
          <w:i w:val="0"/>
        </w:rPr>
        <w:t>NA</w:t>
      </w:r>
      <w:r w:rsidRPr="00DC2980">
        <w:rPr>
          <w:i w:val="0"/>
        </w:rPr>
        <w:t>O</w:t>
      </w:r>
      <w:r w:rsidRPr="000054E6">
        <w:rPr>
          <w:i w:val="0"/>
        </w:rPr>
        <w:t>PT</w:t>
      </w:r>
      <w:r w:rsidRPr="00DC2980">
        <w:rPr>
          <w:i w:val="0"/>
        </w:rPr>
        <w:t>MW</w:t>
      </w:r>
      <w:r w:rsidRPr="00DC2980">
        <w:rPr>
          <w:i w:val="0"/>
          <w:vertAlign w:val="subscript"/>
        </w:rPr>
        <w:t xml:space="preserve"> </w:t>
      </w:r>
      <w:r w:rsidRPr="005B6D42">
        <w:rPr>
          <w:vertAlign w:val="subscript"/>
        </w:rPr>
        <w:t>m, h, (j, k)</w:t>
      </w:r>
      <w:r w:rsidRPr="00DC2980">
        <w:rPr>
          <w:i w:val="0"/>
        </w:rPr>
        <w:t>)</w:t>
      </w:r>
      <w:r w:rsidRPr="000054E6">
        <w:rPr>
          <w:i w:val="0"/>
        </w:rPr>
        <w:t xml:space="preserve"> * Max(0,</w:t>
      </w:r>
      <w:r w:rsidR="005220DB">
        <w:rPr>
          <w:i w:val="0"/>
        </w:rPr>
        <w:t xml:space="preserve"> </w:t>
      </w:r>
      <w:r w:rsidRPr="000054E6">
        <w:rPr>
          <w:i w:val="0"/>
        </w:rPr>
        <w:t xml:space="preserve">A </w:t>
      </w:r>
      <w:r w:rsidRPr="005B6D42">
        <w:rPr>
          <w:vertAlign w:val="subscript"/>
        </w:rPr>
        <w:t>ci99, ctou, (j, k)</w:t>
      </w:r>
      <w:r w:rsidRPr="000054E6">
        <w:rPr>
          <w:i w:val="0"/>
        </w:rPr>
        <w:t>)]</w:t>
      </w:r>
    </w:p>
    <w:p w14:paraId="51E26550" w14:textId="77777777" w:rsidR="00A36A5A" w:rsidRDefault="00A36A5A" w:rsidP="00A36A5A">
      <w:pPr>
        <w:keepNext/>
        <w:rPr>
          <w:iCs/>
        </w:rPr>
      </w:pPr>
    </w:p>
    <w:p w14:paraId="75557F48" w14:textId="77777777" w:rsidR="00A36A5A" w:rsidRPr="00341696" w:rsidRDefault="00A36A5A" w:rsidP="00DD5BE9">
      <w:pPr>
        <w:keepNext/>
        <w:rPr>
          <w:iCs/>
        </w:rPr>
      </w:pPr>
      <w:r w:rsidRPr="00341696">
        <w:rPr>
          <w:iCs/>
        </w:rPr>
        <w:t>The above variables are defined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739"/>
        <w:gridCol w:w="6595"/>
      </w:tblGrid>
      <w:tr w:rsidR="00A36A5A" w:rsidRPr="00341696" w14:paraId="613EBDB0" w14:textId="77777777" w:rsidTr="00BC3ACE">
        <w:trPr>
          <w:cantSplit/>
          <w:trHeight w:val="351"/>
          <w:tblHeader/>
        </w:trPr>
        <w:tc>
          <w:tcPr>
            <w:tcW w:w="1998" w:type="dxa"/>
          </w:tcPr>
          <w:p w14:paraId="6C00E976" w14:textId="77777777" w:rsidR="00A36A5A" w:rsidRPr="00341696" w:rsidRDefault="00A36A5A" w:rsidP="00077067">
            <w:pPr>
              <w:spacing w:after="120"/>
              <w:rPr>
                <w:b/>
                <w:iCs/>
                <w:sz w:val="20"/>
              </w:rPr>
            </w:pPr>
            <w:r w:rsidRPr="00341696">
              <w:rPr>
                <w:b/>
                <w:iCs/>
                <w:sz w:val="20"/>
              </w:rPr>
              <w:t>Variable</w:t>
            </w:r>
          </w:p>
        </w:tc>
        <w:tc>
          <w:tcPr>
            <w:tcW w:w="739" w:type="dxa"/>
          </w:tcPr>
          <w:p w14:paraId="7A093AE4" w14:textId="77777777" w:rsidR="00A36A5A" w:rsidRPr="00341696" w:rsidRDefault="00A36A5A" w:rsidP="00077067">
            <w:pPr>
              <w:spacing w:after="120"/>
              <w:rPr>
                <w:b/>
                <w:iCs/>
                <w:sz w:val="20"/>
              </w:rPr>
            </w:pPr>
            <w:r w:rsidRPr="00341696">
              <w:rPr>
                <w:b/>
                <w:iCs/>
                <w:sz w:val="20"/>
              </w:rPr>
              <w:t>Unit</w:t>
            </w:r>
          </w:p>
        </w:tc>
        <w:tc>
          <w:tcPr>
            <w:tcW w:w="6595" w:type="dxa"/>
          </w:tcPr>
          <w:p w14:paraId="4F2533BD" w14:textId="77777777" w:rsidR="00A36A5A" w:rsidRPr="00341696" w:rsidRDefault="00A36A5A" w:rsidP="00077067">
            <w:pPr>
              <w:spacing w:after="120"/>
              <w:rPr>
                <w:b/>
                <w:iCs/>
                <w:sz w:val="20"/>
              </w:rPr>
            </w:pPr>
            <w:r w:rsidRPr="00341696">
              <w:rPr>
                <w:b/>
                <w:iCs/>
                <w:sz w:val="20"/>
              </w:rPr>
              <w:t>Description</w:t>
            </w:r>
          </w:p>
        </w:tc>
      </w:tr>
      <w:tr w:rsidR="00A36A5A" w:rsidRPr="00341696" w14:paraId="742FC461" w14:textId="77777777" w:rsidTr="00BC3ACE">
        <w:trPr>
          <w:cantSplit/>
          <w:trHeight w:val="519"/>
          <w:tblHeader/>
        </w:trPr>
        <w:tc>
          <w:tcPr>
            <w:tcW w:w="1998" w:type="dxa"/>
          </w:tcPr>
          <w:p w14:paraId="3EFFF595" w14:textId="77777777" w:rsidR="00A36A5A" w:rsidRPr="00341696" w:rsidRDefault="00A36A5A" w:rsidP="008C0679">
            <w:pPr>
              <w:spacing w:after="60"/>
              <w:rPr>
                <w:iCs/>
                <w:sz w:val="20"/>
              </w:rPr>
            </w:pPr>
            <w:r w:rsidRPr="00341696">
              <w:rPr>
                <w:iCs/>
                <w:sz w:val="20"/>
              </w:rPr>
              <w:t xml:space="preserve">FCEOPT </w:t>
            </w:r>
            <w:r w:rsidR="008C0679">
              <w:rPr>
                <w:i/>
                <w:iCs/>
                <w:sz w:val="20"/>
                <w:vertAlign w:val="subscript"/>
              </w:rPr>
              <w:t>a</w:t>
            </w:r>
          </w:p>
        </w:tc>
        <w:tc>
          <w:tcPr>
            <w:tcW w:w="739" w:type="dxa"/>
          </w:tcPr>
          <w:p w14:paraId="7C7D3D80" w14:textId="77777777" w:rsidR="00A36A5A" w:rsidRPr="00341696" w:rsidRDefault="00A36A5A" w:rsidP="00077067">
            <w:pPr>
              <w:spacing w:after="60"/>
              <w:rPr>
                <w:iCs/>
                <w:sz w:val="20"/>
              </w:rPr>
            </w:pPr>
            <w:r w:rsidRPr="00341696">
              <w:rPr>
                <w:iCs/>
                <w:sz w:val="20"/>
              </w:rPr>
              <w:t>$</w:t>
            </w:r>
          </w:p>
        </w:tc>
        <w:tc>
          <w:tcPr>
            <w:tcW w:w="6595" w:type="dxa"/>
          </w:tcPr>
          <w:p w14:paraId="6BAD58AD" w14:textId="77777777" w:rsidR="00A36A5A" w:rsidRPr="00341696" w:rsidRDefault="00A36A5A" w:rsidP="008C0679">
            <w:pPr>
              <w:spacing w:after="60"/>
              <w:rPr>
                <w:iCs/>
                <w:sz w:val="20"/>
              </w:rPr>
            </w:pPr>
            <w:r w:rsidRPr="00341696">
              <w:rPr>
                <w:i/>
                <w:iCs/>
                <w:sz w:val="20"/>
              </w:rPr>
              <w:t>Future Credit Exposure for PTP Options</w:t>
            </w:r>
            <w:r w:rsidRPr="008C1469">
              <w:rPr>
                <w:iCs/>
                <w:sz w:val="20"/>
              </w:rPr>
              <w:sym w:font="Symbol" w:char="F0BE"/>
            </w:r>
            <w:r w:rsidRPr="00341696">
              <w:rPr>
                <w:iCs/>
                <w:sz w:val="20"/>
              </w:rPr>
              <w:t xml:space="preserve">FCE for all PTP Options held by </w:t>
            </w:r>
            <w:r w:rsidR="008C0679" w:rsidRPr="00CF238E">
              <w:rPr>
                <w:sz w:val="20"/>
              </w:rPr>
              <w:t>all CRR Account Holders represented by</w:t>
            </w:r>
            <w:r w:rsidR="008C0679">
              <w:t xml:space="preserve"> </w:t>
            </w:r>
            <w:r w:rsidRPr="00341696">
              <w:rPr>
                <w:iCs/>
                <w:sz w:val="20"/>
              </w:rPr>
              <w:t xml:space="preserve">the Counter-Party as </w:t>
            </w:r>
            <w:r>
              <w:rPr>
                <w:iCs/>
                <w:sz w:val="20"/>
              </w:rPr>
              <w:t>CRR O</w:t>
            </w:r>
            <w:r w:rsidRPr="00341696">
              <w:rPr>
                <w:iCs/>
                <w:sz w:val="20"/>
              </w:rPr>
              <w:t>wner</w:t>
            </w:r>
            <w:r w:rsidRPr="00341696">
              <w:rPr>
                <w:i/>
                <w:iCs/>
                <w:sz w:val="20"/>
              </w:rPr>
              <w:t xml:space="preserve"> </w:t>
            </w:r>
            <w:r w:rsidRPr="00341696">
              <w:rPr>
                <w:iCs/>
                <w:sz w:val="20"/>
              </w:rPr>
              <w:t xml:space="preserve">of record at ERCOT </w:t>
            </w:r>
            <w:r>
              <w:rPr>
                <w:iCs/>
                <w:sz w:val="20"/>
              </w:rPr>
              <w:t xml:space="preserve">for all Operating Days remaining in the current operating month and Prompt Month.  </w:t>
            </w:r>
          </w:p>
        </w:tc>
      </w:tr>
      <w:tr w:rsidR="00A36A5A" w:rsidRPr="00341696" w14:paraId="485A7686" w14:textId="77777777" w:rsidTr="00BC3ACE">
        <w:tblPrEx>
          <w:tblLook w:val="01E0" w:firstRow="1" w:lastRow="1" w:firstColumn="1" w:lastColumn="1" w:noHBand="0" w:noVBand="0"/>
        </w:tblPrEx>
        <w:trPr>
          <w:cantSplit/>
          <w:trHeight w:val="350"/>
          <w:tblHeader/>
        </w:trPr>
        <w:tc>
          <w:tcPr>
            <w:tcW w:w="1998" w:type="dxa"/>
          </w:tcPr>
          <w:p w14:paraId="678DADDA" w14:textId="77777777" w:rsidR="00A36A5A" w:rsidRPr="000433EB" w:rsidRDefault="00A36A5A" w:rsidP="00077067">
            <w:pPr>
              <w:spacing w:after="60"/>
              <w:rPr>
                <w:sz w:val="20"/>
              </w:rPr>
            </w:pPr>
            <w:r w:rsidRPr="00DC2980">
              <w:rPr>
                <w:sz w:val="20"/>
              </w:rPr>
              <w:t xml:space="preserve">A </w:t>
            </w:r>
            <w:r w:rsidRPr="005B6D42">
              <w:rPr>
                <w:i/>
                <w:sz w:val="20"/>
                <w:vertAlign w:val="subscript"/>
              </w:rPr>
              <w:t>ci99, ctou, (j, k)</w:t>
            </w:r>
          </w:p>
        </w:tc>
        <w:tc>
          <w:tcPr>
            <w:tcW w:w="739" w:type="dxa"/>
          </w:tcPr>
          <w:p w14:paraId="415384B3" w14:textId="77777777" w:rsidR="00A36A5A" w:rsidRPr="000433EB" w:rsidRDefault="00A36A5A" w:rsidP="00077067">
            <w:pPr>
              <w:spacing w:after="60"/>
              <w:rPr>
                <w:sz w:val="20"/>
              </w:rPr>
            </w:pPr>
            <w:r w:rsidRPr="00DC2980">
              <w:rPr>
                <w:sz w:val="20"/>
              </w:rPr>
              <w:t>$/MW per hour</w:t>
            </w:r>
          </w:p>
        </w:tc>
        <w:tc>
          <w:tcPr>
            <w:tcW w:w="6595" w:type="dxa"/>
          </w:tcPr>
          <w:p w14:paraId="3C168E36" w14:textId="77777777" w:rsidR="00A36A5A" w:rsidRPr="000433EB" w:rsidRDefault="00A36A5A" w:rsidP="005220DB">
            <w:pPr>
              <w:spacing w:after="60"/>
              <w:rPr>
                <w:i/>
                <w:sz w:val="20"/>
              </w:rPr>
            </w:pPr>
            <w:r w:rsidRPr="00DC2980">
              <w:rPr>
                <w:i/>
                <w:iCs/>
                <w:sz w:val="20"/>
              </w:rPr>
              <w:t>Path Specific DAM Based Adder</w:t>
            </w:r>
            <w:r w:rsidRPr="00DC2980">
              <w:rPr>
                <w:iCs/>
                <w:sz w:val="20"/>
              </w:rPr>
              <w:sym w:font="Symbol" w:char="F0BE"/>
            </w:r>
            <w:r w:rsidRPr="00DC2980">
              <w:rPr>
                <w:iCs/>
                <w:sz w:val="20"/>
              </w:rPr>
              <w:t xml:space="preserve">Path specific DAM based adder calculated as 99th percentile of the average rolling consecutive DAM settled price for the CRR source </w:t>
            </w:r>
            <w:r w:rsidRPr="00DC2980">
              <w:rPr>
                <w:i/>
                <w:iCs/>
                <w:sz w:val="20"/>
              </w:rPr>
              <w:t>j</w:t>
            </w:r>
            <w:r w:rsidRPr="00DC2980">
              <w:rPr>
                <w:iCs/>
                <w:sz w:val="20"/>
              </w:rPr>
              <w:t xml:space="preserve"> and sink </w:t>
            </w:r>
            <w:r w:rsidRPr="00DC2980">
              <w:rPr>
                <w:i/>
                <w:iCs/>
                <w:sz w:val="20"/>
              </w:rPr>
              <w:t>k</w:t>
            </w:r>
            <w:r w:rsidRPr="00DC2980">
              <w:rPr>
                <w:iCs/>
                <w:sz w:val="20"/>
              </w:rPr>
              <w:t xml:space="preserve"> over a period that represents a month for each</w:t>
            </w:r>
            <w:r>
              <w:rPr>
                <w:iCs/>
                <w:sz w:val="20"/>
              </w:rPr>
              <w:t xml:space="preserve"> CRR Time Of Use</w:t>
            </w:r>
            <w:r w:rsidRPr="00DC2980">
              <w:rPr>
                <w:iCs/>
                <w:sz w:val="20"/>
              </w:rPr>
              <w:t xml:space="preserve"> </w:t>
            </w:r>
            <w:r w:rsidR="005220DB">
              <w:rPr>
                <w:iCs/>
                <w:sz w:val="20"/>
              </w:rPr>
              <w:t xml:space="preserve">(TOU) </w:t>
            </w:r>
            <w:r w:rsidRPr="00DC2980">
              <w:rPr>
                <w:i/>
                <w:iCs/>
                <w:sz w:val="20"/>
              </w:rPr>
              <w:t>ctou</w:t>
            </w:r>
            <w:r w:rsidRPr="00C82B98">
              <w:rPr>
                <w:iCs/>
                <w:sz w:val="20"/>
              </w:rPr>
              <w:t xml:space="preserve"> </w:t>
            </w:r>
            <w:r w:rsidRPr="00DC2980">
              <w:rPr>
                <w:iCs/>
                <w:sz w:val="20"/>
              </w:rPr>
              <w:t xml:space="preserve">product type (18 days for 5*16, 8 days for 2*16, 28 days for 7*8).  The look-back period for DAM settled prices shall be the lesser of </w:t>
            </w:r>
            <w:r>
              <w:rPr>
                <w:iCs/>
                <w:sz w:val="20"/>
              </w:rPr>
              <w:t>January 1, 2011</w:t>
            </w:r>
            <w:r w:rsidRPr="00DC2980">
              <w:rPr>
                <w:iCs/>
                <w:sz w:val="20"/>
              </w:rPr>
              <w:t xml:space="preserve"> to</w:t>
            </w:r>
            <w:r>
              <w:rPr>
                <w:iCs/>
                <w:sz w:val="20"/>
              </w:rPr>
              <w:t xml:space="preserve"> the</w:t>
            </w:r>
            <w:r w:rsidRPr="00DC2980">
              <w:rPr>
                <w:iCs/>
                <w:sz w:val="20"/>
              </w:rPr>
              <w:t xml:space="preserve"> current time</w:t>
            </w:r>
            <w:r>
              <w:rPr>
                <w:iCs/>
                <w:sz w:val="20"/>
              </w:rPr>
              <w:t>,</w:t>
            </w:r>
            <w:r w:rsidRPr="00DC2980">
              <w:rPr>
                <w:iCs/>
                <w:sz w:val="20"/>
              </w:rPr>
              <w:t xml:space="preserve"> and </w:t>
            </w:r>
            <w:r>
              <w:rPr>
                <w:iCs/>
                <w:sz w:val="20"/>
              </w:rPr>
              <w:t>the</w:t>
            </w:r>
            <w:r w:rsidRPr="008E6150">
              <w:rPr>
                <w:iCs/>
                <w:sz w:val="20"/>
              </w:rPr>
              <w:t xml:space="preserve"> </w:t>
            </w:r>
            <w:r w:rsidRPr="00DC2980">
              <w:rPr>
                <w:iCs/>
                <w:sz w:val="20"/>
              </w:rPr>
              <w:t xml:space="preserve">current time minus </w:t>
            </w:r>
            <w:r>
              <w:rPr>
                <w:iCs/>
                <w:sz w:val="20"/>
              </w:rPr>
              <w:t>three</w:t>
            </w:r>
            <w:r w:rsidRPr="00DC2980">
              <w:rPr>
                <w:iCs/>
                <w:sz w:val="20"/>
              </w:rPr>
              <w:t xml:space="preserve"> years.  If historical DASPPs are not available for a Settlement Point for one or more Operating Days, ERCOT will designate a proxy Settlement Point for this purpose, and the DASPPs of the proxy Settlement Point of corresponding Operating Days are used.</w:t>
            </w:r>
          </w:p>
        </w:tc>
      </w:tr>
      <w:tr w:rsidR="00A36A5A" w:rsidRPr="00341696" w14:paraId="65DED6F9" w14:textId="77777777" w:rsidTr="00BC3ACE">
        <w:tblPrEx>
          <w:tblLook w:val="01E0" w:firstRow="1" w:lastRow="1" w:firstColumn="1" w:lastColumn="1" w:noHBand="0" w:noVBand="0"/>
        </w:tblPrEx>
        <w:trPr>
          <w:cantSplit/>
          <w:trHeight w:val="350"/>
          <w:tblHeader/>
        </w:trPr>
        <w:tc>
          <w:tcPr>
            <w:tcW w:w="1998" w:type="dxa"/>
          </w:tcPr>
          <w:p w14:paraId="5181C267" w14:textId="77777777" w:rsidR="00A36A5A" w:rsidRPr="00341696" w:rsidRDefault="00A36A5A" w:rsidP="008C0679">
            <w:pPr>
              <w:spacing w:after="60"/>
              <w:rPr>
                <w:iCs/>
                <w:sz w:val="20"/>
              </w:rPr>
            </w:pPr>
            <w:r w:rsidRPr="00DC2980">
              <w:rPr>
                <w:sz w:val="20"/>
              </w:rPr>
              <w:t>NAOPTMW</w:t>
            </w:r>
            <w:r>
              <w:rPr>
                <w:sz w:val="20"/>
                <w:vertAlign w:val="subscript"/>
              </w:rPr>
              <w:t xml:space="preserve"> </w:t>
            </w:r>
            <w:r w:rsidRPr="005B6D42">
              <w:rPr>
                <w:i/>
                <w:sz w:val="20"/>
                <w:vertAlign w:val="subscript"/>
              </w:rPr>
              <w:t>m, h, (j, k)</w:t>
            </w:r>
          </w:p>
        </w:tc>
        <w:tc>
          <w:tcPr>
            <w:tcW w:w="739" w:type="dxa"/>
          </w:tcPr>
          <w:p w14:paraId="7A0BCD72" w14:textId="77777777" w:rsidR="00A36A5A" w:rsidRPr="00341696" w:rsidRDefault="00A36A5A" w:rsidP="00077067">
            <w:pPr>
              <w:spacing w:after="60"/>
              <w:rPr>
                <w:iCs/>
                <w:sz w:val="20"/>
              </w:rPr>
            </w:pPr>
            <w:r>
              <w:rPr>
                <w:sz w:val="20"/>
              </w:rPr>
              <w:t>MW</w:t>
            </w:r>
          </w:p>
        </w:tc>
        <w:tc>
          <w:tcPr>
            <w:tcW w:w="6595" w:type="dxa"/>
          </w:tcPr>
          <w:p w14:paraId="31D57B10" w14:textId="77777777" w:rsidR="00A36A5A" w:rsidRPr="00341696" w:rsidRDefault="00A36A5A" w:rsidP="008C0679">
            <w:pPr>
              <w:spacing w:after="60"/>
              <w:rPr>
                <w:iCs/>
                <w:sz w:val="20"/>
              </w:rPr>
            </w:pPr>
            <w:r w:rsidRPr="00DC2980">
              <w:rPr>
                <w:i/>
                <w:sz w:val="20"/>
              </w:rPr>
              <w:t>Net Awarded PTP Options</w:t>
            </w:r>
            <w:r w:rsidRPr="00DC2980">
              <w:rPr>
                <w:iCs/>
                <w:sz w:val="20"/>
              </w:rPr>
              <w:sym w:font="Symbol" w:char="F0BE"/>
            </w:r>
            <w:r w:rsidRPr="00DC2980">
              <w:rPr>
                <w:sz w:val="20"/>
              </w:rPr>
              <w:t xml:space="preserve">Net awarded PTP Options with the source </w:t>
            </w:r>
            <w:r w:rsidRPr="00DC2980">
              <w:rPr>
                <w:i/>
                <w:sz w:val="20"/>
              </w:rPr>
              <w:t>j</w:t>
            </w:r>
            <w:r w:rsidRPr="00DC2980">
              <w:rPr>
                <w:sz w:val="20"/>
              </w:rPr>
              <w:t xml:space="preserve"> and sink </w:t>
            </w:r>
            <w:r w:rsidRPr="00DC2980">
              <w:rPr>
                <w:i/>
                <w:sz w:val="20"/>
              </w:rPr>
              <w:t>k</w:t>
            </w:r>
            <w:r w:rsidRPr="00DC2980">
              <w:rPr>
                <w:sz w:val="20"/>
              </w:rPr>
              <w:t xml:space="preserve"> for the hour </w:t>
            </w:r>
            <w:r w:rsidRPr="00DC2980">
              <w:rPr>
                <w:i/>
                <w:sz w:val="20"/>
              </w:rPr>
              <w:t>h</w:t>
            </w:r>
            <w:r w:rsidRPr="00DC2980">
              <w:rPr>
                <w:sz w:val="20"/>
              </w:rPr>
              <w:t xml:space="preserve"> and month </w:t>
            </w:r>
            <w:r w:rsidRPr="00DC2980">
              <w:rPr>
                <w:i/>
                <w:sz w:val="20"/>
              </w:rPr>
              <w:t>m</w:t>
            </w:r>
            <w:r w:rsidRPr="00DC2980">
              <w:rPr>
                <w:sz w:val="20"/>
              </w:rPr>
              <w:t xml:space="preserve"> owned by </w:t>
            </w:r>
            <w:r w:rsidR="008C0679" w:rsidRPr="00CF238E">
              <w:rPr>
                <w:sz w:val="20"/>
              </w:rPr>
              <w:t>all CRR Account Holders represented by</w:t>
            </w:r>
            <w:r w:rsidR="008C0679">
              <w:t xml:space="preserve"> </w:t>
            </w:r>
            <w:r w:rsidRPr="00DC2980">
              <w:rPr>
                <w:sz w:val="20"/>
              </w:rPr>
              <w:t>the Counter-Party as CRR Owner of record at ERCOT for remaining Operating Days in the current operating month, and Prompt Month.</w:t>
            </w:r>
          </w:p>
        </w:tc>
      </w:tr>
      <w:tr w:rsidR="00A36A5A" w:rsidRPr="00341696" w14:paraId="1F307D70" w14:textId="77777777" w:rsidTr="00BC3ACE">
        <w:tblPrEx>
          <w:tblLook w:val="01E0" w:firstRow="1" w:lastRow="1" w:firstColumn="1" w:lastColumn="1" w:noHBand="0" w:noVBand="0"/>
        </w:tblPrEx>
        <w:trPr>
          <w:cantSplit/>
          <w:trHeight w:val="350"/>
          <w:tblHeader/>
        </w:trPr>
        <w:tc>
          <w:tcPr>
            <w:tcW w:w="1998" w:type="dxa"/>
          </w:tcPr>
          <w:p w14:paraId="30E9F735" w14:textId="77777777" w:rsidR="00A36A5A" w:rsidRPr="005B6D42" w:rsidRDefault="00A36A5A" w:rsidP="00077067">
            <w:pPr>
              <w:spacing w:after="60"/>
              <w:rPr>
                <w:i/>
                <w:iCs/>
                <w:sz w:val="20"/>
              </w:rPr>
            </w:pPr>
            <w:r w:rsidRPr="005B6D42">
              <w:rPr>
                <w:i/>
                <w:iCs/>
                <w:sz w:val="20"/>
              </w:rPr>
              <w:t>j</w:t>
            </w:r>
          </w:p>
        </w:tc>
        <w:tc>
          <w:tcPr>
            <w:tcW w:w="739" w:type="dxa"/>
          </w:tcPr>
          <w:p w14:paraId="1ABD838C" w14:textId="77777777" w:rsidR="00A36A5A" w:rsidRPr="00341696" w:rsidRDefault="00A36A5A" w:rsidP="00077067">
            <w:pPr>
              <w:spacing w:after="60"/>
              <w:rPr>
                <w:iCs/>
                <w:sz w:val="20"/>
              </w:rPr>
            </w:pPr>
            <w:r w:rsidRPr="00341696">
              <w:rPr>
                <w:iCs/>
                <w:sz w:val="20"/>
              </w:rPr>
              <w:t>none</w:t>
            </w:r>
          </w:p>
        </w:tc>
        <w:tc>
          <w:tcPr>
            <w:tcW w:w="6595" w:type="dxa"/>
          </w:tcPr>
          <w:p w14:paraId="736C5CC9" w14:textId="77777777" w:rsidR="00A36A5A" w:rsidRPr="00341696" w:rsidRDefault="00A36A5A" w:rsidP="00077067">
            <w:pPr>
              <w:spacing w:after="60"/>
              <w:rPr>
                <w:iCs/>
                <w:sz w:val="20"/>
              </w:rPr>
            </w:pPr>
            <w:r w:rsidRPr="00341696">
              <w:rPr>
                <w:iCs/>
                <w:sz w:val="20"/>
              </w:rPr>
              <w:t xml:space="preserve">A source </w:t>
            </w:r>
            <w:r>
              <w:rPr>
                <w:iCs/>
                <w:sz w:val="20"/>
              </w:rPr>
              <w:t>S</w:t>
            </w:r>
            <w:r w:rsidRPr="00341696">
              <w:rPr>
                <w:iCs/>
                <w:sz w:val="20"/>
              </w:rPr>
              <w:t xml:space="preserve">ettlement </w:t>
            </w:r>
            <w:r>
              <w:rPr>
                <w:iCs/>
                <w:sz w:val="20"/>
              </w:rPr>
              <w:t>P</w:t>
            </w:r>
            <w:r w:rsidRPr="00341696">
              <w:rPr>
                <w:iCs/>
                <w:sz w:val="20"/>
              </w:rPr>
              <w:t>oint.</w:t>
            </w:r>
          </w:p>
        </w:tc>
      </w:tr>
      <w:tr w:rsidR="00A36A5A" w:rsidRPr="00341696" w14:paraId="3A4B6B8B" w14:textId="77777777" w:rsidTr="00BC3ACE">
        <w:tblPrEx>
          <w:tblLook w:val="01E0" w:firstRow="1" w:lastRow="1" w:firstColumn="1" w:lastColumn="1" w:noHBand="0" w:noVBand="0"/>
        </w:tblPrEx>
        <w:trPr>
          <w:cantSplit/>
          <w:trHeight w:val="350"/>
          <w:tblHeader/>
        </w:trPr>
        <w:tc>
          <w:tcPr>
            <w:tcW w:w="1998" w:type="dxa"/>
          </w:tcPr>
          <w:p w14:paraId="2248F340" w14:textId="77777777" w:rsidR="00A36A5A" w:rsidRPr="005B6D42" w:rsidRDefault="00A36A5A" w:rsidP="00077067">
            <w:pPr>
              <w:spacing w:after="60"/>
              <w:rPr>
                <w:i/>
                <w:iCs/>
                <w:sz w:val="20"/>
              </w:rPr>
            </w:pPr>
            <w:r w:rsidRPr="005B6D42">
              <w:rPr>
                <w:i/>
                <w:iCs/>
                <w:sz w:val="20"/>
              </w:rPr>
              <w:t>k</w:t>
            </w:r>
          </w:p>
        </w:tc>
        <w:tc>
          <w:tcPr>
            <w:tcW w:w="739" w:type="dxa"/>
          </w:tcPr>
          <w:p w14:paraId="63A8B59D" w14:textId="77777777" w:rsidR="00A36A5A" w:rsidRPr="00341696" w:rsidRDefault="00A36A5A" w:rsidP="00077067">
            <w:pPr>
              <w:spacing w:after="60"/>
              <w:rPr>
                <w:iCs/>
                <w:sz w:val="20"/>
              </w:rPr>
            </w:pPr>
            <w:r w:rsidRPr="00341696">
              <w:rPr>
                <w:iCs/>
                <w:sz w:val="20"/>
              </w:rPr>
              <w:t>none</w:t>
            </w:r>
          </w:p>
        </w:tc>
        <w:tc>
          <w:tcPr>
            <w:tcW w:w="6595" w:type="dxa"/>
          </w:tcPr>
          <w:p w14:paraId="5A4C404B" w14:textId="77777777" w:rsidR="00A36A5A" w:rsidRPr="00341696" w:rsidRDefault="00A36A5A" w:rsidP="00077067">
            <w:pPr>
              <w:spacing w:after="60"/>
              <w:rPr>
                <w:iCs/>
                <w:sz w:val="20"/>
              </w:rPr>
            </w:pPr>
            <w:r w:rsidRPr="00341696">
              <w:rPr>
                <w:iCs/>
                <w:sz w:val="20"/>
              </w:rPr>
              <w:t xml:space="preserve">A sink </w:t>
            </w:r>
            <w:r>
              <w:rPr>
                <w:iCs/>
                <w:sz w:val="20"/>
              </w:rPr>
              <w:t>S</w:t>
            </w:r>
            <w:r w:rsidRPr="00341696">
              <w:rPr>
                <w:iCs/>
                <w:sz w:val="20"/>
              </w:rPr>
              <w:t xml:space="preserve">ettlement </w:t>
            </w:r>
            <w:r>
              <w:rPr>
                <w:iCs/>
                <w:sz w:val="20"/>
              </w:rPr>
              <w:t>P</w:t>
            </w:r>
            <w:r w:rsidRPr="00341696">
              <w:rPr>
                <w:iCs/>
                <w:sz w:val="20"/>
              </w:rPr>
              <w:t>oint.</w:t>
            </w:r>
          </w:p>
        </w:tc>
      </w:tr>
      <w:tr w:rsidR="00A36A5A" w:rsidRPr="00341696" w14:paraId="172BAD24" w14:textId="77777777" w:rsidTr="00BC3ACE">
        <w:tblPrEx>
          <w:tblLook w:val="01E0" w:firstRow="1" w:lastRow="1" w:firstColumn="1" w:lastColumn="1" w:noHBand="0" w:noVBand="0"/>
        </w:tblPrEx>
        <w:trPr>
          <w:cantSplit/>
          <w:trHeight w:val="350"/>
          <w:tblHeader/>
        </w:trPr>
        <w:tc>
          <w:tcPr>
            <w:tcW w:w="1998" w:type="dxa"/>
          </w:tcPr>
          <w:p w14:paraId="7A69755B" w14:textId="77777777" w:rsidR="00A36A5A" w:rsidRPr="005B6D42" w:rsidRDefault="00A36A5A" w:rsidP="00077067">
            <w:pPr>
              <w:spacing w:after="60"/>
              <w:rPr>
                <w:i/>
                <w:iCs/>
                <w:sz w:val="20"/>
              </w:rPr>
            </w:pPr>
            <w:r w:rsidRPr="005B6D42">
              <w:rPr>
                <w:i/>
                <w:sz w:val="20"/>
              </w:rPr>
              <w:t>m</w:t>
            </w:r>
          </w:p>
        </w:tc>
        <w:tc>
          <w:tcPr>
            <w:tcW w:w="739" w:type="dxa"/>
          </w:tcPr>
          <w:p w14:paraId="3AC8174D" w14:textId="77777777" w:rsidR="00A36A5A" w:rsidRPr="00341696" w:rsidRDefault="00A36A5A" w:rsidP="00077067">
            <w:pPr>
              <w:spacing w:after="60"/>
              <w:rPr>
                <w:iCs/>
                <w:sz w:val="20"/>
              </w:rPr>
            </w:pPr>
            <w:r w:rsidRPr="000433EB">
              <w:rPr>
                <w:sz w:val="20"/>
              </w:rPr>
              <w:t>none</w:t>
            </w:r>
          </w:p>
        </w:tc>
        <w:tc>
          <w:tcPr>
            <w:tcW w:w="6595" w:type="dxa"/>
          </w:tcPr>
          <w:p w14:paraId="2932A689" w14:textId="77777777" w:rsidR="00A36A5A" w:rsidRPr="00341696" w:rsidRDefault="00A36A5A" w:rsidP="00077067">
            <w:pPr>
              <w:spacing w:after="60"/>
              <w:rPr>
                <w:iCs/>
                <w:sz w:val="20"/>
              </w:rPr>
            </w:pPr>
            <w:r w:rsidRPr="000433EB">
              <w:rPr>
                <w:sz w:val="20"/>
              </w:rPr>
              <w:t>An operating month</w:t>
            </w:r>
            <w:r>
              <w:rPr>
                <w:sz w:val="20"/>
              </w:rPr>
              <w:t>.</w:t>
            </w:r>
          </w:p>
        </w:tc>
      </w:tr>
      <w:tr w:rsidR="00A36A5A" w:rsidRPr="00341696" w14:paraId="256AB962" w14:textId="77777777" w:rsidTr="00BC3ACE">
        <w:tblPrEx>
          <w:tblLook w:val="01E0" w:firstRow="1" w:lastRow="1" w:firstColumn="1" w:lastColumn="1" w:noHBand="0" w:noVBand="0"/>
        </w:tblPrEx>
        <w:trPr>
          <w:cantSplit/>
          <w:trHeight w:val="350"/>
          <w:tblHeader/>
        </w:trPr>
        <w:tc>
          <w:tcPr>
            <w:tcW w:w="1998" w:type="dxa"/>
          </w:tcPr>
          <w:p w14:paraId="019DE99E" w14:textId="77777777" w:rsidR="00A36A5A" w:rsidRPr="005B6D42" w:rsidRDefault="00A36A5A" w:rsidP="00077067">
            <w:pPr>
              <w:spacing w:after="60"/>
              <w:rPr>
                <w:i/>
                <w:iCs/>
                <w:sz w:val="20"/>
              </w:rPr>
            </w:pPr>
            <w:r w:rsidRPr="005B6D42">
              <w:rPr>
                <w:i/>
                <w:sz w:val="20"/>
              </w:rPr>
              <w:t>ctou</w:t>
            </w:r>
          </w:p>
        </w:tc>
        <w:tc>
          <w:tcPr>
            <w:tcW w:w="739" w:type="dxa"/>
          </w:tcPr>
          <w:p w14:paraId="2217F3F8" w14:textId="77777777" w:rsidR="00A36A5A" w:rsidRPr="00341696" w:rsidRDefault="00A36A5A" w:rsidP="00077067">
            <w:pPr>
              <w:spacing w:after="60"/>
              <w:rPr>
                <w:iCs/>
                <w:sz w:val="20"/>
              </w:rPr>
            </w:pPr>
            <w:r w:rsidRPr="00341696">
              <w:rPr>
                <w:iCs/>
                <w:sz w:val="20"/>
              </w:rPr>
              <w:t>none</w:t>
            </w:r>
          </w:p>
        </w:tc>
        <w:tc>
          <w:tcPr>
            <w:tcW w:w="6595" w:type="dxa"/>
          </w:tcPr>
          <w:p w14:paraId="0BF732F6" w14:textId="77777777" w:rsidR="00A36A5A" w:rsidRPr="00341696" w:rsidRDefault="00A36A5A" w:rsidP="00077067">
            <w:pPr>
              <w:spacing w:after="60"/>
              <w:rPr>
                <w:iCs/>
                <w:sz w:val="20"/>
              </w:rPr>
            </w:pPr>
            <w:r w:rsidRPr="003F6636">
              <w:rPr>
                <w:iCs/>
                <w:sz w:val="20"/>
              </w:rPr>
              <w:t xml:space="preserve">CRR </w:t>
            </w:r>
            <w:r w:rsidRPr="008D7F4C">
              <w:rPr>
                <w:iCs/>
                <w:sz w:val="20"/>
              </w:rPr>
              <w:t>Time O</w:t>
            </w:r>
            <w:r w:rsidRPr="007A2BA3">
              <w:rPr>
                <w:iCs/>
                <w:sz w:val="20"/>
              </w:rPr>
              <w:t>f Use block</w:t>
            </w:r>
            <w:r w:rsidRPr="006D333E">
              <w:rPr>
                <w:iCs/>
                <w:sz w:val="20"/>
              </w:rPr>
              <w:t>.</w:t>
            </w:r>
          </w:p>
        </w:tc>
      </w:tr>
      <w:tr w:rsidR="00A36A5A" w:rsidRPr="00341696" w14:paraId="23635963" w14:textId="77777777" w:rsidTr="00BC3ACE">
        <w:tblPrEx>
          <w:tblLook w:val="01E0" w:firstRow="1" w:lastRow="1" w:firstColumn="1" w:lastColumn="1" w:noHBand="0" w:noVBand="0"/>
        </w:tblPrEx>
        <w:trPr>
          <w:cantSplit/>
          <w:trHeight w:val="350"/>
          <w:tblHeader/>
        </w:trPr>
        <w:tc>
          <w:tcPr>
            <w:tcW w:w="1998" w:type="dxa"/>
          </w:tcPr>
          <w:p w14:paraId="0A56B4AB" w14:textId="77777777" w:rsidR="00A36A5A" w:rsidRPr="005B6D42" w:rsidRDefault="00A36A5A" w:rsidP="00077067">
            <w:pPr>
              <w:spacing w:after="60"/>
              <w:rPr>
                <w:i/>
                <w:iCs/>
                <w:sz w:val="20"/>
              </w:rPr>
            </w:pPr>
            <w:r w:rsidRPr="005B6D42">
              <w:rPr>
                <w:i/>
                <w:iCs/>
                <w:sz w:val="20"/>
              </w:rPr>
              <w:t>h</w:t>
            </w:r>
          </w:p>
        </w:tc>
        <w:tc>
          <w:tcPr>
            <w:tcW w:w="739" w:type="dxa"/>
          </w:tcPr>
          <w:p w14:paraId="3B5DA79A" w14:textId="77777777" w:rsidR="00A36A5A" w:rsidRPr="00341696" w:rsidRDefault="00A36A5A" w:rsidP="00077067">
            <w:pPr>
              <w:spacing w:after="60"/>
              <w:rPr>
                <w:iCs/>
                <w:sz w:val="20"/>
              </w:rPr>
            </w:pPr>
            <w:r w:rsidRPr="00341696">
              <w:rPr>
                <w:iCs/>
                <w:sz w:val="20"/>
              </w:rPr>
              <w:t>none</w:t>
            </w:r>
          </w:p>
        </w:tc>
        <w:tc>
          <w:tcPr>
            <w:tcW w:w="6595" w:type="dxa"/>
          </w:tcPr>
          <w:p w14:paraId="12F385DE" w14:textId="77777777" w:rsidR="00A36A5A" w:rsidRPr="00341696" w:rsidRDefault="00A36A5A" w:rsidP="008C0679">
            <w:pPr>
              <w:spacing w:after="60"/>
              <w:rPr>
                <w:iCs/>
                <w:sz w:val="20"/>
              </w:rPr>
            </w:pPr>
            <w:r w:rsidRPr="00341696">
              <w:rPr>
                <w:iCs/>
                <w:sz w:val="20"/>
              </w:rPr>
              <w:t xml:space="preserve">An </w:t>
            </w:r>
            <w:r>
              <w:rPr>
                <w:iCs/>
                <w:sz w:val="20"/>
              </w:rPr>
              <w:t>Operating Hour.</w:t>
            </w:r>
          </w:p>
        </w:tc>
      </w:tr>
      <w:tr w:rsidR="00A36A5A" w:rsidRPr="00341696" w14:paraId="492570E5" w14:textId="77777777" w:rsidTr="00BC3ACE">
        <w:tblPrEx>
          <w:tblLook w:val="01E0" w:firstRow="1" w:lastRow="1" w:firstColumn="1" w:lastColumn="1" w:noHBand="0" w:noVBand="0"/>
        </w:tblPrEx>
        <w:trPr>
          <w:cantSplit/>
          <w:trHeight w:val="350"/>
          <w:tblHeader/>
        </w:trPr>
        <w:tc>
          <w:tcPr>
            <w:tcW w:w="1998" w:type="dxa"/>
          </w:tcPr>
          <w:p w14:paraId="3568E63C" w14:textId="77777777" w:rsidR="00A36A5A" w:rsidRPr="005B6D42" w:rsidRDefault="008C0679" w:rsidP="00077067">
            <w:pPr>
              <w:spacing w:after="60"/>
              <w:rPr>
                <w:i/>
                <w:iCs/>
                <w:sz w:val="20"/>
              </w:rPr>
            </w:pPr>
            <w:r>
              <w:rPr>
                <w:i/>
                <w:iCs/>
                <w:sz w:val="20"/>
              </w:rPr>
              <w:t>a</w:t>
            </w:r>
          </w:p>
        </w:tc>
        <w:tc>
          <w:tcPr>
            <w:tcW w:w="739" w:type="dxa"/>
          </w:tcPr>
          <w:p w14:paraId="14555947" w14:textId="77777777" w:rsidR="00A36A5A" w:rsidRPr="00341696" w:rsidRDefault="00A36A5A" w:rsidP="00077067">
            <w:pPr>
              <w:spacing w:after="60"/>
              <w:rPr>
                <w:iCs/>
                <w:sz w:val="20"/>
              </w:rPr>
            </w:pPr>
            <w:r w:rsidRPr="00341696">
              <w:rPr>
                <w:iCs/>
                <w:sz w:val="20"/>
              </w:rPr>
              <w:t>none</w:t>
            </w:r>
          </w:p>
        </w:tc>
        <w:tc>
          <w:tcPr>
            <w:tcW w:w="6595" w:type="dxa"/>
          </w:tcPr>
          <w:p w14:paraId="294EA53A" w14:textId="77777777" w:rsidR="00A36A5A" w:rsidRPr="00341696" w:rsidRDefault="00A36A5A" w:rsidP="008C0679">
            <w:pPr>
              <w:spacing w:after="60"/>
              <w:rPr>
                <w:iCs/>
                <w:sz w:val="20"/>
              </w:rPr>
            </w:pPr>
            <w:r w:rsidRPr="00341696">
              <w:rPr>
                <w:iCs/>
                <w:sz w:val="20"/>
              </w:rPr>
              <w:t>A</w:t>
            </w:r>
            <w:r w:rsidR="008C0679">
              <w:rPr>
                <w:iCs/>
                <w:sz w:val="20"/>
              </w:rPr>
              <w:t>ll</w:t>
            </w:r>
            <w:r w:rsidRPr="00341696">
              <w:rPr>
                <w:iCs/>
                <w:sz w:val="20"/>
              </w:rPr>
              <w:t xml:space="preserve"> </w:t>
            </w:r>
            <w:r>
              <w:rPr>
                <w:iCs/>
                <w:sz w:val="20"/>
              </w:rPr>
              <w:t xml:space="preserve">CRR </w:t>
            </w:r>
            <w:r w:rsidR="008C0679">
              <w:rPr>
                <w:iCs/>
                <w:sz w:val="20"/>
              </w:rPr>
              <w:t>Account Holders represented by the Counter-Party</w:t>
            </w:r>
            <w:r>
              <w:rPr>
                <w:iCs/>
                <w:sz w:val="20"/>
              </w:rPr>
              <w:t>.</w:t>
            </w:r>
          </w:p>
        </w:tc>
      </w:tr>
      <w:tr w:rsidR="00A36A5A" w:rsidRPr="00341696" w14:paraId="680D8BAD" w14:textId="77777777" w:rsidTr="00BC3ACE">
        <w:tblPrEx>
          <w:tblLook w:val="01E0" w:firstRow="1" w:lastRow="1" w:firstColumn="1" w:lastColumn="1" w:noHBand="0" w:noVBand="0"/>
        </w:tblPrEx>
        <w:trPr>
          <w:cantSplit/>
          <w:trHeight w:val="350"/>
          <w:tblHeader/>
        </w:trPr>
        <w:tc>
          <w:tcPr>
            <w:tcW w:w="1998" w:type="dxa"/>
          </w:tcPr>
          <w:p w14:paraId="3C68DE54" w14:textId="77777777" w:rsidR="00A36A5A" w:rsidRPr="005B6D42" w:rsidRDefault="00A36A5A" w:rsidP="00077067">
            <w:pPr>
              <w:spacing w:after="60"/>
              <w:rPr>
                <w:i/>
                <w:iCs/>
                <w:sz w:val="20"/>
              </w:rPr>
            </w:pPr>
            <w:r w:rsidRPr="005B6D42">
              <w:rPr>
                <w:i/>
                <w:iCs/>
                <w:sz w:val="20"/>
              </w:rPr>
              <w:t>ci99</w:t>
            </w:r>
          </w:p>
        </w:tc>
        <w:tc>
          <w:tcPr>
            <w:tcW w:w="739" w:type="dxa"/>
          </w:tcPr>
          <w:p w14:paraId="1E260DE4" w14:textId="77777777" w:rsidR="00A36A5A" w:rsidRPr="00341696" w:rsidRDefault="00A36A5A" w:rsidP="00077067">
            <w:pPr>
              <w:spacing w:after="60"/>
              <w:rPr>
                <w:iCs/>
                <w:sz w:val="20"/>
              </w:rPr>
            </w:pPr>
            <w:r>
              <w:rPr>
                <w:iCs/>
                <w:sz w:val="20"/>
              </w:rPr>
              <w:t>none</w:t>
            </w:r>
          </w:p>
        </w:tc>
        <w:tc>
          <w:tcPr>
            <w:tcW w:w="6595" w:type="dxa"/>
          </w:tcPr>
          <w:p w14:paraId="34EFA158" w14:textId="77777777" w:rsidR="00A36A5A" w:rsidRPr="00341696" w:rsidRDefault="00A36A5A" w:rsidP="00077067">
            <w:pPr>
              <w:spacing w:after="60"/>
              <w:rPr>
                <w:iCs/>
                <w:sz w:val="20"/>
              </w:rPr>
            </w:pPr>
            <w:r>
              <w:rPr>
                <w:iCs/>
                <w:sz w:val="20"/>
              </w:rPr>
              <w:t>99</w:t>
            </w:r>
            <w:r w:rsidRPr="00E85945">
              <w:rPr>
                <w:iCs/>
                <w:sz w:val="20"/>
                <w:vertAlign w:val="superscript"/>
              </w:rPr>
              <w:t>th</w:t>
            </w:r>
            <w:r>
              <w:rPr>
                <w:iCs/>
                <w:sz w:val="20"/>
              </w:rPr>
              <w:t xml:space="preserve"> percentile confidence interval.</w:t>
            </w:r>
          </w:p>
        </w:tc>
      </w:tr>
    </w:tbl>
    <w:p w14:paraId="6AB45C76" w14:textId="77777777" w:rsidR="00AA6D6D" w:rsidRPr="0002450E" w:rsidRDefault="00AA6D6D" w:rsidP="00DD1960">
      <w:pPr>
        <w:pStyle w:val="H4"/>
        <w:spacing w:before="480"/>
        <w:ind w:left="1267" w:hanging="1267"/>
        <w:rPr>
          <w:b/>
          <w:bCs/>
        </w:rPr>
      </w:pPr>
      <w:bookmarkStart w:id="517" w:name="_Toc390438971"/>
      <w:bookmarkStart w:id="518" w:name="_Toc405897669"/>
      <w:bookmarkStart w:id="519" w:name="_Toc415055773"/>
      <w:bookmarkStart w:id="520" w:name="_Toc415055899"/>
      <w:bookmarkStart w:id="521" w:name="_Toc415055998"/>
      <w:bookmarkStart w:id="522" w:name="_Toc415056099"/>
      <w:bookmarkStart w:id="523" w:name="_Toc148960879"/>
      <w:r w:rsidRPr="0002450E">
        <w:rPr>
          <w:b/>
          <w:bCs/>
        </w:rPr>
        <w:t>16.11.4.6</w:t>
      </w:r>
      <w:r w:rsidRPr="0002450E">
        <w:rPr>
          <w:b/>
          <w:bCs/>
        </w:rPr>
        <w:tab/>
        <w:t>Determination of Counter-Party Available Credit Limits</w:t>
      </w:r>
      <w:bookmarkEnd w:id="517"/>
      <w:bookmarkEnd w:id="518"/>
      <w:bookmarkEnd w:id="519"/>
      <w:bookmarkEnd w:id="520"/>
      <w:bookmarkEnd w:id="521"/>
      <w:bookmarkEnd w:id="522"/>
      <w:bookmarkEnd w:id="523"/>
      <w:r w:rsidRPr="0002450E">
        <w:rPr>
          <w:b/>
          <w:bCs/>
        </w:rPr>
        <w:t xml:space="preserve"> </w:t>
      </w:r>
    </w:p>
    <w:p w14:paraId="2AD2814A" w14:textId="77777777" w:rsidR="005C04D0" w:rsidRPr="00D75412" w:rsidRDefault="005C04D0" w:rsidP="005C04D0">
      <w:pPr>
        <w:spacing w:after="240"/>
        <w:ind w:left="702" w:hanging="702"/>
        <w:rPr>
          <w:iCs/>
        </w:rPr>
      </w:pPr>
      <w:r>
        <w:rPr>
          <w:iCs/>
        </w:rPr>
        <w:t>(1)</w:t>
      </w:r>
      <w:r w:rsidRPr="00D75412">
        <w:rPr>
          <w:iCs/>
        </w:rPr>
        <w:t xml:space="preserve"> </w:t>
      </w:r>
      <w:r w:rsidRPr="00D75412">
        <w:rPr>
          <w:iCs/>
        </w:rPr>
        <w:tab/>
        <w:t>ERCOT shall calculate an Available Credit Limit for the CRR Auction (ACLC) and an Available Credit Limit for the DAM (ACLD) as follows:</w:t>
      </w:r>
    </w:p>
    <w:p w14:paraId="68B6C999" w14:textId="77777777" w:rsidR="005C04D0" w:rsidRPr="00D75412" w:rsidRDefault="005C04D0" w:rsidP="005C04D0">
      <w:pPr>
        <w:spacing w:after="240"/>
        <w:ind w:left="720"/>
        <w:rPr>
          <w:iCs/>
        </w:rPr>
      </w:pPr>
      <w:r w:rsidRPr="00D75412">
        <w:rPr>
          <w:iCs/>
        </w:rPr>
        <w:t>(a)</w:t>
      </w:r>
      <w:r w:rsidRPr="00D75412">
        <w:rPr>
          <w:iCs/>
        </w:rPr>
        <w:tab/>
        <w:t>ACLC for each Counter-Party equal to the maximum of zero and the net of its:</w:t>
      </w:r>
    </w:p>
    <w:p w14:paraId="4760EAFE" w14:textId="77777777" w:rsidR="005C04D0" w:rsidRPr="00D75412" w:rsidRDefault="005C04D0" w:rsidP="005C04D0">
      <w:pPr>
        <w:spacing w:after="240"/>
        <w:ind w:left="2160" w:hanging="720"/>
        <w:rPr>
          <w:iCs/>
        </w:rPr>
      </w:pPr>
      <w:r w:rsidRPr="00D75412">
        <w:rPr>
          <w:iCs/>
        </w:rPr>
        <w:t>(i)</w:t>
      </w:r>
      <w:r w:rsidRPr="00D75412">
        <w:rPr>
          <w:iCs/>
        </w:rPr>
        <w:tab/>
        <w:t xml:space="preserve">Secured Financial Security; minus </w:t>
      </w:r>
    </w:p>
    <w:p w14:paraId="6C23E824" w14:textId="77777777" w:rsidR="005C04D0" w:rsidRPr="00D75412" w:rsidRDefault="005C04D0" w:rsidP="005C04D0">
      <w:pPr>
        <w:spacing w:after="240"/>
        <w:ind w:left="2160" w:hanging="720"/>
        <w:rPr>
          <w:iCs/>
        </w:rPr>
      </w:pPr>
      <w:r w:rsidRPr="00D75412">
        <w:rPr>
          <w:iCs/>
        </w:rPr>
        <w:t>(ii)</w:t>
      </w:r>
      <w:r w:rsidRPr="00D75412">
        <w:rPr>
          <w:iCs/>
        </w:rPr>
        <w:tab/>
      </w:r>
      <w:r>
        <w:rPr>
          <w:iCs/>
        </w:rPr>
        <w:t xml:space="preserve">(1+ACLIRF) * </w:t>
      </w:r>
      <w:r w:rsidRPr="00D75412">
        <w:rPr>
          <w:iCs/>
        </w:rPr>
        <w:t>TPES; minus</w:t>
      </w:r>
    </w:p>
    <w:p w14:paraId="388D8D10" w14:textId="77777777" w:rsidR="005C04D0" w:rsidRPr="00D75412" w:rsidRDefault="005C04D0" w:rsidP="005C04D0">
      <w:pPr>
        <w:spacing w:after="240"/>
        <w:ind w:left="1440"/>
        <w:rPr>
          <w:iCs/>
        </w:rPr>
      </w:pPr>
      <w:r w:rsidRPr="00D75412">
        <w:rPr>
          <w:iCs/>
        </w:rPr>
        <w:t>(iii)</w:t>
      </w:r>
      <w:r w:rsidRPr="00D75412">
        <w:rPr>
          <w:b/>
          <w:iCs/>
        </w:rPr>
        <w:tab/>
      </w:r>
      <w:r w:rsidRPr="00D75412">
        <w:rPr>
          <w:iCs/>
        </w:rPr>
        <w:t>Net Positive Exposure of approved CRR Bilateral Trades; minus</w:t>
      </w:r>
    </w:p>
    <w:p w14:paraId="29696C84" w14:textId="77777777" w:rsidR="005C04D0" w:rsidRPr="00D75412" w:rsidRDefault="005C04D0" w:rsidP="005C04D0">
      <w:pPr>
        <w:spacing w:after="240"/>
        <w:ind w:left="2160" w:hanging="720"/>
        <w:rPr>
          <w:iCs/>
        </w:rPr>
      </w:pPr>
      <w:r w:rsidRPr="00D75412">
        <w:rPr>
          <w:iCs/>
        </w:rPr>
        <w:t>(iv)</w:t>
      </w:r>
      <w:r w:rsidRPr="00D75412">
        <w:rPr>
          <w:iCs/>
        </w:rPr>
        <w:tab/>
        <w:t xml:space="preserve">Maximum of: </w:t>
      </w:r>
    </w:p>
    <w:p w14:paraId="4C74C54A" w14:textId="77777777" w:rsidR="005C04D0" w:rsidRPr="00D75412" w:rsidRDefault="005C04D0" w:rsidP="005C04D0">
      <w:pPr>
        <w:spacing w:after="240"/>
        <w:ind w:left="2880" w:hanging="720"/>
        <w:rPr>
          <w:iCs/>
        </w:rPr>
      </w:pPr>
      <w:r w:rsidRPr="00D75412">
        <w:rPr>
          <w:iCs/>
        </w:rPr>
        <w:t>(A)</w:t>
      </w:r>
      <w:r w:rsidRPr="00D75412">
        <w:rPr>
          <w:iCs/>
        </w:rPr>
        <w:tab/>
        <w:t xml:space="preserve">Zero; and </w:t>
      </w:r>
    </w:p>
    <w:p w14:paraId="36C190B5" w14:textId="77777777" w:rsidR="005C04D0" w:rsidRPr="00D75412" w:rsidRDefault="005C04D0" w:rsidP="005C04D0">
      <w:pPr>
        <w:spacing w:after="240"/>
        <w:ind w:left="2880" w:hanging="720"/>
        <w:rPr>
          <w:iCs/>
        </w:rPr>
      </w:pPr>
      <w:r w:rsidRPr="00D75412">
        <w:rPr>
          <w:iCs/>
        </w:rPr>
        <w:lastRenderedPageBreak/>
        <w:t>(B)</w:t>
      </w:r>
      <w:r w:rsidRPr="00D75412">
        <w:rPr>
          <w:iCs/>
        </w:rPr>
        <w:tab/>
      </w:r>
      <w:r>
        <w:rPr>
          <w:iCs/>
        </w:rPr>
        <w:t xml:space="preserve">((1+ACLIRF) * </w:t>
      </w:r>
      <w:r w:rsidRPr="00D75412">
        <w:rPr>
          <w:iCs/>
        </w:rPr>
        <w:t>TPEA</w:t>
      </w:r>
      <w:r>
        <w:rPr>
          <w:iCs/>
        </w:rPr>
        <w:t>)</w:t>
      </w:r>
      <w:r w:rsidRPr="00D75412">
        <w:rPr>
          <w:iCs/>
        </w:rPr>
        <w:t>.</w:t>
      </w:r>
    </w:p>
    <w:p w14:paraId="3AD94E04" w14:textId="77777777" w:rsidR="005C04D0" w:rsidRPr="00D75412" w:rsidRDefault="005C04D0" w:rsidP="005C04D0">
      <w:pPr>
        <w:spacing w:after="240"/>
        <w:ind w:firstLine="720"/>
        <w:rPr>
          <w:iCs/>
        </w:rPr>
      </w:pPr>
      <w:r w:rsidRPr="00D75412">
        <w:rPr>
          <w:iCs/>
        </w:rPr>
        <w:t>(b)</w:t>
      </w:r>
      <w:r w:rsidRPr="00D75412">
        <w:rPr>
          <w:iCs/>
        </w:rPr>
        <w:tab/>
        <w:t>ACLD for each Counter-Party equal to the maximum of zero and its:</w:t>
      </w:r>
    </w:p>
    <w:p w14:paraId="3D92B643" w14:textId="77777777" w:rsidR="005C04D0" w:rsidRPr="00142152" w:rsidRDefault="005C04D0" w:rsidP="005C04D0">
      <w:pPr>
        <w:spacing w:after="240"/>
        <w:ind w:left="2160" w:hanging="720"/>
        <w:rPr>
          <w:iCs/>
        </w:rPr>
      </w:pPr>
      <w:r w:rsidRPr="00142152">
        <w:rPr>
          <w:iCs/>
        </w:rPr>
        <w:t>(i)</w:t>
      </w:r>
      <w:r w:rsidRPr="00142152">
        <w:rPr>
          <w:iCs/>
        </w:rPr>
        <w:tab/>
        <w:t>Remainder Collateral; minus</w:t>
      </w:r>
    </w:p>
    <w:p w14:paraId="4066F4C4" w14:textId="77777777" w:rsidR="005C04D0" w:rsidRPr="00142152" w:rsidRDefault="005C04D0" w:rsidP="005C04D0">
      <w:pPr>
        <w:spacing w:after="240"/>
        <w:ind w:left="2160" w:hanging="720"/>
        <w:rPr>
          <w:iCs/>
        </w:rPr>
      </w:pPr>
      <w:r w:rsidRPr="00142152">
        <w:rPr>
          <w:iCs/>
        </w:rPr>
        <w:t>(i</w:t>
      </w:r>
      <w:r>
        <w:rPr>
          <w:iCs/>
        </w:rPr>
        <w:t>i</w:t>
      </w:r>
      <w:r w:rsidRPr="00142152">
        <w:rPr>
          <w:iCs/>
        </w:rPr>
        <w:t>)</w:t>
      </w:r>
      <w:r w:rsidRPr="00142152">
        <w:rPr>
          <w:iCs/>
        </w:rPr>
        <w:tab/>
        <w:t>ACLIRF * TPES; minus</w:t>
      </w:r>
    </w:p>
    <w:p w14:paraId="48C8E788" w14:textId="77777777" w:rsidR="005C04D0" w:rsidRPr="00D75412" w:rsidRDefault="005C04D0" w:rsidP="005C04D0">
      <w:pPr>
        <w:spacing w:after="240"/>
        <w:ind w:left="2160" w:hanging="720"/>
        <w:rPr>
          <w:iCs/>
        </w:rPr>
      </w:pPr>
      <w:r>
        <w:rPr>
          <w:iCs/>
        </w:rPr>
        <w:t>(iii)</w:t>
      </w:r>
      <w:r>
        <w:rPr>
          <w:iCs/>
        </w:rPr>
        <w:tab/>
        <w:t xml:space="preserve">(1+ACLIRF) * </w:t>
      </w:r>
      <w:r w:rsidRPr="00D75412">
        <w:rPr>
          <w:iCs/>
        </w:rPr>
        <w:t>TPEA.</w:t>
      </w:r>
    </w:p>
    <w:p w14:paraId="5E672E90" w14:textId="77777777" w:rsidR="005C04D0" w:rsidRDefault="005C04D0" w:rsidP="005C04D0">
      <w:pPr>
        <w:spacing w:after="240"/>
        <w:ind w:left="1440" w:hanging="720"/>
        <w:rPr>
          <w:iCs/>
        </w:rPr>
      </w:pPr>
      <w:r w:rsidRPr="00D75412">
        <w:rPr>
          <w:iCs/>
        </w:rPr>
        <w:t>(c)</w:t>
      </w:r>
      <w:r w:rsidRPr="00D75412">
        <w:rPr>
          <w:iCs/>
        </w:rPr>
        <w:tab/>
        <w:t>If all or part of a Counter-Party’s ACLC and/or ACLD cannot be computed due to an ERCOT computer system failure</w:t>
      </w:r>
      <w:r>
        <w:rPr>
          <w:iCs/>
        </w:rPr>
        <w:t xml:space="preserve"> or Market Suspension</w:t>
      </w:r>
      <w:r w:rsidRPr="00D75412">
        <w:rPr>
          <w:iCs/>
        </w:rPr>
        <w:t>, then ERCOT shall estimate ACLC and/or ACLD for that Counter-Party and provide the information used to determine such estimates to that Counter-Party.  If  all or part of ACLC and/or ACLD cannot be estimated with current data, then the most recently available values shall be used to determine the Counter-Party’s ACLC and/or ACLD.  ERCOT shall provide electronic Notice, as soon as practicable, to Counter-Parties when utilizing this methodology, and shall further provide electronic Notice to Counter-Parties when current data is restored and available to calculate ACLC and ACLD under paragraphs (a) and (b) above.</w:t>
      </w:r>
    </w:p>
    <w:p w14:paraId="37722234" w14:textId="77777777" w:rsidR="005C04D0" w:rsidRDefault="005C04D0" w:rsidP="005C04D0">
      <w:pPr>
        <w:rPr>
          <w:iCs/>
        </w:rPr>
      </w:pPr>
      <w:r>
        <w:rPr>
          <w:iCs/>
        </w:rPr>
        <w:t>The above parameters are defined as follows:</w:t>
      </w:r>
    </w:p>
    <w:tbl>
      <w:tblPr>
        <w:tblW w:w="9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71"/>
        <w:gridCol w:w="1691"/>
        <w:gridCol w:w="5854"/>
      </w:tblGrid>
      <w:tr w:rsidR="005C04D0" w:rsidRPr="00D74ADF" w14:paraId="6519A3F1" w14:textId="77777777" w:rsidTr="00A3430F">
        <w:trPr>
          <w:trHeight w:val="351"/>
          <w:tblHeader/>
        </w:trPr>
        <w:tc>
          <w:tcPr>
            <w:tcW w:w="1571" w:type="dxa"/>
          </w:tcPr>
          <w:p w14:paraId="30970134" w14:textId="77777777" w:rsidR="005C04D0" w:rsidRPr="00A8084A" w:rsidRDefault="005C04D0" w:rsidP="00A3430F">
            <w:pPr>
              <w:pStyle w:val="TableHead"/>
            </w:pPr>
            <w:r w:rsidRPr="00E10651">
              <w:t>Parameter</w:t>
            </w:r>
          </w:p>
        </w:tc>
        <w:tc>
          <w:tcPr>
            <w:tcW w:w="1691" w:type="dxa"/>
          </w:tcPr>
          <w:p w14:paraId="2C15F957" w14:textId="77777777" w:rsidR="005C04D0" w:rsidRPr="00A8084A" w:rsidRDefault="005C04D0" w:rsidP="00A3430F">
            <w:pPr>
              <w:pStyle w:val="TableHead"/>
            </w:pPr>
            <w:r w:rsidRPr="00A8084A">
              <w:t>Unit</w:t>
            </w:r>
          </w:p>
        </w:tc>
        <w:tc>
          <w:tcPr>
            <w:tcW w:w="5854" w:type="dxa"/>
          </w:tcPr>
          <w:p w14:paraId="620B4317" w14:textId="77777777" w:rsidR="005C04D0" w:rsidRPr="00A8084A" w:rsidRDefault="005C04D0" w:rsidP="00A3430F">
            <w:pPr>
              <w:pStyle w:val="TableHead"/>
            </w:pPr>
            <w:r w:rsidRPr="00A8084A">
              <w:t>Current Value*</w:t>
            </w:r>
          </w:p>
        </w:tc>
      </w:tr>
      <w:tr w:rsidR="005C04D0" w:rsidRPr="00D74ADF" w14:paraId="6C741235" w14:textId="77777777" w:rsidTr="00A3430F">
        <w:trPr>
          <w:trHeight w:val="404"/>
        </w:trPr>
        <w:tc>
          <w:tcPr>
            <w:tcW w:w="1571" w:type="dxa"/>
          </w:tcPr>
          <w:p w14:paraId="23B3458B" w14:textId="77777777" w:rsidR="005C04D0" w:rsidRPr="00A8084A" w:rsidRDefault="005C04D0" w:rsidP="00A3430F">
            <w:pPr>
              <w:pStyle w:val="TableBody"/>
              <w:rPr>
                <w:i/>
              </w:rPr>
            </w:pPr>
            <w:r w:rsidRPr="00E10651">
              <w:rPr>
                <w:i/>
              </w:rPr>
              <w:t>ACLIRF</w:t>
            </w:r>
          </w:p>
        </w:tc>
        <w:tc>
          <w:tcPr>
            <w:tcW w:w="1691" w:type="dxa"/>
          </w:tcPr>
          <w:p w14:paraId="2F7FBC0A" w14:textId="77777777" w:rsidR="005C04D0" w:rsidRPr="00A8084A" w:rsidRDefault="005C04D0" w:rsidP="00A3430F">
            <w:pPr>
              <w:pStyle w:val="TableBody"/>
            </w:pPr>
            <w:r w:rsidRPr="00A8084A">
              <w:t>Percentage</w:t>
            </w:r>
          </w:p>
        </w:tc>
        <w:tc>
          <w:tcPr>
            <w:tcW w:w="5854" w:type="dxa"/>
          </w:tcPr>
          <w:p w14:paraId="525D9D9B" w14:textId="77777777" w:rsidR="005C04D0" w:rsidRPr="00A8084A" w:rsidRDefault="005C04D0" w:rsidP="00A3430F">
            <w:pPr>
              <w:pStyle w:val="TableBody"/>
            </w:pPr>
            <w:r w:rsidRPr="000E0746">
              <w:t>10%</w:t>
            </w:r>
            <w:r>
              <w:rPr>
                <w:i/>
              </w:rPr>
              <w:t xml:space="preserve"> </w:t>
            </w:r>
            <w:r w:rsidRPr="000E0746">
              <w:rPr>
                <w:i/>
              </w:rPr>
              <w:t>—</w:t>
            </w:r>
            <w:r>
              <w:rPr>
                <w:i/>
              </w:rPr>
              <w:t xml:space="preserve"> </w:t>
            </w:r>
            <w:r w:rsidRPr="00182062">
              <w:rPr>
                <w:i/>
              </w:rPr>
              <w:t>ACL Incremental Risk Factor</w:t>
            </w:r>
            <w:r w:rsidRPr="00A8084A">
              <w:t>.</w:t>
            </w:r>
          </w:p>
        </w:tc>
      </w:tr>
      <w:tr w:rsidR="005C04D0" w:rsidRPr="00BE4766" w14:paraId="4FB619AC" w14:textId="77777777" w:rsidTr="00A3430F">
        <w:trPr>
          <w:trHeight w:val="519"/>
        </w:trPr>
        <w:tc>
          <w:tcPr>
            <w:tcW w:w="9116" w:type="dxa"/>
            <w:gridSpan w:val="3"/>
          </w:tcPr>
          <w:p w14:paraId="3BEB5F5C" w14:textId="77777777" w:rsidR="005C04D0" w:rsidRPr="00A8084A" w:rsidRDefault="005C04D0" w:rsidP="00A3430F">
            <w:pPr>
              <w:pStyle w:val="TableBody"/>
            </w:pPr>
            <w:r w:rsidRPr="00E10651">
              <w:t>*  The</w:t>
            </w:r>
            <w:r w:rsidRPr="00A8084A">
              <w:t xml:space="preserve"> current value for the parameters referenced in this table above will be recommended by TAC and approved by the ERCOT Board.  ERCOT shall update parameter values on the first day of the month following ERCOT Board approval unless otherwise directed by the ERCOT Board.  ERCOT shall provide a Market Notice prior to implementation of a revised parameter value.</w:t>
            </w:r>
          </w:p>
        </w:tc>
      </w:tr>
    </w:tbl>
    <w:p w14:paraId="1CE83C91" w14:textId="5BD3781F" w:rsidR="00F56ABB" w:rsidRDefault="00727E32" w:rsidP="00CB3ECD">
      <w:pPr>
        <w:pStyle w:val="H5"/>
        <w:spacing w:before="480"/>
        <w:ind w:left="1627" w:hanging="1627"/>
      </w:pPr>
      <w:bookmarkStart w:id="524" w:name="_Toc390438972"/>
      <w:bookmarkStart w:id="525" w:name="_Toc405897670"/>
      <w:bookmarkStart w:id="526" w:name="_Toc415055774"/>
      <w:bookmarkStart w:id="527" w:name="_Toc415055900"/>
      <w:bookmarkStart w:id="528" w:name="_Toc415055999"/>
      <w:bookmarkStart w:id="529" w:name="_Toc415056100"/>
      <w:bookmarkStart w:id="530" w:name="_Toc148960880"/>
      <w:r>
        <w:t>16.11.4.6.1</w:t>
      </w:r>
      <w:r>
        <w:tab/>
        <w:t>Credit Requirements for CRR Auction Participation</w:t>
      </w:r>
      <w:bookmarkEnd w:id="524"/>
      <w:bookmarkEnd w:id="525"/>
      <w:bookmarkEnd w:id="526"/>
      <w:bookmarkEnd w:id="527"/>
      <w:bookmarkEnd w:id="528"/>
      <w:bookmarkEnd w:id="529"/>
      <w:bookmarkEnd w:id="530"/>
    </w:p>
    <w:p w14:paraId="14683DFA" w14:textId="7DFCFE2C" w:rsidR="00FC1C5F" w:rsidRDefault="00891D7E">
      <w:pPr>
        <w:pStyle w:val="List"/>
        <w:ind w:left="720"/>
      </w:pPr>
      <w:r w:rsidRPr="002475CE">
        <w:rPr>
          <w:iCs/>
        </w:rPr>
        <w:t>(1)</w:t>
      </w:r>
      <w:r w:rsidRPr="002475CE">
        <w:rPr>
          <w:iCs/>
        </w:rPr>
        <w:tab/>
      </w:r>
      <w:r w:rsidR="00CB2A95" w:rsidRPr="00B07CBC">
        <w:rPr>
          <w:iCs/>
        </w:rPr>
        <w:t xml:space="preserve">As a requirement for participation in any CRR Auction, </w:t>
      </w:r>
      <w:r w:rsidR="00CB2A95">
        <w:rPr>
          <w:iCs/>
        </w:rPr>
        <w:t>e</w:t>
      </w:r>
      <w:r w:rsidRPr="002475CE">
        <w:rPr>
          <w:iCs/>
        </w:rPr>
        <w:t>ach Counter-Party participating in any CRR Auction, including those as permitted by Sections 16.11.6.1.4, Repossession of CRRs by ERCOT, and 16.11.6.1.5, Declaration of Forfeit of CRRs, shall communicate to ERCOT the credit limit it would like to establish for the CRR Auction prior to the close of the CRR bid submission window.</w:t>
      </w:r>
      <w:r w:rsidR="00727E32" w:rsidRPr="00891D7E">
        <w:t xml:space="preserve"> </w:t>
      </w:r>
    </w:p>
    <w:p w14:paraId="0B3C616F" w14:textId="77777777" w:rsidR="009F0904" w:rsidRPr="00891D7E" w:rsidRDefault="009F0904" w:rsidP="00AC6018">
      <w:pPr>
        <w:pStyle w:val="List"/>
        <w:ind w:left="720"/>
      </w:pPr>
      <w:r>
        <w:rPr>
          <w:iCs/>
        </w:rPr>
        <w:t>(2)</w:t>
      </w:r>
      <w:r>
        <w:rPr>
          <w:iCs/>
        </w:rPr>
        <w:tab/>
        <w:t>Consistent with paragraph (4)(c)(ii) of Section 7.5.1, Nature and Timing, ERCOT shall only modify the credit limit date in paragraph (1) above under a condition in which an ERCOT computer system failure causes Counter-Parties to be delayed or unable in submitting their credit limits for the CRR Auction and ERCOT determines that the successful execution of the CRR Auction would be jeopardized without such modification.</w:t>
      </w:r>
      <w:r w:rsidRPr="00891D7E">
        <w:t xml:space="preserve"> </w:t>
      </w:r>
      <w:r>
        <w:t xml:space="preserve"> </w:t>
      </w:r>
      <w:r>
        <w:rPr>
          <w:iCs/>
        </w:rPr>
        <w:t>In such an event, ERCOT will issue a Market Notice advising of the revised credit limit date and its cause.</w:t>
      </w:r>
    </w:p>
    <w:p w14:paraId="077C9A85" w14:textId="77777777" w:rsidR="00CB2A95" w:rsidRPr="00496C32" w:rsidRDefault="00AA6D6D" w:rsidP="00CB2A95">
      <w:pPr>
        <w:pStyle w:val="BodyTextNumbered"/>
      </w:pPr>
      <w:r w:rsidRPr="00DD1960">
        <w:rPr>
          <w:iCs w:val="0"/>
        </w:rPr>
        <w:lastRenderedPageBreak/>
        <w:t>(</w:t>
      </w:r>
      <w:r w:rsidR="009F0904">
        <w:rPr>
          <w:iCs w:val="0"/>
        </w:rPr>
        <w:t>3</w:t>
      </w:r>
      <w:r w:rsidRPr="00DD1960">
        <w:rPr>
          <w:iCs w:val="0"/>
        </w:rPr>
        <w:t>)</w:t>
      </w:r>
      <w:r w:rsidRPr="00DD1960">
        <w:rPr>
          <w:iCs w:val="0"/>
        </w:rPr>
        <w:tab/>
      </w:r>
      <w:r w:rsidR="00CB2A95" w:rsidRPr="00496C32">
        <w:t>ERCOT shall assign the ACL locked for CRR Auction for each Counter-Party participating in any CRR Auction as the lower of the Counter-Party’s:</w:t>
      </w:r>
    </w:p>
    <w:p w14:paraId="524082A2" w14:textId="77777777" w:rsidR="00CB2A95" w:rsidRPr="00496C32" w:rsidRDefault="00CB2A95" w:rsidP="00CB2A95">
      <w:pPr>
        <w:pStyle w:val="BodyText"/>
        <w:ind w:left="1440" w:hanging="720"/>
      </w:pPr>
      <w:r w:rsidRPr="00496C32">
        <w:t>(a)</w:t>
      </w:r>
      <w:r w:rsidRPr="00496C32">
        <w:tab/>
        <w:t>Requested credit limit, as described in</w:t>
      </w:r>
      <w:r>
        <w:t xml:space="preserve"> paragraph (1) above;</w:t>
      </w:r>
      <w:r w:rsidRPr="00496C32">
        <w:t xml:space="preserve"> </w:t>
      </w:r>
    </w:p>
    <w:p w14:paraId="0FE06209" w14:textId="77777777" w:rsidR="00CB2A95" w:rsidRPr="00496C32" w:rsidRDefault="00CB2A95" w:rsidP="00CB2A95">
      <w:pPr>
        <w:pStyle w:val="BodyText"/>
        <w:ind w:left="1440" w:hanging="720"/>
      </w:pPr>
      <w:r w:rsidRPr="00496C32">
        <w:t>(b)</w:t>
      </w:r>
      <w:r w:rsidRPr="00496C32">
        <w:tab/>
        <w:t>ACLC, calculated in accordance with paragraph (1)(a) of Section 16.11.4.6, Determination of Counter-Party Available Credit Limits, at the time of the closure o</w:t>
      </w:r>
      <w:r>
        <w:t>f the CRR bid submission window;</w:t>
      </w:r>
      <w:r w:rsidRPr="00496C32">
        <w:t xml:space="preserve"> or</w:t>
      </w:r>
    </w:p>
    <w:p w14:paraId="2672A336" w14:textId="1569AA8E" w:rsidR="00FC1C5F" w:rsidRDefault="00CB2A95" w:rsidP="00AC6018">
      <w:pPr>
        <w:pStyle w:val="BodyText"/>
        <w:ind w:left="1440" w:hanging="720"/>
        <w:rPr>
          <w:iCs w:val="0"/>
        </w:rPr>
      </w:pPr>
      <w:r w:rsidRPr="00496C32">
        <w:t>(c)</w:t>
      </w:r>
      <w:r w:rsidRPr="00496C32">
        <w:tab/>
        <w:t>Pre-auction screening credit exposure amount, calculated in accordance with paragraph (2) of Section 7.5.5.3, Auction Process.</w:t>
      </w:r>
      <w:r w:rsidR="00AA6D6D" w:rsidRPr="00DD1960">
        <w:rPr>
          <w:iCs w:val="0"/>
        </w:rPr>
        <w:t xml:space="preserve"> </w:t>
      </w:r>
    </w:p>
    <w:p w14:paraId="51D8B995" w14:textId="11C0BD4A" w:rsidR="00F56ABB" w:rsidRDefault="00727E32" w:rsidP="00AC6018">
      <w:pPr>
        <w:pStyle w:val="BodyTextNumbered"/>
      </w:pPr>
      <w:r>
        <w:t>(</w:t>
      </w:r>
      <w:r w:rsidR="009F0904">
        <w:t>4</w:t>
      </w:r>
      <w:r>
        <w:t>)</w:t>
      </w:r>
      <w:r>
        <w:tab/>
        <w:t xml:space="preserve">ERCOT shall impose a credit limit in awarding bids and offers in the CRR Auction as described in Section 7.5.5.3. </w:t>
      </w:r>
    </w:p>
    <w:p w14:paraId="02547C73" w14:textId="77777777" w:rsidR="00FC1C5F" w:rsidRDefault="00727E32">
      <w:pPr>
        <w:pStyle w:val="H5"/>
      </w:pPr>
      <w:bookmarkStart w:id="531" w:name="_Toc390438973"/>
      <w:bookmarkStart w:id="532" w:name="_Toc405897671"/>
      <w:bookmarkStart w:id="533" w:name="_Toc415055775"/>
      <w:bookmarkStart w:id="534" w:name="_Toc415055901"/>
      <w:bookmarkStart w:id="535" w:name="_Toc415056000"/>
      <w:bookmarkStart w:id="536" w:name="_Toc415056101"/>
      <w:bookmarkStart w:id="537" w:name="_Toc148960881"/>
      <w:r>
        <w:t>16.11.4.6.2</w:t>
      </w:r>
      <w:r>
        <w:tab/>
        <w:t>Credit Requirements for DAM Participation</w:t>
      </w:r>
      <w:bookmarkEnd w:id="531"/>
      <w:bookmarkEnd w:id="532"/>
      <w:bookmarkEnd w:id="533"/>
      <w:bookmarkEnd w:id="534"/>
      <w:bookmarkEnd w:id="535"/>
      <w:bookmarkEnd w:id="536"/>
      <w:bookmarkEnd w:id="537"/>
    </w:p>
    <w:p w14:paraId="7E36E9CB" w14:textId="77777777" w:rsidR="00FC1C5F" w:rsidRPr="00AA6D6D" w:rsidRDefault="00AA6D6D">
      <w:pPr>
        <w:autoSpaceDE w:val="0"/>
        <w:autoSpaceDN w:val="0"/>
        <w:adjustRightInd w:val="0"/>
        <w:spacing w:after="240"/>
        <w:ind w:left="720" w:hanging="720"/>
        <w:rPr>
          <w:color w:val="000000"/>
        </w:rPr>
      </w:pPr>
      <w:r w:rsidRPr="00DD1960">
        <w:rPr>
          <w:iCs/>
          <w:color w:val="000000"/>
        </w:rPr>
        <w:t>(1)</w:t>
      </w:r>
      <w:r w:rsidRPr="00DD1960">
        <w:rPr>
          <w:iCs/>
          <w:color w:val="000000"/>
        </w:rPr>
        <w:tab/>
      </w:r>
      <w:r w:rsidR="00C84EA9" w:rsidRPr="00D75412">
        <w:rPr>
          <w:iCs/>
          <w:color w:val="000000"/>
        </w:rPr>
        <w:t xml:space="preserve">ERCOT shall impose a credit limit </w:t>
      </w:r>
      <w:r w:rsidR="00C84EA9">
        <w:rPr>
          <w:iCs/>
          <w:color w:val="000000"/>
        </w:rPr>
        <w:t xml:space="preserve">of the ACLD </w:t>
      </w:r>
      <w:r w:rsidR="00C84EA9" w:rsidRPr="00D75412">
        <w:rPr>
          <w:iCs/>
          <w:color w:val="000000"/>
        </w:rPr>
        <w:t>on each Counter-Party participating in the DAM.</w:t>
      </w:r>
    </w:p>
    <w:p w14:paraId="1BB3FC6C" w14:textId="77777777" w:rsidR="00F56ABB" w:rsidRDefault="00727E32" w:rsidP="004C4936">
      <w:pPr>
        <w:autoSpaceDE w:val="0"/>
        <w:autoSpaceDN w:val="0"/>
        <w:adjustRightInd w:val="0"/>
        <w:spacing w:after="240"/>
        <w:ind w:left="720" w:hanging="720"/>
        <w:rPr>
          <w:color w:val="000000"/>
        </w:rPr>
      </w:pPr>
      <w:r>
        <w:rPr>
          <w:color w:val="000000"/>
        </w:rPr>
        <w:t>(2)</w:t>
      </w:r>
      <w:r>
        <w:rPr>
          <w:color w:val="000000"/>
        </w:rPr>
        <w:tab/>
        <w:t xml:space="preserve">ERCOT shall impose the credit limit for DAM participation calculated in </w:t>
      </w:r>
      <w:r w:rsidR="00D54104">
        <w:rPr>
          <w:color w:val="000000"/>
        </w:rPr>
        <w:t xml:space="preserve">paragraph </w:t>
      </w:r>
      <w:r>
        <w:rPr>
          <w:color w:val="000000"/>
        </w:rPr>
        <w:t>(1) above on the Counter-Party’s QSEs and all Subordinate QSEs combined participation in the DAM as described in Section 4.4.10, Credit Requirement for DAM Bids and Offers.</w:t>
      </w:r>
    </w:p>
    <w:p w14:paraId="62E78663" w14:textId="77777777" w:rsidR="00727575" w:rsidRDefault="00727575">
      <w:pPr>
        <w:autoSpaceDE w:val="0"/>
        <w:autoSpaceDN w:val="0"/>
        <w:adjustRightInd w:val="0"/>
        <w:spacing w:after="240"/>
        <w:ind w:left="720" w:hanging="720"/>
        <w:rPr>
          <w:color w:val="000000"/>
        </w:rPr>
      </w:pPr>
      <w:r>
        <w:rPr>
          <w:color w:val="000000"/>
        </w:rPr>
        <w:t>(3)</w:t>
      </w:r>
      <w:r>
        <w:rPr>
          <w:color w:val="000000"/>
        </w:rPr>
        <w:tab/>
        <w:t>A new credit limit will be sent to each Counter-Party participating in the DAM daily.</w:t>
      </w:r>
    </w:p>
    <w:p w14:paraId="671B64EC" w14:textId="77777777" w:rsidR="00FC1C5F" w:rsidRPr="00D63F95" w:rsidRDefault="00727E32" w:rsidP="004A233E">
      <w:pPr>
        <w:pStyle w:val="H4"/>
        <w:ind w:left="1267" w:hanging="1267"/>
        <w:rPr>
          <w:b/>
          <w:szCs w:val="24"/>
        </w:rPr>
      </w:pPr>
      <w:bookmarkStart w:id="538" w:name="_Toc191443421"/>
      <w:bookmarkStart w:id="539" w:name="_Toc390438974"/>
      <w:bookmarkStart w:id="540" w:name="_Toc405897672"/>
      <w:bookmarkStart w:id="541" w:name="_Toc415055776"/>
      <w:bookmarkStart w:id="542" w:name="_Toc415055902"/>
      <w:bookmarkStart w:id="543" w:name="_Toc415056001"/>
      <w:bookmarkStart w:id="544" w:name="_Toc415056102"/>
      <w:bookmarkStart w:id="545" w:name="_Toc148960882"/>
      <w:r w:rsidRPr="00D63F95">
        <w:rPr>
          <w:b/>
          <w:szCs w:val="24"/>
        </w:rPr>
        <w:t>16.11.4.7</w:t>
      </w:r>
      <w:r w:rsidRPr="00D63F95">
        <w:rPr>
          <w:b/>
          <w:szCs w:val="24"/>
        </w:rPr>
        <w:tab/>
      </w:r>
      <w:bookmarkEnd w:id="538"/>
      <w:r w:rsidRPr="00D63F95">
        <w:rPr>
          <w:b/>
          <w:szCs w:val="24"/>
        </w:rPr>
        <w:t>Credit Monitoring and Management Reports</w:t>
      </w:r>
      <w:bookmarkEnd w:id="539"/>
      <w:bookmarkEnd w:id="540"/>
      <w:bookmarkEnd w:id="541"/>
      <w:bookmarkEnd w:id="542"/>
      <w:bookmarkEnd w:id="543"/>
      <w:bookmarkEnd w:id="544"/>
      <w:bookmarkEnd w:id="545"/>
    </w:p>
    <w:p w14:paraId="20FB8D39" w14:textId="0D369B45" w:rsidR="005610DA" w:rsidRDefault="005610DA" w:rsidP="005610DA">
      <w:pPr>
        <w:autoSpaceDE w:val="0"/>
        <w:autoSpaceDN w:val="0"/>
        <w:adjustRightInd w:val="0"/>
        <w:spacing w:after="240"/>
        <w:ind w:left="720" w:hanging="720"/>
        <w:rPr>
          <w:szCs w:val="24"/>
        </w:rPr>
      </w:pPr>
      <w:bookmarkStart w:id="546" w:name="_Toc390438975"/>
      <w:bookmarkStart w:id="547" w:name="_Toc405897673"/>
      <w:bookmarkStart w:id="548" w:name="_Toc415055777"/>
      <w:bookmarkStart w:id="549" w:name="_Toc415055903"/>
      <w:bookmarkStart w:id="550" w:name="_Toc415056002"/>
      <w:bookmarkStart w:id="551" w:name="_Toc415056103"/>
      <w:r>
        <w:rPr>
          <w:szCs w:val="24"/>
        </w:rPr>
        <w:t>(1)</w:t>
      </w:r>
      <w:r>
        <w:rPr>
          <w:szCs w:val="24"/>
        </w:rPr>
        <w:tab/>
      </w:r>
      <w:r>
        <w:rPr>
          <w:color w:val="000000"/>
        </w:rPr>
        <w:t>ERCOT</w:t>
      </w:r>
      <w:r>
        <w:rPr>
          <w:szCs w:val="24"/>
        </w:rPr>
        <w:t xml:space="preserve"> shall post twice each Business Day on the Market Information System (MIS) Certified Area each active Counter-Party’s credit monitoring and management related reports as listed below.  The first posting shall be made by 1200 and the second posting shall be made as close as reasonably possible to the close of the Business Day but no later than 2350.  </w:t>
      </w:r>
      <w:r w:rsidRPr="00CB72C4">
        <w:t xml:space="preserve">The reports listed in </w:t>
      </w:r>
      <w:r>
        <w:t xml:space="preserve">items </w:t>
      </w:r>
      <w:r w:rsidRPr="00CB72C4">
        <w:t>(</w:t>
      </w:r>
      <w:r>
        <w:t>f</w:t>
      </w:r>
      <w:r w:rsidRPr="00CB72C4">
        <w:t>)</w:t>
      </w:r>
      <w:r>
        <w:t xml:space="preserve"> and</w:t>
      </w:r>
      <w:r w:rsidRPr="00CB72C4">
        <w:t xml:space="preserve"> (</w:t>
      </w:r>
      <w:r>
        <w:t>g</w:t>
      </w:r>
      <w:r w:rsidRPr="00CB72C4">
        <w:t>)</w:t>
      </w:r>
      <w:r>
        <w:t xml:space="preserve"> below</w:t>
      </w:r>
      <w:r w:rsidRPr="00CB72C4">
        <w:t xml:space="preserve"> are not required to be included in both first and second posting if the Counter-Party has no active CRR ownership.</w:t>
      </w:r>
      <w:r w:rsidRPr="00C24D19">
        <w:t xml:space="preserve"> The reports listed in </w:t>
      </w:r>
      <w:r>
        <w:t xml:space="preserve">items </w:t>
      </w:r>
      <w:r w:rsidRPr="00C24D19">
        <w:t xml:space="preserve">(c), (d), (e), (f), </w:t>
      </w:r>
      <w:r>
        <w:t xml:space="preserve">and </w:t>
      </w:r>
      <w:r w:rsidRPr="00C24D19">
        <w:t>(g) below are not required to be included in the second post if there are no changes to the underlying data.</w:t>
      </w:r>
      <w:r>
        <w:rPr>
          <w:szCs w:val="24"/>
        </w:rPr>
        <w:t xml:space="preserve">  ERCOT shall post one set of these reports on the MIS Certified Area on each non-Business Day for which an ACL is sent.</w:t>
      </w:r>
    </w:p>
    <w:p w14:paraId="6D65953A" w14:textId="77777777" w:rsidR="005610DA" w:rsidRDefault="005610DA" w:rsidP="005610DA">
      <w:pPr>
        <w:pStyle w:val="BodyText"/>
        <w:ind w:left="1440" w:hanging="720"/>
      </w:pPr>
      <w:r>
        <w:rPr>
          <w:bCs/>
        </w:rPr>
        <w:t>(a)</w:t>
      </w:r>
      <w:r>
        <w:rPr>
          <w:bCs/>
        </w:rPr>
        <w:tab/>
        <w:t>Available Credit Limit (ACL) Summary Report;</w:t>
      </w:r>
    </w:p>
    <w:p w14:paraId="6D1AC3E2" w14:textId="77777777" w:rsidR="005610DA" w:rsidRDefault="005610DA" w:rsidP="005610DA">
      <w:pPr>
        <w:pStyle w:val="BodyText"/>
        <w:ind w:left="1440" w:hanging="720"/>
        <w:rPr>
          <w:bCs/>
        </w:rPr>
      </w:pPr>
      <w:r>
        <w:t>(b)</w:t>
      </w:r>
      <w:r>
        <w:tab/>
        <w:t>Total</w:t>
      </w:r>
      <w:r>
        <w:rPr>
          <w:bCs/>
        </w:rPr>
        <w:t xml:space="preserve"> Potential Exposure (TPE) Summary Report;</w:t>
      </w:r>
    </w:p>
    <w:p w14:paraId="36D9B202" w14:textId="77777777" w:rsidR="005610DA" w:rsidRDefault="005610DA" w:rsidP="005610DA">
      <w:pPr>
        <w:pStyle w:val="BodyText"/>
        <w:ind w:left="1440" w:hanging="720"/>
      </w:pPr>
      <w:r>
        <w:rPr>
          <w:bCs/>
        </w:rPr>
        <w:t>(c)</w:t>
      </w:r>
      <w:r>
        <w:rPr>
          <w:bCs/>
        </w:rPr>
        <w:tab/>
        <w:t>Minimum Current Exposure (MCE) Summary Report;</w:t>
      </w:r>
    </w:p>
    <w:p w14:paraId="588EC8C6" w14:textId="77777777" w:rsidR="005610DA" w:rsidRDefault="005610DA" w:rsidP="005610DA">
      <w:pPr>
        <w:pStyle w:val="BodyText"/>
        <w:ind w:left="1440" w:hanging="720"/>
      </w:pPr>
      <w:r>
        <w:t>(d)</w:t>
      </w:r>
      <w:r>
        <w:tab/>
        <w:t>Estimate Aggregate Liability (EAL) Summary Report;</w:t>
      </w:r>
    </w:p>
    <w:p w14:paraId="78B929CB" w14:textId="77777777" w:rsidR="005610DA" w:rsidRDefault="005610DA" w:rsidP="005610DA">
      <w:pPr>
        <w:pStyle w:val="BodyText"/>
        <w:ind w:left="1440" w:hanging="720"/>
      </w:pPr>
      <w:r>
        <w:lastRenderedPageBreak/>
        <w:t>(e)</w:t>
      </w:r>
      <w:r>
        <w:tab/>
        <w:t>Estimated Aggregate Liability (EAL) Detail Report;</w:t>
      </w:r>
    </w:p>
    <w:p w14:paraId="3C0F8279" w14:textId="77777777" w:rsidR="00B8113A" w:rsidRDefault="00B8113A" w:rsidP="00B8113A">
      <w:pPr>
        <w:pStyle w:val="BodyText"/>
        <w:ind w:left="1440" w:hanging="720"/>
      </w:pPr>
      <w:r>
        <w:t>(f)</w:t>
      </w:r>
      <w:r>
        <w:tab/>
        <w:t>Future Credit Exposure for CRR PTP Obligations (FCEOBL) Summary Report; and</w:t>
      </w:r>
    </w:p>
    <w:p w14:paraId="3A0D31AD" w14:textId="77777777" w:rsidR="00B8113A" w:rsidRDefault="00B8113A" w:rsidP="00B8113A">
      <w:pPr>
        <w:pStyle w:val="BodyText"/>
        <w:ind w:left="1440" w:hanging="720"/>
      </w:pPr>
      <w:r>
        <w:t>(g)</w:t>
      </w:r>
      <w:r>
        <w:tab/>
        <w:t>Future Credit Exposure for CRR PTP Options (FCEOPT) Summary Report.</w:t>
      </w:r>
    </w:p>
    <w:tbl>
      <w:tblPr>
        <w:tblW w:w="93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60"/>
      </w:tblGrid>
      <w:tr w:rsidR="00B8113A" w:rsidRPr="00ED3498" w14:paraId="7C356D6E" w14:textId="77777777" w:rsidTr="008115B2">
        <w:tc>
          <w:tcPr>
            <w:tcW w:w="9360" w:type="dxa"/>
            <w:tcBorders>
              <w:top w:val="single" w:sz="4" w:space="0" w:color="auto"/>
              <w:left w:val="single" w:sz="4" w:space="0" w:color="auto"/>
              <w:bottom w:val="single" w:sz="4" w:space="0" w:color="auto"/>
              <w:right w:val="single" w:sz="4" w:space="0" w:color="auto"/>
            </w:tcBorders>
            <w:shd w:val="pct12" w:color="auto" w:fill="auto"/>
            <w:hideMark/>
          </w:tcPr>
          <w:p w14:paraId="27378BE5" w14:textId="77777777" w:rsidR="00B8113A" w:rsidRPr="00ED3498" w:rsidRDefault="00B8113A" w:rsidP="00080AA8">
            <w:pPr>
              <w:spacing w:before="120" w:after="240"/>
              <w:rPr>
                <w:b/>
                <w:i/>
              </w:rPr>
            </w:pPr>
            <w:r w:rsidRPr="00ED3498">
              <w:rPr>
                <w:b/>
                <w:i/>
                <w:iCs/>
              </w:rPr>
              <w:t>[NPRR</w:t>
            </w:r>
            <w:r>
              <w:rPr>
                <w:b/>
                <w:i/>
                <w:iCs/>
              </w:rPr>
              <w:t>1103</w:t>
            </w:r>
            <w:r w:rsidRPr="00ED3498">
              <w:rPr>
                <w:b/>
                <w:i/>
                <w:iCs/>
              </w:rPr>
              <w:t xml:space="preserve">:  Insert item (h) below upon system implementation:] </w:t>
            </w:r>
          </w:p>
          <w:p w14:paraId="18FEA610" w14:textId="77777777" w:rsidR="00B8113A" w:rsidRPr="00ED3498" w:rsidRDefault="00B8113A" w:rsidP="00080AA8">
            <w:pPr>
              <w:spacing w:after="240"/>
              <w:ind w:left="1440" w:hanging="720"/>
            </w:pPr>
            <w:r w:rsidRPr="00ED3498">
              <w:t>(h)</w:t>
            </w:r>
            <w:r w:rsidRPr="00ED3498">
              <w:tab/>
              <w:t>Securitization Credit Exposure Report.</w:t>
            </w:r>
          </w:p>
        </w:tc>
      </w:tr>
    </w:tbl>
    <w:p w14:paraId="275C68A8" w14:textId="77777777" w:rsidR="008115B2" w:rsidRDefault="008115B2" w:rsidP="008115B2">
      <w:pPr>
        <w:autoSpaceDE w:val="0"/>
        <w:autoSpaceDN w:val="0"/>
        <w:adjustRightInd w:val="0"/>
        <w:ind w:left="720" w:hanging="720"/>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8115B2" w14:paraId="44209A73" w14:textId="77777777" w:rsidTr="00113426">
        <w:tc>
          <w:tcPr>
            <w:tcW w:w="9332" w:type="dxa"/>
            <w:shd w:val="pct12" w:color="auto" w:fill="auto"/>
          </w:tcPr>
          <w:p w14:paraId="5FBDF200" w14:textId="0D245787" w:rsidR="008115B2" w:rsidRPr="0002450E" w:rsidRDefault="008115B2" w:rsidP="00113426">
            <w:pPr>
              <w:pStyle w:val="Instructions"/>
              <w:spacing w:before="120"/>
              <w:rPr>
                <w:iCs/>
              </w:rPr>
            </w:pPr>
            <w:r>
              <w:rPr>
                <w:iCs/>
              </w:rPr>
              <w:t>[NPRR1184</w:t>
            </w:r>
            <w:r w:rsidRPr="0002450E">
              <w:rPr>
                <w:iCs/>
              </w:rPr>
              <w:t xml:space="preserve">:  </w:t>
            </w:r>
            <w:r>
              <w:rPr>
                <w:iCs/>
              </w:rPr>
              <w:t>Insert</w:t>
            </w:r>
            <w:r w:rsidRPr="0002450E">
              <w:rPr>
                <w:iCs/>
              </w:rPr>
              <w:t xml:space="preserve"> </w:t>
            </w:r>
            <w:r>
              <w:rPr>
                <w:iCs/>
              </w:rPr>
              <w:t>paragraph (2) below</w:t>
            </w:r>
            <w:r w:rsidRPr="0002450E">
              <w:rPr>
                <w:iCs/>
              </w:rPr>
              <w:t xml:space="preserve"> upon system implementation</w:t>
            </w:r>
            <w:r>
              <w:rPr>
                <w:iCs/>
              </w:rPr>
              <w:t xml:space="preserve"> and renumber accordingly</w:t>
            </w:r>
            <w:r w:rsidRPr="0002450E">
              <w:rPr>
                <w:iCs/>
              </w:rPr>
              <w:t xml:space="preserve">:] </w:t>
            </w:r>
          </w:p>
          <w:p w14:paraId="4F8C52C3" w14:textId="77777777" w:rsidR="008115B2" w:rsidRPr="002A0C70" w:rsidRDefault="008115B2" w:rsidP="008115B2">
            <w:pPr>
              <w:autoSpaceDE w:val="0"/>
              <w:autoSpaceDN w:val="0"/>
              <w:adjustRightInd w:val="0"/>
              <w:spacing w:after="240"/>
              <w:ind w:left="720" w:hanging="720"/>
              <w:rPr>
                <w:bCs/>
                <w:snapToGrid w:val="0"/>
              </w:rPr>
            </w:pPr>
            <w:r w:rsidRPr="002A0C70">
              <w:rPr>
                <w:bCs/>
                <w:snapToGrid w:val="0"/>
              </w:rPr>
              <w:t>(2)</w:t>
            </w:r>
            <w:r w:rsidRPr="002A0C70">
              <w:rPr>
                <w:bCs/>
                <w:snapToGrid w:val="0"/>
              </w:rPr>
              <w:tab/>
              <w:t xml:space="preserve">ERCOT shall post, no later than </w:t>
            </w:r>
            <w:r>
              <w:rPr>
                <w:bCs/>
                <w:snapToGrid w:val="0"/>
              </w:rPr>
              <w:t xml:space="preserve">the </w:t>
            </w:r>
            <w:r w:rsidRPr="002A0C70">
              <w:rPr>
                <w:bCs/>
                <w:snapToGrid w:val="0"/>
              </w:rPr>
              <w:t>15</w:t>
            </w:r>
            <w:r w:rsidRPr="00694D6B">
              <w:rPr>
                <w:bCs/>
                <w:snapToGrid w:val="0"/>
              </w:rPr>
              <w:t>th</w:t>
            </w:r>
            <w:r>
              <w:rPr>
                <w:bCs/>
                <w:snapToGrid w:val="0"/>
              </w:rPr>
              <w:t xml:space="preserve"> Bank Business</w:t>
            </w:r>
            <w:r w:rsidRPr="002A0C70">
              <w:rPr>
                <w:bCs/>
                <w:snapToGrid w:val="0"/>
              </w:rPr>
              <w:t xml:space="preserve"> </w:t>
            </w:r>
            <w:r>
              <w:rPr>
                <w:bCs/>
                <w:snapToGrid w:val="0"/>
              </w:rPr>
              <w:t>D</w:t>
            </w:r>
            <w:r w:rsidRPr="002A0C70">
              <w:rPr>
                <w:bCs/>
                <w:snapToGrid w:val="0"/>
              </w:rPr>
              <w:t>ay of each</w:t>
            </w:r>
            <w:r>
              <w:rPr>
                <w:bCs/>
                <w:snapToGrid w:val="0"/>
              </w:rPr>
              <w:t xml:space="preserve"> month</w:t>
            </w:r>
            <w:r w:rsidRPr="002A0C70">
              <w:rPr>
                <w:bCs/>
                <w:snapToGrid w:val="0"/>
              </w:rPr>
              <w:t xml:space="preserve">, the following </w:t>
            </w:r>
            <w:r w:rsidRPr="002A0C70">
              <w:t>reports</w:t>
            </w:r>
            <w:r w:rsidRPr="002A0C70">
              <w:rPr>
                <w:bCs/>
                <w:snapToGrid w:val="0"/>
              </w:rPr>
              <w:t xml:space="preserve"> on the MIS Certified Area for each active Counter-Party:</w:t>
            </w:r>
          </w:p>
          <w:p w14:paraId="554FE119" w14:textId="77777777" w:rsidR="008115B2" w:rsidRPr="002A0C70" w:rsidRDefault="008115B2" w:rsidP="008115B2">
            <w:pPr>
              <w:spacing w:after="240"/>
              <w:ind w:left="1440" w:hanging="720"/>
            </w:pPr>
            <w:r w:rsidRPr="002A0C70">
              <w:t>(a)</w:t>
            </w:r>
            <w:r w:rsidRPr="002A0C70">
              <w:tab/>
              <w:t>Monthly Collateral and Interest Report; and</w:t>
            </w:r>
          </w:p>
          <w:p w14:paraId="72B27ADE" w14:textId="70B59514" w:rsidR="008115B2" w:rsidRPr="002D6ABD" w:rsidRDefault="008115B2" w:rsidP="008115B2">
            <w:pPr>
              <w:spacing w:after="240"/>
              <w:ind w:left="1440" w:hanging="720"/>
            </w:pPr>
            <w:r w:rsidRPr="002A0C70">
              <w:t>(b)</w:t>
            </w:r>
            <w:r w:rsidRPr="002A0C70">
              <w:tab/>
              <w:t>Annual Collateral and Interest Report.</w:t>
            </w:r>
          </w:p>
        </w:tc>
      </w:tr>
    </w:tbl>
    <w:p w14:paraId="6F76BA13" w14:textId="77777777" w:rsidR="008115B2" w:rsidRDefault="00B8113A" w:rsidP="00B8113A">
      <w:pPr>
        <w:autoSpaceDE w:val="0"/>
        <w:autoSpaceDN w:val="0"/>
        <w:adjustRightInd w:val="0"/>
        <w:spacing w:before="240" w:after="240"/>
        <w:ind w:left="720" w:hanging="720"/>
      </w:pPr>
      <w:r>
        <w:t>(2)</w:t>
      </w:r>
      <w:r>
        <w:tab/>
        <w:t>The reports listed in paragraph (1) above will be posted to the MIS Certified Area in Portable Document File (PDF) format and Microsoft Excel (XLS) format.  There shall be a provision to “open”, “save” and “print” each report.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8115B2" w14:paraId="4FC35AB2" w14:textId="77777777" w:rsidTr="00113426">
        <w:tc>
          <w:tcPr>
            <w:tcW w:w="9332" w:type="dxa"/>
            <w:shd w:val="pct12" w:color="auto" w:fill="auto"/>
          </w:tcPr>
          <w:p w14:paraId="38CD5766" w14:textId="653A4416" w:rsidR="008115B2" w:rsidRPr="0002450E" w:rsidRDefault="008115B2" w:rsidP="00113426">
            <w:pPr>
              <w:pStyle w:val="Instructions"/>
              <w:spacing w:before="120"/>
              <w:rPr>
                <w:iCs/>
              </w:rPr>
            </w:pPr>
            <w:r>
              <w:rPr>
                <w:iCs/>
              </w:rPr>
              <w:t>[NPRR1184</w:t>
            </w:r>
            <w:r w:rsidRPr="0002450E">
              <w:rPr>
                <w:iCs/>
              </w:rPr>
              <w:t xml:space="preserve">:  </w:t>
            </w:r>
            <w:r w:rsidR="00301E78">
              <w:rPr>
                <w:iCs/>
              </w:rPr>
              <w:t>Replace</w:t>
            </w:r>
            <w:r w:rsidRPr="0002450E">
              <w:rPr>
                <w:iCs/>
              </w:rPr>
              <w:t xml:space="preserve"> </w:t>
            </w:r>
            <w:r>
              <w:rPr>
                <w:iCs/>
              </w:rPr>
              <w:t>paragraph (2) above with the following</w:t>
            </w:r>
            <w:r w:rsidRPr="0002450E">
              <w:rPr>
                <w:iCs/>
              </w:rPr>
              <w:t xml:space="preserve"> upon system implementation:] </w:t>
            </w:r>
          </w:p>
          <w:p w14:paraId="15B805CE" w14:textId="6D8AE03D" w:rsidR="008115B2" w:rsidRPr="002D6ABD" w:rsidRDefault="008115B2" w:rsidP="008115B2">
            <w:pPr>
              <w:autoSpaceDE w:val="0"/>
              <w:autoSpaceDN w:val="0"/>
              <w:adjustRightInd w:val="0"/>
              <w:spacing w:after="240"/>
              <w:ind w:left="720" w:hanging="720"/>
            </w:pPr>
            <w:r w:rsidRPr="002A0C70">
              <w:t>(</w:t>
            </w:r>
            <w:r>
              <w:t>3</w:t>
            </w:r>
            <w:r w:rsidRPr="002A0C70">
              <w:t>)</w:t>
            </w:r>
            <w:r w:rsidRPr="002A0C70">
              <w:tab/>
              <w:t>The reports listed in paragraph</w:t>
            </w:r>
            <w:r>
              <w:t>s</w:t>
            </w:r>
            <w:r w:rsidRPr="002A0C70">
              <w:t xml:space="preserve"> (1)</w:t>
            </w:r>
            <w:r>
              <w:t xml:space="preserve"> and (2)</w:t>
            </w:r>
            <w:r w:rsidRPr="002A0C70">
              <w:t xml:space="preserve"> above </w:t>
            </w:r>
            <w:r>
              <w:t>shall</w:t>
            </w:r>
            <w:r w:rsidRPr="002A0C70">
              <w:t xml:space="preserve"> be posted to the MIS Certified Area in Portable Document File (PDF) format and Microsoft Excel (XLS) format.  There shall be a provision to “open”, “save” and “print” each report.</w:t>
            </w:r>
          </w:p>
        </w:tc>
      </w:tr>
    </w:tbl>
    <w:p w14:paraId="5309A2BC" w14:textId="77777777" w:rsidR="00FC1C5F" w:rsidRDefault="00727E32" w:rsidP="008115B2">
      <w:pPr>
        <w:pStyle w:val="H3"/>
        <w:spacing w:before="480"/>
        <w:ind w:left="0" w:firstLine="0"/>
      </w:pPr>
      <w:bookmarkStart w:id="552" w:name="_Toc148960883"/>
      <w:r>
        <w:t>16.11.5</w:t>
      </w:r>
      <w:r>
        <w:tab/>
        <w:t>Monitoring of a Counter-Party’s Creditworthiness and Credit Exposure by ERCOT</w:t>
      </w:r>
      <w:bookmarkEnd w:id="546"/>
      <w:bookmarkEnd w:id="547"/>
      <w:bookmarkEnd w:id="548"/>
      <w:bookmarkEnd w:id="549"/>
      <w:bookmarkEnd w:id="550"/>
      <w:bookmarkEnd w:id="551"/>
      <w:bookmarkEnd w:id="552"/>
    </w:p>
    <w:p w14:paraId="48209DC4" w14:textId="77777777" w:rsidR="00B55C27" w:rsidRPr="00723BC4" w:rsidRDefault="00B55C27" w:rsidP="00B55C27">
      <w:pPr>
        <w:spacing w:after="240"/>
        <w:ind w:left="720" w:hanging="720"/>
        <w:rPr>
          <w:iCs/>
        </w:rPr>
      </w:pPr>
      <w:r w:rsidRPr="00723BC4">
        <w:rPr>
          <w:iCs/>
        </w:rPr>
        <w:t>(1)</w:t>
      </w:r>
      <w:r w:rsidRPr="00723BC4">
        <w:rPr>
          <w:iCs/>
        </w:rPr>
        <w:tab/>
        <w:t xml:space="preserve">ERCOT shall monitor the creditworthiness and credit exposure of each Counter-Party.  To enable ERCOT to monitor creditworthiness, each Counter-Party shall provide to ERCOT:  </w:t>
      </w:r>
    </w:p>
    <w:p w14:paraId="26514078" w14:textId="77777777" w:rsidR="00B55C27" w:rsidRPr="00723BC4" w:rsidRDefault="00B55C27" w:rsidP="00B55C27">
      <w:pPr>
        <w:spacing w:after="240"/>
        <w:ind w:left="1440" w:hanging="720"/>
      </w:pPr>
      <w:r w:rsidRPr="00723BC4">
        <w:t>(a)</w:t>
      </w:r>
      <w:r w:rsidRPr="00723BC4">
        <w:tab/>
        <w:t xml:space="preserve">Its own or its Ultimate Parent’s quarterly (semi-annually, if the Ultimate Parent is foreign and rated by a rating agency acceptable to ERCOT) unaudited financial statements not later than 60 days (90 days if the Ultimate Parent is foreign and rated by a rating agency acceptable to ERCOT) after the close of each of the issuer’s fiscal quarters; if an issuer’s financial statements are publicly available </w:t>
      </w:r>
      <w:r w:rsidRPr="00723BC4">
        <w:lastRenderedPageBreak/>
        <w:t xml:space="preserve">electronically and the issuer provides to ERCOT sufficient information to access those financial statements, then the issuer is considered to have met this requirement. </w:t>
      </w:r>
    </w:p>
    <w:p w14:paraId="16231463" w14:textId="77777777" w:rsidR="00B55C27" w:rsidRPr="00723BC4" w:rsidRDefault="00B55C27" w:rsidP="00B55C27">
      <w:pPr>
        <w:spacing w:after="240"/>
        <w:ind w:left="1440" w:hanging="720"/>
      </w:pPr>
      <w:r w:rsidRPr="00723BC4">
        <w:t>(b)</w:t>
      </w:r>
      <w:r w:rsidRPr="00723BC4">
        <w:tab/>
        <w:t>Its own or its Ultimate Parent’s annual audited financial statements not later than 120 days after the close of each of the issuer’s fiscal year; if an issuer’s financial statements are publicly available electronically and the issuer provides to ERCOT sufficient information to access those financial statements, then the issuer is considered to have met this requirement.  ERCOT may extend the period for providing interim unaudited or annual audited statements on a case-by-case basis.  Annual audited financial statements must be prepared in accordance with U.S. Generally Accepted Accounting Principles (GAAP) or Financial Reporting Standards (IFRS).</w:t>
      </w:r>
    </w:p>
    <w:p w14:paraId="5AD1D6CE" w14:textId="77777777" w:rsidR="00B55C27" w:rsidRPr="00723BC4" w:rsidRDefault="00B55C27" w:rsidP="00B55C27">
      <w:pPr>
        <w:spacing w:after="240"/>
        <w:ind w:left="1440" w:hanging="720"/>
      </w:pPr>
      <w:r w:rsidRPr="00723BC4">
        <w:t>(c)</w:t>
      </w:r>
      <w:r w:rsidRPr="00723BC4">
        <w:tab/>
        <w:t xml:space="preserve">For paragraphs (a) and (b) above, financial statements shall include the Counter-Party’s or its Ultimate Parent’s:  </w:t>
      </w:r>
    </w:p>
    <w:p w14:paraId="3F2A898F" w14:textId="77777777" w:rsidR="00B55C27" w:rsidRPr="00723BC4" w:rsidRDefault="00B55C27" w:rsidP="00B55C27">
      <w:pPr>
        <w:spacing w:after="240"/>
        <w:ind w:left="2160" w:hanging="720"/>
      </w:pPr>
      <w:r w:rsidRPr="00723BC4">
        <w:t>(i)</w:t>
      </w:r>
      <w:r w:rsidRPr="00723BC4">
        <w:tab/>
        <w:t xml:space="preserve">Statement of Financial Position (balance sheet) as of the applicable quarterly or annual ending date; </w:t>
      </w:r>
    </w:p>
    <w:p w14:paraId="5DEBFBEE" w14:textId="77777777" w:rsidR="00B55C27" w:rsidRPr="00723BC4" w:rsidRDefault="00B55C27" w:rsidP="00B55C27">
      <w:pPr>
        <w:spacing w:after="240"/>
        <w:ind w:left="2160" w:hanging="720"/>
      </w:pPr>
      <w:r w:rsidRPr="00723BC4">
        <w:t>(ii)</w:t>
      </w:r>
      <w:r w:rsidRPr="00723BC4">
        <w:tab/>
        <w:t xml:space="preserve">Statement of Income (or Profit and Loss); and </w:t>
      </w:r>
    </w:p>
    <w:p w14:paraId="412CB027" w14:textId="77777777" w:rsidR="00B55C27" w:rsidRPr="00723BC4" w:rsidRDefault="00B55C27" w:rsidP="00B55C27">
      <w:pPr>
        <w:spacing w:after="240"/>
        <w:ind w:left="2160" w:hanging="720"/>
      </w:pPr>
      <w:r w:rsidRPr="00723BC4">
        <w:t>(iii)</w:t>
      </w:r>
      <w:r w:rsidRPr="00723BC4">
        <w:tab/>
        <w:t>Statement of Cash Flows.</w:t>
      </w:r>
    </w:p>
    <w:p w14:paraId="2082B087" w14:textId="77777777" w:rsidR="00B55C27" w:rsidRDefault="00B55C27" w:rsidP="00D9080F">
      <w:pPr>
        <w:spacing w:after="240"/>
        <w:ind w:left="1440" w:hanging="720"/>
        <w:rPr>
          <w:iCs/>
        </w:rPr>
      </w:pPr>
      <w:r w:rsidRPr="00723BC4">
        <w:t>(d)</w:t>
      </w:r>
      <w:r w:rsidRPr="00723BC4">
        <w:tab/>
        <w:t>Notice of a material change.  A Counter-Party shall inform ERCOT within one Business Day if it has experienced a material change in its operations, financial condition or prospects that might adversely affect the Counter-Party.</w:t>
      </w:r>
    </w:p>
    <w:p w14:paraId="0DC3F752" w14:textId="25B63946" w:rsidR="005C04D0" w:rsidRPr="0013104B" w:rsidRDefault="005C04D0" w:rsidP="00D9080F">
      <w:pPr>
        <w:spacing w:after="240"/>
        <w:ind w:left="720" w:hanging="720"/>
        <w:rPr>
          <w:szCs w:val="24"/>
        </w:rPr>
      </w:pPr>
      <w:r w:rsidRPr="0013104B">
        <w:rPr>
          <w:szCs w:val="24"/>
        </w:rPr>
        <w:t>(2)</w:t>
      </w:r>
      <w:r w:rsidRPr="0013104B">
        <w:rPr>
          <w:szCs w:val="24"/>
        </w:rPr>
        <w:tab/>
        <w:t>A Counter-Party is responsible at all times for maintaining:</w:t>
      </w:r>
    </w:p>
    <w:p w14:paraId="31F3C89A" w14:textId="12C3B606" w:rsidR="005C04D0" w:rsidRPr="0013104B" w:rsidRDefault="005C04D0" w:rsidP="005C04D0">
      <w:pPr>
        <w:spacing w:after="240"/>
        <w:ind w:left="1440" w:hanging="720"/>
        <w:rPr>
          <w:szCs w:val="24"/>
        </w:rPr>
      </w:pPr>
      <w:r w:rsidRPr="0013104B">
        <w:rPr>
          <w:szCs w:val="24"/>
        </w:rPr>
        <w:t>(a)</w:t>
      </w:r>
      <w:r w:rsidRPr="0013104B">
        <w:rPr>
          <w:szCs w:val="24"/>
        </w:rPr>
        <w:tab/>
        <w:t>Financial Security in an amount equal to or greater than that Counter-Party’s</w:t>
      </w:r>
      <w:r w:rsidR="00373358">
        <w:rPr>
          <w:szCs w:val="24"/>
        </w:rPr>
        <w:t>:</w:t>
      </w:r>
    </w:p>
    <w:p w14:paraId="70637E2E" w14:textId="77777777" w:rsidR="005C04D0" w:rsidRPr="0013104B" w:rsidRDefault="005C04D0" w:rsidP="005C04D0">
      <w:pPr>
        <w:spacing w:after="240"/>
        <w:ind w:left="1440"/>
        <w:rPr>
          <w:szCs w:val="24"/>
        </w:rPr>
      </w:pPr>
      <w:r w:rsidRPr="0013104B">
        <w:rPr>
          <w:szCs w:val="24"/>
        </w:rPr>
        <w:t>(i)</w:t>
      </w:r>
      <w:r w:rsidRPr="0013104B">
        <w:rPr>
          <w:szCs w:val="24"/>
        </w:rPr>
        <w:tab/>
        <w:t>TPES; plus</w:t>
      </w:r>
    </w:p>
    <w:p w14:paraId="33EC9A6E" w14:textId="77777777" w:rsidR="005C04D0" w:rsidRPr="0013104B" w:rsidRDefault="005C04D0" w:rsidP="005C04D0">
      <w:pPr>
        <w:spacing w:after="240"/>
        <w:ind w:left="720" w:firstLine="720"/>
        <w:rPr>
          <w:szCs w:val="24"/>
        </w:rPr>
      </w:pPr>
      <w:r w:rsidRPr="0013104B">
        <w:rPr>
          <w:szCs w:val="24"/>
        </w:rPr>
        <w:t>(ii)</w:t>
      </w:r>
      <w:r w:rsidRPr="0013104B">
        <w:rPr>
          <w:szCs w:val="24"/>
        </w:rPr>
        <w:tab/>
        <w:t>Net Positive Exposure of approved CRR Bilateral Trades; plus</w:t>
      </w:r>
    </w:p>
    <w:p w14:paraId="16ED4136" w14:textId="77777777" w:rsidR="005C04D0" w:rsidRPr="0013104B" w:rsidRDefault="005C04D0" w:rsidP="005C04D0">
      <w:pPr>
        <w:spacing w:after="240"/>
        <w:ind w:left="2160" w:hanging="720"/>
        <w:rPr>
          <w:szCs w:val="24"/>
        </w:rPr>
      </w:pPr>
      <w:r w:rsidRPr="0013104B">
        <w:rPr>
          <w:szCs w:val="24"/>
        </w:rPr>
        <w:t>(iii)</w:t>
      </w:r>
      <w:r w:rsidRPr="0013104B">
        <w:rPr>
          <w:szCs w:val="24"/>
        </w:rPr>
        <w:tab/>
        <w:t>ACL locked for CRR Auction, if any; and</w:t>
      </w:r>
    </w:p>
    <w:p w14:paraId="26EB6087" w14:textId="77777777" w:rsidR="005C04D0" w:rsidRPr="0013104B" w:rsidRDefault="005C04D0" w:rsidP="005C04D0">
      <w:pPr>
        <w:spacing w:after="240"/>
        <w:ind w:left="1440" w:hanging="720"/>
        <w:rPr>
          <w:szCs w:val="24"/>
        </w:rPr>
      </w:pPr>
      <w:r w:rsidRPr="0013104B">
        <w:rPr>
          <w:szCs w:val="24"/>
        </w:rPr>
        <w:t>(b)</w:t>
      </w:r>
      <w:r w:rsidRPr="0013104B">
        <w:rPr>
          <w:szCs w:val="24"/>
        </w:rPr>
        <w:tab/>
        <w:t>Remainder Collateral in an amount equal to or greater than that Counter-Party’s TPEA.</w:t>
      </w:r>
    </w:p>
    <w:p w14:paraId="2EE2DF74" w14:textId="77777777" w:rsidR="005C04D0" w:rsidRPr="0013104B" w:rsidRDefault="005C04D0" w:rsidP="005C04D0">
      <w:pPr>
        <w:spacing w:after="240"/>
        <w:ind w:left="720" w:hanging="720"/>
        <w:rPr>
          <w:szCs w:val="24"/>
        </w:rPr>
      </w:pPr>
      <w:r w:rsidRPr="0013104B">
        <w:rPr>
          <w:szCs w:val="24"/>
        </w:rPr>
        <w:t>(3)</w:t>
      </w:r>
      <w:r w:rsidRPr="0013104B">
        <w:rPr>
          <w:szCs w:val="24"/>
        </w:rPr>
        <w:tab/>
        <w:t xml:space="preserve">ERCOT shall promptly notify each Counter-Party of the need to increase its Financial Security and allow the Counter-Party time, as defined in paragraph (6)(a) below, to provide additional Financial Security to maintain compliance with this Section. </w:t>
      </w:r>
    </w:p>
    <w:p w14:paraId="50A338C3" w14:textId="77777777" w:rsidR="005C04D0" w:rsidRPr="0013104B" w:rsidRDefault="005C04D0" w:rsidP="005C04D0">
      <w:pPr>
        <w:spacing w:after="240"/>
        <w:ind w:left="720" w:hanging="720"/>
        <w:rPr>
          <w:szCs w:val="24"/>
        </w:rPr>
      </w:pPr>
      <w:r w:rsidRPr="0013104B">
        <w:rPr>
          <w:szCs w:val="24"/>
        </w:rPr>
        <w:t>(4)</w:t>
      </w:r>
      <w:r w:rsidRPr="0013104B">
        <w:rPr>
          <w:szCs w:val="24"/>
        </w:rPr>
        <w:tab/>
        <w:t xml:space="preserve">When either the Counter-Party’s TPEA or TPES as defined in Section 16.11.4, Determination and Monitoring of Counter-Party Credit Exposure, reaches 90% of its requirement, ERCOT shall use reasonable efforts to electronically issue a warning to the </w:t>
      </w:r>
      <w:r w:rsidRPr="0013104B">
        <w:rPr>
          <w:szCs w:val="24"/>
        </w:rPr>
        <w:lastRenderedPageBreak/>
        <w:t>Counter-Party’s Authorized Representative and credit contact advising the Counter-Party that it should consider increasing its Financial Security.  However, failure to issue that warning does not prevent ERCOT from exercising any of its other rights under this Section.</w:t>
      </w:r>
    </w:p>
    <w:p w14:paraId="20C55F97" w14:textId="77777777" w:rsidR="005C04D0" w:rsidRPr="0013104B" w:rsidRDefault="005C04D0" w:rsidP="005C04D0">
      <w:pPr>
        <w:spacing w:after="240"/>
        <w:ind w:left="720" w:hanging="720"/>
        <w:rPr>
          <w:szCs w:val="24"/>
        </w:rPr>
      </w:pPr>
      <w:r w:rsidRPr="0013104B">
        <w:rPr>
          <w:szCs w:val="24"/>
        </w:rPr>
        <w:t>(5)</w:t>
      </w:r>
      <w:r w:rsidRPr="0013104B">
        <w:rPr>
          <w:szCs w:val="24"/>
        </w:rPr>
        <w:tab/>
        <w:t>ERCOT may suspend a Counter-Party when:</w:t>
      </w:r>
    </w:p>
    <w:p w14:paraId="4EF0FA06" w14:textId="77777777" w:rsidR="005C04D0" w:rsidRPr="0013104B" w:rsidRDefault="005C04D0" w:rsidP="005C04D0">
      <w:pPr>
        <w:spacing w:after="240"/>
        <w:ind w:left="1440" w:hanging="720"/>
        <w:rPr>
          <w:szCs w:val="24"/>
        </w:rPr>
      </w:pPr>
      <w:r w:rsidRPr="0013104B">
        <w:rPr>
          <w:szCs w:val="24"/>
        </w:rPr>
        <w:t>(a)</w:t>
      </w:r>
      <w:r w:rsidRPr="0013104B">
        <w:rPr>
          <w:szCs w:val="24"/>
        </w:rPr>
        <w:tab/>
        <w:t>That Counter-Party’s TPES as defined in Section 16.11.4, equals or exceeds 100% of its Financial Security; or</w:t>
      </w:r>
    </w:p>
    <w:p w14:paraId="0DB48DAD" w14:textId="77777777" w:rsidR="005C04D0" w:rsidRPr="0013104B" w:rsidRDefault="005C04D0" w:rsidP="005C04D0">
      <w:pPr>
        <w:spacing w:after="240"/>
        <w:ind w:left="1440" w:hanging="720"/>
        <w:rPr>
          <w:szCs w:val="24"/>
        </w:rPr>
      </w:pPr>
      <w:r w:rsidRPr="0013104B">
        <w:rPr>
          <w:szCs w:val="24"/>
        </w:rPr>
        <w:t>(b)</w:t>
      </w:r>
      <w:r w:rsidRPr="0013104B">
        <w:rPr>
          <w:szCs w:val="24"/>
        </w:rPr>
        <w:tab/>
        <w:t xml:space="preserve">That Counter-Party’s TPEA as defined in Section 16.11.4 equals or exceeds 100% of its Remainder Collateral. </w:t>
      </w:r>
    </w:p>
    <w:p w14:paraId="62ABE2FD" w14:textId="77777777" w:rsidR="005C04D0" w:rsidRPr="0013104B" w:rsidRDefault="005C04D0" w:rsidP="005C04D0">
      <w:pPr>
        <w:spacing w:after="240"/>
        <w:ind w:left="720"/>
        <w:rPr>
          <w:szCs w:val="24"/>
        </w:rPr>
      </w:pPr>
      <w:r w:rsidRPr="0013104B">
        <w:rPr>
          <w:szCs w:val="24"/>
        </w:rPr>
        <w:t xml:space="preserve">The Counter-Party is responsible at all times for managing its activity within both its TPEA and its TPES or increasing its Financial Security to avoid reaching its limits.  Any failure by ERCOT to send a Notice as set forth in this Section does not relieve the Counter-Party from the obligation to maintain appropriate Financial Security in amounts equal to or greater than that Counter-Party’s TPES and TPEA as defined in Section 16.11.4. </w:t>
      </w:r>
    </w:p>
    <w:p w14:paraId="772FE623" w14:textId="77777777" w:rsidR="005C04D0" w:rsidRPr="0013104B" w:rsidRDefault="005C04D0" w:rsidP="005C04D0">
      <w:pPr>
        <w:spacing w:after="240"/>
        <w:ind w:left="720" w:hanging="720"/>
        <w:rPr>
          <w:szCs w:val="24"/>
        </w:rPr>
      </w:pPr>
      <w:r w:rsidRPr="0013104B">
        <w:rPr>
          <w:szCs w:val="24"/>
        </w:rPr>
        <w:t>(6)</w:t>
      </w:r>
      <w:r w:rsidRPr="0013104B">
        <w:rPr>
          <w:szCs w:val="24"/>
        </w:rPr>
        <w:tab/>
        <w:t>To the extent that a Counter-Party fails to maintain Financial Security in amounts equal to or greater than its TPES or Remainder Collateral in amounts equal to or greater than its TPEA, each as defined in Section 16.11.4:</w:t>
      </w:r>
    </w:p>
    <w:p w14:paraId="039CD1F1" w14:textId="77777777" w:rsidR="005C04D0" w:rsidRPr="0013104B" w:rsidRDefault="005C04D0" w:rsidP="005C04D0">
      <w:pPr>
        <w:spacing w:after="240"/>
        <w:ind w:left="1440" w:hanging="720"/>
      </w:pPr>
      <w:r w:rsidRPr="0013104B">
        <w:t>(a)</w:t>
      </w:r>
      <w:r w:rsidRPr="0013104B">
        <w:tab/>
        <w:t xml:space="preserve">ERCOT shall promptly notify the Counter-Party of the amount by which its Financial Security must be increased and allow it: </w:t>
      </w:r>
    </w:p>
    <w:p w14:paraId="322EBC87" w14:textId="77777777" w:rsidR="005C04D0" w:rsidRPr="0013104B" w:rsidRDefault="005C04D0" w:rsidP="005C04D0">
      <w:pPr>
        <w:spacing w:after="240"/>
        <w:ind w:left="2160" w:hanging="720"/>
      </w:pPr>
      <w:r w:rsidRPr="0013104B">
        <w:t>(i)</w:t>
      </w:r>
      <w:r w:rsidRPr="0013104B">
        <w:tab/>
        <w:t xml:space="preserve">Until 1500 on the second Bank Business Day from the date on which ERCOT delivered the Notice to increase its Financial Security if ERCOT delivered its Notice before 1500; or </w:t>
      </w:r>
    </w:p>
    <w:p w14:paraId="460366CD" w14:textId="77777777" w:rsidR="005C04D0" w:rsidRPr="0013104B" w:rsidRDefault="005C04D0" w:rsidP="005C04D0">
      <w:pPr>
        <w:spacing w:after="240"/>
        <w:ind w:left="2160" w:hanging="720"/>
      </w:pPr>
      <w:r w:rsidRPr="0013104B">
        <w:t>(ii)</w:t>
      </w:r>
      <w:r w:rsidRPr="0013104B">
        <w:tab/>
        <w:t xml:space="preserve">Until 1700 on the second Bank Business Day from the date on which ERCOT delivered Notification to increase its Financial Security if ERCOT delivered its Notice after 1500 but prior to 1700.  </w:t>
      </w:r>
    </w:p>
    <w:p w14:paraId="0B8BA58F" w14:textId="77777777" w:rsidR="005C04D0" w:rsidRPr="0013104B" w:rsidRDefault="005C04D0" w:rsidP="00373358">
      <w:pPr>
        <w:spacing w:after="240"/>
        <w:ind w:left="1440"/>
      </w:pPr>
      <w:r w:rsidRPr="0013104B">
        <w:t>ERCOT shall notify the QSE’s Authorized Representative(s) and Credit Contact if it has not received the required security by 1530 on the Bank Business Day on which the security was due; however, failure to notify the Counter-Party’s representatives or contact that the required security was not received does not prevent ERCOT from exercising any of its other rights under this Section.</w:t>
      </w:r>
    </w:p>
    <w:p w14:paraId="075B25AF" w14:textId="77777777" w:rsidR="005C04D0" w:rsidRPr="0013104B" w:rsidRDefault="005C04D0" w:rsidP="005C04D0">
      <w:pPr>
        <w:spacing w:after="240"/>
        <w:ind w:left="1440" w:hanging="720"/>
      </w:pPr>
      <w:r w:rsidRPr="0013104B">
        <w:t>(b)</w:t>
      </w:r>
      <w:r w:rsidRPr="0013104B">
        <w:tab/>
        <w:t xml:space="preserve">At the same time ERCOT notifies the Counter-Party that is the QSE, ERCOT may notify each LSE and Resource represented by the Counter-Party that the LSE or Resource may be required to designate a new QSE if its current QSE fails to increase its Financial Security. </w:t>
      </w:r>
    </w:p>
    <w:p w14:paraId="4EC17008" w14:textId="77777777" w:rsidR="005C04D0" w:rsidRPr="0013104B" w:rsidRDefault="005C04D0" w:rsidP="005C04D0">
      <w:pPr>
        <w:spacing w:after="240"/>
        <w:ind w:left="1440" w:hanging="720"/>
      </w:pPr>
      <w:r w:rsidRPr="0013104B">
        <w:t>(c)</w:t>
      </w:r>
      <w:r w:rsidRPr="0013104B">
        <w:tab/>
        <w:t xml:space="preserve">ERCOT is not required to make any payment to that Counter-Party unless and until the Counter-Party increases its Financial Security.  The payments that </w:t>
      </w:r>
      <w:r w:rsidRPr="0013104B">
        <w:lastRenderedPageBreak/>
        <w:t xml:space="preserve">ERCOT will not make to a Counter-Party include Invoice receipts, CRR revenues, </w:t>
      </w:r>
      <w:smartTag w:uri="urn:schemas-microsoft-com:office:smarttags" w:element="stockticker">
        <w:r w:rsidRPr="0013104B">
          <w:t>CRR</w:t>
        </w:r>
      </w:smartTag>
      <w:r w:rsidRPr="0013104B">
        <w:t xml:space="preserve"> credits, reimbursements for short payments, and any other reimbursements or credits under any other agreement between the Market Participant and ERCOT.  ERCOT may retain all such amounts until the Counter-Party has fully discharged all payment obligations owed to ERCOT under the Counter-Party Agreement, other agreements, and these Protocols. </w:t>
      </w:r>
    </w:p>
    <w:p w14:paraId="6DF3CB5B" w14:textId="77777777" w:rsidR="005C04D0" w:rsidRPr="0013104B" w:rsidRDefault="005C04D0" w:rsidP="005C04D0">
      <w:pPr>
        <w:spacing w:after="240"/>
        <w:ind w:left="1440" w:hanging="720"/>
      </w:pPr>
      <w:r w:rsidRPr="0013104B">
        <w:t>(d)</w:t>
      </w:r>
      <w:r w:rsidRPr="0013104B">
        <w:tab/>
        <w:t>ERCOT may reject any bids or offers in a CRR Auction from the Counter-Party until it has increased its Financial Security.  ERCOT may reject any bids or offers from the Counter-Party in the DAM until it has increased its Financial Security.</w:t>
      </w:r>
    </w:p>
    <w:p w14:paraId="3CCD43D7" w14:textId="77777777" w:rsidR="005C04D0" w:rsidRPr="0013104B" w:rsidRDefault="005C04D0" w:rsidP="005C04D0">
      <w:pPr>
        <w:spacing w:after="240"/>
        <w:ind w:left="720" w:hanging="720"/>
      </w:pPr>
      <w:r w:rsidRPr="0013104B">
        <w:t>(7)</w:t>
      </w:r>
      <w:r w:rsidRPr="0013104B">
        <w:tab/>
        <w:t>If a Counter-Party increases its Financial Security as required by ERCOT by the deadline in paragraph (6)(a) above, then ERCOT may notify each LSE and Resource represented by the Counter-Party.</w:t>
      </w:r>
    </w:p>
    <w:p w14:paraId="19ADD099" w14:textId="77777777" w:rsidR="005C04D0" w:rsidRDefault="005C04D0" w:rsidP="005C04D0">
      <w:pPr>
        <w:pStyle w:val="BodyTextNumbered"/>
      </w:pPr>
      <w:r w:rsidRPr="0013104B">
        <w:t>(8)</w:t>
      </w:r>
      <w:r w:rsidRPr="0013104B">
        <w:tab/>
        <w:t>If a Counter-Party increases its Financial Security as required by ERCOT by the deadline in paragraph (6)(a) above, then ERCOT shall release any payments held.</w:t>
      </w:r>
    </w:p>
    <w:p w14:paraId="1C32E8C1" w14:textId="77777777" w:rsidR="00F56ABB" w:rsidRDefault="00727E32" w:rsidP="00FB1643">
      <w:pPr>
        <w:pStyle w:val="H3"/>
      </w:pPr>
      <w:bookmarkStart w:id="553" w:name="_Toc390438976"/>
      <w:bookmarkStart w:id="554" w:name="_Toc405897674"/>
      <w:bookmarkStart w:id="555" w:name="_Toc415055778"/>
      <w:bookmarkStart w:id="556" w:name="_Toc415055904"/>
      <w:bookmarkStart w:id="557" w:name="_Toc415056003"/>
      <w:bookmarkStart w:id="558" w:name="_Toc415056104"/>
      <w:bookmarkStart w:id="559" w:name="_Toc148960884"/>
      <w:r>
        <w:t>16.11.6</w:t>
      </w:r>
      <w:r>
        <w:tab/>
        <w:t>Payment Breach and Late Payments by Market Participants</w:t>
      </w:r>
      <w:bookmarkEnd w:id="553"/>
      <w:bookmarkEnd w:id="554"/>
      <w:bookmarkEnd w:id="555"/>
      <w:bookmarkEnd w:id="556"/>
      <w:bookmarkEnd w:id="557"/>
      <w:bookmarkEnd w:id="558"/>
      <w:bookmarkEnd w:id="559"/>
    </w:p>
    <w:p w14:paraId="6817ED95" w14:textId="3F7C5DD6" w:rsidR="00FC1C5F" w:rsidRDefault="00727E32">
      <w:pPr>
        <w:pStyle w:val="BodyTextNumbered"/>
      </w:pPr>
      <w:r>
        <w:t>(1)</w:t>
      </w:r>
      <w:r>
        <w:tab/>
        <w:t xml:space="preserve">It is the sole responsibility of each Market Participant to ensure that the full amounts due to ERCOT, or its designee, if applicable, by that Market Participant, </w:t>
      </w:r>
      <w:r w:rsidR="002F409F">
        <w:t>are</w:t>
      </w:r>
      <w:r>
        <w:t xml:space="preserve"> paid to ERCOT by </w:t>
      </w:r>
      <w:r w:rsidR="002F409F">
        <w:t>the applicable time and date specified in the Protocols.  If no time is specified in the Protocols for a particular type of payment, then payment must be made by the close of the Bank Business Day on which payment is due</w:t>
      </w:r>
      <w:r>
        <w:t xml:space="preserve">. </w:t>
      </w:r>
    </w:p>
    <w:p w14:paraId="7902532E" w14:textId="2128BDD6" w:rsidR="00FC1C5F" w:rsidRDefault="00727E32">
      <w:pPr>
        <w:pStyle w:val="BodyTextNumbered"/>
      </w:pPr>
      <w:r>
        <w:t>(2)</w:t>
      </w:r>
      <w:r>
        <w:tab/>
        <w:t xml:space="preserve">If a Market Participant </w:t>
      </w:r>
      <w:r>
        <w:rPr>
          <w:color w:val="000000"/>
        </w:rPr>
        <w:t xml:space="preserve">receives separate Invoices for Subordinate QSE or various </w:t>
      </w:r>
      <w:smartTag w:uri="urn:schemas-microsoft-com:office:smarttags" w:element="stockticker">
        <w:r>
          <w:rPr>
            <w:color w:val="000000"/>
          </w:rPr>
          <w:t>CRR</w:t>
        </w:r>
      </w:smartTag>
      <w:r>
        <w:rPr>
          <w:color w:val="000000"/>
        </w:rPr>
        <w:t xml:space="preserve"> Account Holder activity,</w:t>
      </w:r>
      <w:r>
        <w:t xml:space="preserve"> netting by the Market Participant of the amounts due to ERCOT with amounts due to the Market Participant among those Invoices for payment purposes is not permitted.  The amounts due to ERCOT on the separate Invoices for each Market Participant must be paid by the </w:t>
      </w:r>
      <w:r w:rsidR="002F409F">
        <w:t>applicable time and date specified in the Protocols</w:t>
      </w:r>
      <w:r>
        <w:t>.  If a Market Participant does not pay the full amount due to ERCOT for all such Invoices by the required time, ERCOT shall deduct any and all amounts due and unpaid from any amounts due to the same Market Participant before allocating short payments to other Market Participants.</w:t>
      </w:r>
    </w:p>
    <w:p w14:paraId="693DF4AF" w14:textId="07A1BD55" w:rsidR="00FC1C5F" w:rsidRDefault="00727E32">
      <w:pPr>
        <w:pStyle w:val="BodyTextNumbered"/>
      </w:pPr>
      <w:r>
        <w:t>(3)</w:t>
      </w:r>
      <w:r>
        <w:tab/>
      </w:r>
      <w:r w:rsidR="006B2812" w:rsidRPr="007F3EB6">
        <w:t xml:space="preserve">The failure of a Market Participant to pay when due any payment or Financial Security obligation owed to ERCOT or its designee, if applicable, under any </w:t>
      </w:r>
      <w:r w:rsidR="002F409F">
        <w:t>A</w:t>
      </w:r>
      <w:r w:rsidR="006B2812" w:rsidRPr="007F3EB6">
        <w:t xml:space="preserve">greement with ERCOT, is a Late Payment and constitutes an event of Payment Breach.  For purposes of designating a Late Payment, ERCOT shall consider multiple Invoices unpaid when due on a single Business Day by a single Market Participant as constituting one Late Payment.  Any Payment Breach by a Market Participant under any agreement with ERCOT is a Default under all other agreements between ERCOT and the Market Participant unless cured within one Bank Business Day after ERCOT delivers to the Market Participant written notice of the Payment Breach.  </w:t>
      </w:r>
    </w:p>
    <w:p w14:paraId="08E0C9D9" w14:textId="6BBE7AC4" w:rsidR="00FC1C5F" w:rsidRDefault="00727E32" w:rsidP="00FC544E">
      <w:pPr>
        <w:pStyle w:val="BodyTextNumbered"/>
      </w:pPr>
      <w:r>
        <w:lastRenderedPageBreak/>
        <w:t>(4)</w:t>
      </w:r>
      <w:r>
        <w:tab/>
      </w:r>
      <w:r w:rsidR="006B2812" w:rsidRPr="007F3EB6">
        <w:t xml:space="preserve">Upon a Payment Breach, ERCOT shall immediately attempt to contact the Market Participant’s Authorized Representative and/or Credit Contact </w:t>
      </w:r>
      <w:r w:rsidR="002F409F">
        <w:t>named in the Counter-Party Credit Application</w:t>
      </w:r>
      <w:r w:rsidR="002F409F" w:rsidRPr="007F3EB6">
        <w:t xml:space="preserve"> </w:t>
      </w:r>
      <w:r w:rsidR="006B2812" w:rsidRPr="007F3EB6">
        <w:t xml:space="preserve">telephonically to inform the Market Participant of the Payment Breach, and demand payment of the past due amount. ERCOT shall also provide the Market Participant with written notice of the Payment Breach via email.  Upon a Payment Breach, ERCOT may impose remedies for Payment Breach, as set forth in Section 16.11.6.1, ERCOT’s Remedies, in addition to any other rights or remedies ERCOT has under any agreement, these Protocols or at common law.  </w:t>
      </w:r>
    </w:p>
    <w:p w14:paraId="441E35F5" w14:textId="65859C21" w:rsidR="002F409F" w:rsidRDefault="006B2812" w:rsidP="002F409F">
      <w:pPr>
        <w:pStyle w:val="BodyTextNumbered"/>
      </w:pPr>
      <w:bookmarkStart w:id="560" w:name="_Toc415055779"/>
      <w:bookmarkStart w:id="561" w:name="_Toc415055905"/>
      <w:bookmarkStart w:id="562" w:name="_Toc415056004"/>
      <w:bookmarkStart w:id="563" w:name="_Toc390438977"/>
      <w:bookmarkStart w:id="564" w:name="_Toc405897675"/>
      <w:r w:rsidRPr="000B62BB">
        <w:t>(5)</w:t>
      </w:r>
      <w:r w:rsidRPr="000B62BB">
        <w:tab/>
        <w:t xml:space="preserve">If a Market Participant makes a payment </w:t>
      </w:r>
      <w:r w:rsidR="002F409F">
        <w:t>(</w:t>
      </w:r>
      <w:r w:rsidRPr="000B62BB">
        <w:t>or a partial payment</w:t>
      </w:r>
      <w:r w:rsidR="002F409F">
        <w:t>,</w:t>
      </w:r>
      <w:r w:rsidRPr="000B62BB">
        <w:t xml:space="preserve"> </w:t>
      </w:r>
      <w:r w:rsidR="002F409F">
        <w:t>if</w:t>
      </w:r>
      <w:r w:rsidRPr="000B62BB">
        <w:t xml:space="preserve"> allowed by these Protocols</w:t>
      </w:r>
      <w:r w:rsidR="002F409F">
        <w:t>)</w:t>
      </w:r>
      <w:r w:rsidRPr="000B62BB">
        <w:t xml:space="preserve"> or </w:t>
      </w:r>
      <w:r w:rsidR="002F409F">
        <w:t xml:space="preserve">satisfies </w:t>
      </w:r>
      <w:r w:rsidRPr="000B62BB">
        <w:t xml:space="preserve">a collateral call to ERCOT after the </w:t>
      </w:r>
      <w:r w:rsidR="002F409F">
        <w:t xml:space="preserve">required </w:t>
      </w:r>
      <w:r w:rsidRPr="000B62BB">
        <w:t xml:space="preserve">due date and time, or if a short-paid Invoice is settled by a draw on available security greater than the amount of Market Participant’s cash collateral held in excess of that required </w:t>
      </w:r>
      <w:r w:rsidRPr="00B7034E">
        <w:t xml:space="preserve">to cover its TPE (“Excess Collateral”), then that payment </w:t>
      </w:r>
      <w:r w:rsidR="002F409F">
        <w:t>will be deemed</w:t>
      </w:r>
      <w:r w:rsidRPr="00B7034E">
        <w:t xml:space="preserve"> a “Late Payment.”  </w:t>
      </w:r>
    </w:p>
    <w:p w14:paraId="6586710E" w14:textId="5608C122" w:rsidR="002F409F" w:rsidRDefault="002F409F" w:rsidP="002F409F">
      <w:pPr>
        <w:pStyle w:val="BodyTextNumbered"/>
      </w:pPr>
      <w:r>
        <w:t>(6)</w:t>
      </w:r>
      <w:r>
        <w:tab/>
        <w:t>For purposes of assessing if a payment is a Late Payment, the time of receipt of a payment will be determined as follows:</w:t>
      </w:r>
    </w:p>
    <w:p w14:paraId="71AC1474" w14:textId="77777777" w:rsidR="002F409F" w:rsidRDefault="002F409F" w:rsidP="002F409F">
      <w:pPr>
        <w:pStyle w:val="BodyTextNumbered"/>
        <w:ind w:left="1440"/>
      </w:pPr>
      <w:r>
        <w:t>(a)</w:t>
      </w:r>
      <w:r>
        <w:tab/>
        <w:t>For cash payments, the timestamp for when funds are credited to ERCOT’s bank account, or;</w:t>
      </w:r>
    </w:p>
    <w:p w14:paraId="71999555" w14:textId="77777777" w:rsidR="002F409F" w:rsidRDefault="002F409F" w:rsidP="002F409F">
      <w:pPr>
        <w:pStyle w:val="BodyTextNumbered"/>
        <w:ind w:left="1440"/>
      </w:pPr>
      <w:r>
        <w:t>(b)</w:t>
      </w:r>
      <w:r>
        <w:tab/>
        <w:t>For non-cash Financial Security,</w:t>
      </w:r>
    </w:p>
    <w:p w14:paraId="2C02CD00" w14:textId="77777777" w:rsidR="002F409F" w:rsidRDefault="002F409F" w:rsidP="002F409F">
      <w:pPr>
        <w:pStyle w:val="BodyTextNumbered"/>
        <w:ind w:left="2160"/>
      </w:pPr>
      <w:r>
        <w:t>(i)</w:t>
      </w:r>
      <w:r>
        <w:tab/>
        <w:t>The timestamp of the email or facsimile, if the required documentation is delivered to ERCOT by email or facsimile, or;</w:t>
      </w:r>
    </w:p>
    <w:p w14:paraId="027F3ADE" w14:textId="77777777" w:rsidR="002F409F" w:rsidRDefault="002F409F" w:rsidP="002F409F">
      <w:pPr>
        <w:pStyle w:val="BodyTextNumbered"/>
        <w:ind w:left="2160"/>
      </w:pPr>
      <w:r>
        <w:t>(ii)</w:t>
      </w:r>
      <w:r>
        <w:tab/>
        <w:t xml:space="preserve">The timestamp of the delivery receipt, if the required documentation is mailed or physically delivered to ERCOT. </w:t>
      </w:r>
    </w:p>
    <w:p w14:paraId="0E9C5419" w14:textId="77944193" w:rsidR="002F409F" w:rsidRDefault="002F409F" w:rsidP="002F409F">
      <w:pPr>
        <w:pStyle w:val="BodyTextNumbered"/>
      </w:pPr>
      <w:r>
        <w:t>(7)</w:t>
      </w:r>
      <w:r>
        <w:tab/>
      </w:r>
      <w:r w:rsidR="006B2812" w:rsidRPr="00B7034E">
        <w:t xml:space="preserve">ERCOT may, in its sole discretion, and upon a Market Participant’s showing that the failure to pay when due was not within the control of the Market Participant, </w:t>
      </w:r>
      <w:r>
        <w:t>deem that a failure to pay when due was neither a</w:t>
      </w:r>
      <w:r w:rsidR="006B2812" w:rsidRPr="00B7034E">
        <w:t xml:space="preserve"> Payment Breach </w:t>
      </w:r>
      <w:r>
        <w:t>nor</w:t>
      </w:r>
      <w:r w:rsidR="006B2812" w:rsidRPr="00B7034E">
        <w:t xml:space="preserve"> a Late Payment.  </w:t>
      </w:r>
    </w:p>
    <w:p w14:paraId="32AC4F5E" w14:textId="736733FA" w:rsidR="00130D6C" w:rsidRPr="00B7034E" w:rsidRDefault="002F409F" w:rsidP="002F409F">
      <w:pPr>
        <w:pStyle w:val="BodyTextNumbered"/>
      </w:pPr>
      <w:r>
        <w:t>(8)</w:t>
      </w:r>
      <w:r>
        <w:tab/>
      </w:r>
      <w:r w:rsidR="006B2812" w:rsidRPr="00B7034E">
        <w:t>ERCOT shall track the number of Late Payments received from each Market Participant in each rolling 12-month period for purposes of imposing the Late Payment remedies set forth in Section 16.11.6.2</w:t>
      </w:r>
      <w:r w:rsidR="00FC544E" w:rsidRPr="00B7034E">
        <w:t>, ERCOT’s Remedies for Late Payments by a Market Participant</w:t>
      </w:r>
      <w:r w:rsidR="006B2812" w:rsidRPr="00B7034E">
        <w:t>.</w:t>
      </w:r>
      <w:bookmarkEnd w:id="560"/>
      <w:bookmarkEnd w:id="561"/>
      <w:bookmarkEnd w:id="562"/>
    </w:p>
    <w:p w14:paraId="4267E51F" w14:textId="77777777" w:rsidR="00FC1C5F" w:rsidRPr="00D63F95" w:rsidRDefault="00727E32" w:rsidP="0078184C">
      <w:pPr>
        <w:pStyle w:val="H4"/>
        <w:rPr>
          <w:b/>
        </w:rPr>
      </w:pPr>
      <w:bookmarkStart w:id="565" w:name="_Toc415055780"/>
      <w:bookmarkStart w:id="566" w:name="_Toc415055906"/>
      <w:bookmarkStart w:id="567" w:name="_Toc415056005"/>
      <w:bookmarkStart w:id="568" w:name="_Toc415056105"/>
      <w:bookmarkStart w:id="569" w:name="_Toc148960885"/>
      <w:r w:rsidRPr="00D63F95">
        <w:rPr>
          <w:b/>
        </w:rPr>
        <w:t>16.11.6.1</w:t>
      </w:r>
      <w:r w:rsidRPr="00D63F95">
        <w:rPr>
          <w:b/>
        </w:rPr>
        <w:tab/>
        <w:t>ERCOT’s Remedies</w:t>
      </w:r>
      <w:bookmarkEnd w:id="563"/>
      <w:bookmarkEnd w:id="564"/>
      <w:bookmarkEnd w:id="565"/>
      <w:bookmarkEnd w:id="566"/>
      <w:bookmarkEnd w:id="567"/>
      <w:bookmarkEnd w:id="568"/>
      <w:bookmarkEnd w:id="569"/>
      <w:r w:rsidRPr="00D63F95">
        <w:rPr>
          <w:b/>
        </w:rPr>
        <w:t xml:space="preserve"> </w:t>
      </w:r>
    </w:p>
    <w:p w14:paraId="26CDB798" w14:textId="77777777" w:rsidR="00FC1C5F" w:rsidRDefault="00853D39" w:rsidP="003E09AF">
      <w:pPr>
        <w:pStyle w:val="BodyText"/>
        <w:ind w:left="720" w:hanging="720"/>
      </w:pPr>
      <w:r>
        <w:t>(1)</w:t>
      </w:r>
      <w:r>
        <w:tab/>
      </w:r>
      <w:r w:rsidR="006B2812">
        <w:t>In addition to all other remedies that ERCOT has under any agreement, common law or these Protocols, for Payment Breaches or other Defaults by a Market Participant, ERCOT has the following additional remedies.</w:t>
      </w:r>
    </w:p>
    <w:p w14:paraId="3D091A2F" w14:textId="77777777" w:rsidR="00FC1C5F" w:rsidRDefault="00727E32">
      <w:pPr>
        <w:pStyle w:val="H5"/>
      </w:pPr>
      <w:bookmarkStart w:id="570" w:name="_Toc390438978"/>
      <w:bookmarkStart w:id="571" w:name="_Toc405897677"/>
      <w:bookmarkStart w:id="572" w:name="_Toc415055781"/>
      <w:bookmarkStart w:id="573" w:name="_Toc415055907"/>
      <w:bookmarkStart w:id="574" w:name="_Toc415056006"/>
      <w:bookmarkStart w:id="575" w:name="_Toc415056106"/>
      <w:bookmarkStart w:id="576" w:name="_Toc148960886"/>
      <w:r>
        <w:lastRenderedPageBreak/>
        <w:t>16.11.6.1.1</w:t>
      </w:r>
      <w:r>
        <w:tab/>
        <w:t>No Payments by ERCOT to Market Participant</w:t>
      </w:r>
      <w:bookmarkEnd w:id="570"/>
      <w:bookmarkEnd w:id="571"/>
      <w:bookmarkEnd w:id="572"/>
      <w:bookmarkEnd w:id="573"/>
      <w:bookmarkEnd w:id="574"/>
      <w:bookmarkEnd w:id="575"/>
      <w:bookmarkEnd w:id="576"/>
    </w:p>
    <w:p w14:paraId="213E605B" w14:textId="77777777" w:rsidR="00FC1C5F" w:rsidRDefault="00853D39" w:rsidP="003E09AF">
      <w:pPr>
        <w:pStyle w:val="BodyText"/>
        <w:ind w:left="720" w:hanging="720"/>
      </w:pPr>
      <w:r>
        <w:t>(1)</w:t>
      </w:r>
      <w:r>
        <w:tab/>
      </w:r>
      <w:r w:rsidR="006B2812">
        <w:t>ERCOT is not required to make any payment to a Market Participant unless and until the Market Participant satisfies the Payment Breach by paying the past due amount in full, including amounts due under Section 16.11.6.1.3, Aggregate Amount Owed by Breaching Market Participant Immediately Due.  The payments that ERCOT will not make include Invoice receipts, CRR Auction revenues, CRR credits, reimbursements for short payments and any other reimbursements or credits under any and all other agreements between ERCOT and the Market Participant.  ERCOT shall retain all such amounts, and may apply all withheld funds toward the payment of the delinquent amount(s), until the Market Participant has fully paid all amounts owed to ERCOT under any agreements and these Protocols.  If the Market Participant should fail to pay the full amount due within the cure period, ERCOT may apply all funds it withheld toward the payment of the delinquent amount(s).</w:t>
      </w:r>
    </w:p>
    <w:p w14:paraId="71035062" w14:textId="77777777" w:rsidR="00FC1C5F" w:rsidRDefault="00727E32">
      <w:pPr>
        <w:pStyle w:val="H5"/>
      </w:pPr>
      <w:bookmarkStart w:id="577" w:name="_Toc390438979"/>
      <w:bookmarkStart w:id="578" w:name="_Toc405897679"/>
      <w:bookmarkStart w:id="579" w:name="_Toc415055782"/>
      <w:bookmarkStart w:id="580" w:name="_Toc415055908"/>
      <w:bookmarkStart w:id="581" w:name="_Toc415056007"/>
      <w:bookmarkStart w:id="582" w:name="_Toc415056107"/>
      <w:bookmarkStart w:id="583" w:name="_Toc148960887"/>
      <w:r>
        <w:t>16.11.6.1.2</w:t>
      </w:r>
      <w:r>
        <w:tab/>
        <w:t>ERCOT May Draw On, Hold or Distribute Funds</w:t>
      </w:r>
      <w:bookmarkEnd w:id="577"/>
      <w:bookmarkEnd w:id="578"/>
      <w:bookmarkEnd w:id="579"/>
      <w:bookmarkEnd w:id="580"/>
      <w:bookmarkEnd w:id="581"/>
      <w:bookmarkEnd w:id="582"/>
      <w:bookmarkEnd w:id="583"/>
    </w:p>
    <w:p w14:paraId="272FAAD3" w14:textId="77777777" w:rsidR="00FC1C5F" w:rsidRDefault="00853D39" w:rsidP="003E09AF">
      <w:pPr>
        <w:pStyle w:val="BodyText"/>
        <w:ind w:left="720" w:hanging="720"/>
      </w:pPr>
      <w:r>
        <w:t>(1)</w:t>
      </w:r>
      <w:r>
        <w:tab/>
      </w:r>
      <w:r w:rsidR="006B2812">
        <w:t xml:space="preserve">Upon a Payment </w:t>
      </w:r>
      <w:r w:rsidR="006B2812" w:rsidRPr="007F3EB6">
        <w:t>Breach, ERCOT, at its option, without notice to the Market Participant and in its sole discretion, may immediately, or at any time before the Market Participant pays the past due amount in full, including amounts due under Section 16.11.6.1.3, Aggregate Amount Owed by Breaching Market Participant Immediately Due, draw on, hold or distribute to other Market Participants any Financial Security or other funds of the Market Participant in ERCOT’s possession.  If the funds drawn exceed the amount applied to any Payment Breach, then ERCOT may hold those funds as Financial Security.</w:t>
      </w:r>
    </w:p>
    <w:p w14:paraId="6AB937CB" w14:textId="77777777" w:rsidR="00FC1C5F" w:rsidRDefault="00727E32">
      <w:pPr>
        <w:pStyle w:val="H5"/>
      </w:pPr>
      <w:bookmarkStart w:id="584" w:name="_Toc390438980"/>
      <w:bookmarkStart w:id="585" w:name="_Toc405897681"/>
      <w:bookmarkStart w:id="586" w:name="_Toc415055783"/>
      <w:bookmarkStart w:id="587" w:name="_Toc415055909"/>
      <w:bookmarkStart w:id="588" w:name="_Toc415056008"/>
      <w:bookmarkStart w:id="589" w:name="_Toc415056108"/>
      <w:bookmarkStart w:id="590" w:name="_Toc148960888"/>
      <w:r>
        <w:t>16.11.6.1.3</w:t>
      </w:r>
      <w:r>
        <w:tab/>
        <w:t>Aggregate Amount Owed by Breaching Market Participant Immediately Due</w:t>
      </w:r>
      <w:bookmarkEnd w:id="584"/>
      <w:bookmarkEnd w:id="585"/>
      <w:bookmarkEnd w:id="586"/>
      <w:bookmarkEnd w:id="587"/>
      <w:bookmarkEnd w:id="588"/>
      <w:bookmarkEnd w:id="589"/>
      <w:bookmarkEnd w:id="590"/>
    </w:p>
    <w:p w14:paraId="5E9E4A19" w14:textId="77777777" w:rsidR="00FC1C5F" w:rsidRDefault="00853D39" w:rsidP="003E09AF">
      <w:pPr>
        <w:pStyle w:val="BodyText"/>
        <w:ind w:left="720" w:hanging="720"/>
      </w:pPr>
      <w:r>
        <w:t>(1)</w:t>
      </w:r>
      <w:r>
        <w:tab/>
      </w:r>
      <w:r w:rsidR="006B2812" w:rsidRPr="007F3EB6">
        <w:t>ERCOT shall aggregate all amounts due it by the Market Participant under any agreement with ERCOT and these Protocols into a single amount to the fullest extent allowed by law.  The entire unpaid net balance owed to ERCOT by the Market Participant, at ERCOT’s option, and its sole discretion, is immediately due and payable without further notice and demand for payment.  Any such notice and demand for payment are expressly waived by the Market Participant.</w:t>
      </w:r>
    </w:p>
    <w:p w14:paraId="798D9BBD" w14:textId="77777777" w:rsidR="00FC1C5F" w:rsidRDefault="00727E32">
      <w:pPr>
        <w:pStyle w:val="H5"/>
      </w:pPr>
      <w:bookmarkStart w:id="591" w:name="_Toc390438981"/>
      <w:bookmarkStart w:id="592" w:name="_Toc405897683"/>
      <w:bookmarkStart w:id="593" w:name="_Toc415055784"/>
      <w:bookmarkStart w:id="594" w:name="_Toc415055910"/>
      <w:bookmarkStart w:id="595" w:name="_Toc415056009"/>
      <w:bookmarkStart w:id="596" w:name="_Toc415056109"/>
      <w:bookmarkStart w:id="597" w:name="_Toc148960889"/>
      <w:r>
        <w:t>16.11.6.1.4</w:t>
      </w:r>
      <w:r>
        <w:tab/>
        <w:t>Repossession of CRRs by ERCOT</w:t>
      </w:r>
      <w:bookmarkEnd w:id="591"/>
      <w:bookmarkEnd w:id="592"/>
      <w:bookmarkEnd w:id="593"/>
      <w:bookmarkEnd w:id="594"/>
      <w:bookmarkEnd w:id="595"/>
      <w:bookmarkEnd w:id="596"/>
      <w:bookmarkEnd w:id="597"/>
    </w:p>
    <w:p w14:paraId="7CD2B9E7" w14:textId="77777777" w:rsidR="004E603E" w:rsidRDefault="00853D39" w:rsidP="003E09AF">
      <w:pPr>
        <w:pStyle w:val="BodyText"/>
        <w:ind w:left="720" w:hanging="720"/>
      </w:pPr>
      <w:r>
        <w:t>(1)</w:t>
      </w:r>
      <w:r>
        <w:tab/>
      </w:r>
      <w:r w:rsidR="006B2812" w:rsidRPr="002D2785">
        <w:t>ERCOT, at its sole discretion, may repossess CRRs held by a Market Participant with a Payment Breach</w:t>
      </w:r>
      <w:r w:rsidR="00EF495A">
        <w:t xml:space="preserve"> or other Default</w:t>
      </w:r>
      <w:r w:rsidR="006B2812" w:rsidRPr="002D2785">
        <w:t xml:space="preserve">.  ERCOT shall effect that repossession by sending a written notice to the Market Participant of the repossession and by removing the CRRs from the Market Participant’s CRR account.  </w:t>
      </w:r>
      <w:r w:rsidR="00EF495A">
        <w:rPr>
          <w:iCs w:val="0"/>
        </w:rPr>
        <w:t xml:space="preserve">CRRs that settle in the same calendar month as the repossession but subsequent to the effective date of the repossession shall be voided.  The Market Participant will neither be charged, nor entitled to credit, for the voided CRRs in the DAM Settlement.  </w:t>
      </w:r>
      <w:r w:rsidR="006B2812" w:rsidRPr="002D2785">
        <w:t xml:space="preserve">ERCOT shall offer </w:t>
      </w:r>
      <w:r w:rsidR="00EF495A">
        <w:rPr>
          <w:iCs w:val="0"/>
        </w:rPr>
        <w:t>a portfolio of CRRs containing</w:t>
      </w:r>
      <w:r w:rsidR="00EF495A" w:rsidRPr="002D2785">
        <w:t xml:space="preserve"> </w:t>
      </w:r>
      <w:r w:rsidR="006B2812" w:rsidRPr="002D2785">
        <w:t>all of th</w:t>
      </w:r>
      <w:r w:rsidR="00EF495A">
        <w:t>e</w:t>
      </w:r>
      <w:r w:rsidR="006B2812" w:rsidRPr="002D2785">
        <w:t xml:space="preserve"> </w:t>
      </w:r>
      <w:r w:rsidR="00EF495A">
        <w:rPr>
          <w:iCs w:val="0"/>
        </w:rPr>
        <w:t>remaining unvoided</w:t>
      </w:r>
      <w:r w:rsidR="00EF495A" w:rsidRPr="002D2785">
        <w:t xml:space="preserve"> </w:t>
      </w:r>
      <w:r w:rsidR="006B2812" w:rsidRPr="002D2785">
        <w:t xml:space="preserve">repossessed CRRs, with each repossessed CRR in its existing configuration, in a one-time auction to Market Participants (other than the </w:t>
      </w:r>
      <w:r w:rsidR="006B2812" w:rsidRPr="002D2785">
        <w:lastRenderedPageBreak/>
        <w:t>Market Participant(s) in Payment Breach</w:t>
      </w:r>
      <w:r w:rsidR="00EF495A" w:rsidRPr="00EF495A">
        <w:rPr>
          <w:iCs w:val="0"/>
        </w:rPr>
        <w:t xml:space="preserve"> </w:t>
      </w:r>
      <w:r w:rsidR="00EF495A">
        <w:rPr>
          <w:iCs w:val="0"/>
        </w:rPr>
        <w:t>or other Default</w:t>
      </w:r>
      <w:r w:rsidR="006B2812" w:rsidRPr="002D2785">
        <w:t>) for sale to the highest bidder</w:t>
      </w:r>
      <w:r w:rsidR="00EF495A" w:rsidRPr="00EF495A">
        <w:rPr>
          <w:iCs w:val="0"/>
        </w:rPr>
        <w:t xml:space="preserve"> </w:t>
      </w:r>
      <w:r w:rsidR="00EF495A">
        <w:rPr>
          <w:iCs w:val="0"/>
        </w:rPr>
        <w:t>with a positive bid price for the entire portfolio</w:t>
      </w:r>
      <w:r w:rsidR="006B2812" w:rsidRPr="002D2785">
        <w:t xml:space="preserve">.  </w:t>
      </w:r>
      <w:r w:rsidR="00EF495A">
        <w:rPr>
          <w:iCs w:val="0"/>
        </w:rPr>
        <w:t xml:space="preserve">PTP Options with Refund and PTP Obligations with Refund will be voided and will not be included in the portfolio of repossessed CRRs available in the one-time auction.  </w:t>
      </w:r>
      <w:r w:rsidR="006B2812" w:rsidRPr="002D2785">
        <w:t xml:space="preserve">ERCOT shall offset net revenues from that sale against amounts owed to ERCOT by the Market Participant.  </w:t>
      </w:r>
      <w:r w:rsidR="00EF495A">
        <w:t xml:space="preserve">If revenues from the sale exceed amounts owed to ERCOT then the excess shall be remitted to the Market Participant.  </w:t>
      </w:r>
      <w:r w:rsidR="006B2812" w:rsidRPr="002D2785">
        <w:t xml:space="preserve">If ERCOT receives no </w:t>
      </w:r>
      <w:r w:rsidR="00EF495A">
        <w:t xml:space="preserve">positive </w:t>
      </w:r>
      <w:r w:rsidR="006B2812" w:rsidRPr="002D2785">
        <w:t xml:space="preserve">bids for </w:t>
      </w:r>
      <w:r w:rsidR="00EF495A">
        <w:rPr>
          <w:iCs w:val="0"/>
        </w:rPr>
        <w:t xml:space="preserve">the portfolio of </w:t>
      </w:r>
      <w:r w:rsidR="006B2812" w:rsidRPr="002D2785">
        <w:t>CRR</w:t>
      </w:r>
      <w:r w:rsidR="00EF495A">
        <w:t>s</w:t>
      </w:r>
      <w:r w:rsidR="006B2812" w:rsidRPr="002D2785">
        <w:t xml:space="preserve"> in th</w:t>
      </w:r>
      <w:r w:rsidR="00EF495A">
        <w:t>e</w:t>
      </w:r>
      <w:r w:rsidR="006B2812" w:rsidRPr="002D2785">
        <w:t xml:space="preserve"> </w:t>
      </w:r>
      <w:r w:rsidR="00EF495A">
        <w:t xml:space="preserve">one-time </w:t>
      </w:r>
      <w:r w:rsidR="006B2812" w:rsidRPr="002D2785">
        <w:t xml:space="preserve">auction, ERCOT shall void </w:t>
      </w:r>
      <w:r w:rsidR="00EF495A">
        <w:rPr>
          <w:iCs w:val="0"/>
        </w:rPr>
        <w:t xml:space="preserve">all of </w:t>
      </w:r>
      <w:r w:rsidR="006B2812" w:rsidRPr="002D2785">
        <w:t xml:space="preserve">the </w:t>
      </w:r>
      <w:r w:rsidR="00EF495A">
        <w:rPr>
          <w:iCs w:val="0"/>
        </w:rPr>
        <w:t>repossessed</w:t>
      </w:r>
      <w:r w:rsidR="00EF495A" w:rsidRPr="002D2785">
        <w:t xml:space="preserve"> </w:t>
      </w:r>
      <w:r w:rsidR="006B2812" w:rsidRPr="002D2785">
        <w:t>CRR</w:t>
      </w:r>
      <w:r w:rsidR="00EF495A">
        <w:t>s</w:t>
      </w:r>
      <w:r w:rsidR="006B2812" w:rsidRPr="002D2785">
        <w: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4E603E" w14:paraId="6055D1F4" w14:textId="77777777" w:rsidTr="004E603E">
        <w:tc>
          <w:tcPr>
            <w:tcW w:w="9558" w:type="dxa"/>
            <w:shd w:val="pct12" w:color="auto" w:fill="auto"/>
          </w:tcPr>
          <w:p w14:paraId="3B32C8EE" w14:textId="07CE042D" w:rsidR="004E603E" w:rsidRPr="0002450E" w:rsidRDefault="004E603E" w:rsidP="004E603E">
            <w:pPr>
              <w:pStyle w:val="Instructions"/>
              <w:spacing w:before="120"/>
              <w:rPr>
                <w:iCs/>
              </w:rPr>
            </w:pPr>
            <w:r>
              <w:rPr>
                <w:iCs/>
              </w:rPr>
              <w:t>[NPRR1023</w:t>
            </w:r>
            <w:r w:rsidRPr="0002450E">
              <w:rPr>
                <w:iCs/>
              </w:rPr>
              <w:t xml:space="preserve">:  Replace </w:t>
            </w:r>
            <w:r>
              <w:rPr>
                <w:iCs/>
              </w:rPr>
              <w:t xml:space="preserve">paragraph (1) </w:t>
            </w:r>
            <w:r w:rsidRPr="0002450E">
              <w:rPr>
                <w:iCs/>
              </w:rPr>
              <w:t xml:space="preserve">above with the following upon system implementation:] </w:t>
            </w:r>
          </w:p>
          <w:p w14:paraId="26532F99" w14:textId="11B9EB51" w:rsidR="004E603E" w:rsidRPr="008D69E1" w:rsidRDefault="004E603E" w:rsidP="004E603E">
            <w:pPr>
              <w:pStyle w:val="BodyText"/>
              <w:ind w:left="720" w:hanging="720"/>
            </w:pPr>
            <w:r>
              <w:t>(1)</w:t>
            </w:r>
            <w:r>
              <w:tab/>
            </w:r>
            <w:r w:rsidRPr="002D2785">
              <w:t xml:space="preserve">ERCOT, at its sole discretion, may repossess CRRs held by a Market Participant </w:t>
            </w:r>
            <w:r>
              <w:t>in</w:t>
            </w:r>
            <w:r w:rsidRPr="002D2785">
              <w:t xml:space="preserve"> </w:t>
            </w:r>
            <w:r>
              <w:t>Default under an Agreement with ERCOT</w:t>
            </w:r>
            <w:r w:rsidRPr="002D2785">
              <w:t xml:space="preserve">.  ERCOT shall effect that repossession by sending a written notice to the Market Participant of the repossession and by removing the Market Participant’s </w:t>
            </w:r>
            <w:r>
              <w:t>access to the repossessed CRRs.</w:t>
            </w:r>
            <w:r w:rsidRPr="002D2785">
              <w:t xml:space="preserve">  </w:t>
            </w:r>
            <w:r>
              <w:t>The repossessed CRRs will be handled as specified in Section 16.11.6.1.6, Liquidation of Repossessed or Forfeited CRRs.</w:t>
            </w:r>
          </w:p>
        </w:tc>
      </w:tr>
    </w:tbl>
    <w:p w14:paraId="38377848" w14:textId="77777777" w:rsidR="00FC1C5F" w:rsidRDefault="00727E32" w:rsidP="00974AFC">
      <w:pPr>
        <w:pStyle w:val="H5"/>
        <w:spacing w:before="480"/>
      </w:pPr>
      <w:bookmarkStart w:id="598" w:name="_Toc390438982"/>
      <w:bookmarkStart w:id="599" w:name="_Toc405897685"/>
      <w:bookmarkStart w:id="600" w:name="_Toc415055785"/>
      <w:bookmarkStart w:id="601" w:name="_Toc415055911"/>
      <w:bookmarkStart w:id="602" w:name="_Toc415056010"/>
      <w:bookmarkStart w:id="603" w:name="_Toc415056110"/>
      <w:bookmarkStart w:id="604" w:name="_Toc148960890"/>
      <w:r>
        <w:t>16.11.6.1.5</w:t>
      </w:r>
      <w:r>
        <w:tab/>
        <w:t>Declaration of Forfeit of CRRs</w:t>
      </w:r>
      <w:bookmarkEnd w:id="598"/>
      <w:bookmarkEnd w:id="599"/>
      <w:bookmarkEnd w:id="600"/>
      <w:bookmarkEnd w:id="601"/>
      <w:bookmarkEnd w:id="602"/>
      <w:bookmarkEnd w:id="603"/>
      <w:bookmarkEnd w:id="604"/>
    </w:p>
    <w:p w14:paraId="4D2CE207" w14:textId="77777777" w:rsidR="004E603E" w:rsidRDefault="00727E32">
      <w:pPr>
        <w:pStyle w:val="BodyText"/>
        <w:ind w:left="720" w:hanging="720"/>
      </w:pPr>
      <w:r>
        <w:t>(1)</w:t>
      </w:r>
      <w:r>
        <w:tab/>
        <w:t xml:space="preserve">At ERCOT’s sole discretion, if it does not receive full payment on the due date of a CRR Auction Invoice, may declare any of the CRR bids cleared and Pre-Assigned Congestion Revenue Rights (PCRRs) allocated to the </w:t>
      </w:r>
      <w:r>
        <w:rPr>
          <w:color w:val="000000"/>
        </w:rPr>
        <w:t xml:space="preserve">Market Participant </w:t>
      </w:r>
      <w:r>
        <w:t xml:space="preserve">forfeited. ERCOT shall effect that forfeiture by sending a written notice to the </w:t>
      </w:r>
      <w:r>
        <w:rPr>
          <w:color w:val="000000"/>
        </w:rPr>
        <w:t>Market Participant</w:t>
      </w:r>
      <w:r>
        <w:t xml:space="preserve"> of the forfeiture and of not delivering the CRRs or PCRRs to the </w:t>
      </w:r>
      <w:r>
        <w:rPr>
          <w:color w:val="000000"/>
        </w:rPr>
        <w:t>Market Participant</w:t>
      </w:r>
      <w:r>
        <w:t xml:space="preserve">’s CRR account.  ERCOT shall </w:t>
      </w:r>
      <w:r w:rsidR="00EF495A">
        <w:rPr>
          <w:iCs w:val="0"/>
        </w:rPr>
        <w:t xml:space="preserve">either (a) </w:t>
      </w:r>
      <w:r>
        <w:t xml:space="preserve">offer all forfeited CRRs, with each forfeited CRR in its existing configuration, in a one-time auction to Market Participants (other than the </w:t>
      </w:r>
      <w:r>
        <w:rPr>
          <w:color w:val="000000"/>
        </w:rPr>
        <w:t>Market Participant(s)</w:t>
      </w:r>
      <w:r>
        <w:t xml:space="preserve"> in Payment Breach</w:t>
      </w:r>
      <w:r w:rsidR="00EF495A">
        <w:rPr>
          <w:iCs w:val="0"/>
        </w:rPr>
        <w:t xml:space="preserve"> or other Default</w:t>
      </w:r>
      <w:r>
        <w:t xml:space="preserve">) for sale to the highest bidder </w:t>
      </w:r>
      <w:r w:rsidR="00EF495A">
        <w:rPr>
          <w:iCs w:val="0"/>
        </w:rPr>
        <w:t>with a positive bid price</w:t>
      </w:r>
      <w:r w:rsidR="00EF495A" w:rsidRPr="00646059">
        <w:rPr>
          <w:iCs w:val="0"/>
        </w:rPr>
        <w:t xml:space="preserve"> </w:t>
      </w:r>
      <w:r>
        <w:t xml:space="preserve">or </w:t>
      </w:r>
      <w:r w:rsidR="00EF495A">
        <w:t xml:space="preserve">(b) </w:t>
      </w:r>
      <w:r>
        <w:t xml:space="preserve">ERCOT shall make the related capacity available in subsequent CRR Auctions.  Revenue from that sale shall be considered as CRR Auction revenue and distributed to QSEs based on Load Ratio Share as specified in </w:t>
      </w:r>
      <w:bookmarkStart w:id="605" w:name="_Toc149469980"/>
      <w:r>
        <w:t xml:space="preserve">Section 7.5.7, Method for Distributing </w:t>
      </w:r>
      <w:smartTag w:uri="urn:schemas-microsoft-com:office:smarttags" w:element="stockticker">
        <w:r>
          <w:t>CRR</w:t>
        </w:r>
      </w:smartTag>
      <w:r>
        <w:t xml:space="preserve"> Auction Revenues</w:t>
      </w:r>
      <w:bookmarkEnd w:id="605"/>
      <w:r>
        <w: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4E603E" w14:paraId="62CFD33D" w14:textId="77777777" w:rsidTr="004E603E">
        <w:tc>
          <w:tcPr>
            <w:tcW w:w="9558" w:type="dxa"/>
            <w:shd w:val="pct12" w:color="auto" w:fill="auto"/>
          </w:tcPr>
          <w:p w14:paraId="4DE7FF68" w14:textId="77777777" w:rsidR="004E603E" w:rsidRPr="0002450E" w:rsidRDefault="004E603E" w:rsidP="004E603E">
            <w:pPr>
              <w:pStyle w:val="Instructions"/>
              <w:spacing w:before="120"/>
              <w:rPr>
                <w:iCs/>
              </w:rPr>
            </w:pPr>
            <w:r>
              <w:rPr>
                <w:iCs/>
              </w:rPr>
              <w:t>[NPRR1023</w:t>
            </w:r>
            <w:r w:rsidRPr="0002450E">
              <w:rPr>
                <w:iCs/>
              </w:rPr>
              <w:t xml:space="preserve">:  Replace </w:t>
            </w:r>
            <w:r>
              <w:rPr>
                <w:iCs/>
              </w:rPr>
              <w:t xml:space="preserve">paragraph (1) </w:t>
            </w:r>
            <w:r w:rsidRPr="0002450E">
              <w:rPr>
                <w:iCs/>
              </w:rPr>
              <w:t xml:space="preserve">above with the following upon system implementation:] </w:t>
            </w:r>
          </w:p>
          <w:p w14:paraId="583E22F4" w14:textId="235890D4" w:rsidR="004E603E" w:rsidRPr="008D69E1" w:rsidRDefault="004E603E" w:rsidP="004E603E">
            <w:pPr>
              <w:pStyle w:val="BodyText"/>
              <w:ind w:left="720" w:hanging="720"/>
            </w:pPr>
            <w:r>
              <w:t>(1)</w:t>
            </w:r>
            <w:r>
              <w:tab/>
              <w:t xml:space="preserve">At ERCOT’s sole discretion, if it does not receive full payment on the due date of a CRR Auction Invoice, it may declare any of the CRR bids cleared and Pre-Assigned Congestion Revenue Rights (PCRRs) allocated to the </w:t>
            </w:r>
            <w:r>
              <w:rPr>
                <w:color w:val="000000"/>
              </w:rPr>
              <w:t xml:space="preserve">Market Participant </w:t>
            </w:r>
            <w:r>
              <w:t xml:space="preserve">forfeited. ERCOT shall effect that forfeiture by sending a written Notice to the </w:t>
            </w:r>
            <w:r>
              <w:rPr>
                <w:color w:val="000000"/>
              </w:rPr>
              <w:t>Market Participant</w:t>
            </w:r>
            <w:r>
              <w:t xml:space="preserve"> of the forfeiture and by not delivering the CRRs or PCRRs to the </w:t>
            </w:r>
            <w:r>
              <w:rPr>
                <w:color w:val="000000"/>
              </w:rPr>
              <w:t>Market Participant</w:t>
            </w:r>
            <w:r>
              <w:t>’s CRR account.  The forfeited CRRs or PCRRs will be liquidated as specified in Section 16.11.6.1.6, Liquidation of Repossessed or Forfeited CRRs.</w:t>
            </w:r>
          </w:p>
        </w:tc>
      </w:tr>
    </w:tbl>
    <w:p w14:paraId="13FB18FE" w14:textId="77777777" w:rsidR="00FC1C5F" w:rsidRDefault="00727E32" w:rsidP="00974AFC">
      <w:pPr>
        <w:pStyle w:val="BodyText"/>
        <w:spacing w:before="240"/>
        <w:ind w:left="720" w:hanging="720"/>
      </w:pPr>
      <w:r>
        <w:lastRenderedPageBreak/>
        <w:t>(2)</w:t>
      </w:r>
      <w:r>
        <w:tab/>
        <w:t xml:space="preserve">ERCOT may also, at its sole discretion, honor any of the offers from Market Participants that were cleared in the CRR Auction by removing the CRRs from the Market Participant’s CRR account.  ERCOT shall offset net revenues due to the Market Participant from CRRs offered and cleared against amounts owed to ERCOT by the </w:t>
      </w:r>
      <w:r>
        <w:rPr>
          <w:color w:val="000000"/>
        </w:rPr>
        <w:t>Market Participant</w:t>
      </w:r>
      <w:r>
        <w: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4E603E" w14:paraId="6D184061" w14:textId="77777777" w:rsidTr="004E603E">
        <w:tc>
          <w:tcPr>
            <w:tcW w:w="9558" w:type="dxa"/>
            <w:shd w:val="pct12" w:color="auto" w:fill="auto"/>
          </w:tcPr>
          <w:p w14:paraId="49139DB6" w14:textId="5699EA02" w:rsidR="004E603E" w:rsidRPr="0002450E" w:rsidRDefault="004E603E" w:rsidP="004E603E">
            <w:pPr>
              <w:pStyle w:val="Instructions"/>
              <w:spacing w:before="120"/>
              <w:rPr>
                <w:iCs/>
              </w:rPr>
            </w:pPr>
            <w:bookmarkStart w:id="606" w:name="_Toc390438983"/>
            <w:bookmarkStart w:id="607" w:name="_Toc405897686"/>
            <w:bookmarkStart w:id="608" w:name="_Toc415055786"/>
            <w:bookmarkStart w:id="609" w:name="_Toc415055912"/>
            <w:bookmarkStart w:id="610" w:name="_Toc415056011"/>
            <w:bookmarkStart w:id="611" w:name="_Toc415056111"/>
            <w:r>
              <w:rPr>
                <w:iCs/>
              </w:rPr>
              <w:t>[NPRR1023</w:t>
            </w:r>
            <w:r w:rsidRPr="0002450E">
              <w:rPr>
                <w:iCs/>
              </w:rPr>
              <w:t xml:space="preserve">:  Replace </w:t>
            </w:r>
            <w:r>
              <w:rPr>
                <w:iCs/>
              </w:rPr>
              <w:t xml:space="preserve">paragraph (2) </w:t>
            </w:r>
            <w:r w:rsidRPr="0002450E">
              <w:rPr>
                <w:iCs/>
              </w:rPr>
              <w:t xml:space="preserve">above with the following upon system implementation:] </w:t>
            </w:r>
          </w:p>
          <w:p w14:paraId="10963267" w14:textId="1C6316A1" w:rsidR="004E603E" w:rsidRPr="008D69E1" w:rsidRDefault="004E603E" w:rsidP="004E603E">
            <w:pPr>
              <w:pStyle w:val="BodyText"/>
              <w:ind w:left="720" w:hanging="720"/>
            </w:pPr>
            <w:r>
              <w:t>(2)</w:t>
            </w:r>
            <w:r>
              <w:tab/>
              <w:t xml:space="preserve">ERCOT may also, at its sole discretion, honor any of the sell offers that were cleared in the CRR Auction made by a Market Participant who fails to fully pay the CRR Auction Invoice when due.  ERCOT shall offset net revenues due to the Market Participant from CRRs offered and cleared against amounts owed to ERCOT by the </w:t>
            </w:r>
            <w:r>
              <w:rPr>
                <w:color w:val="000000"/>
              </w:rPr>
              <w:t>Market Participant</w:t>
            </w:r>
            <w:r>
              <w:t>.</w:t>
            </w:r>
          </w:p>
        </w:tc>
      </w:tr>
    </w:tbl>
    <w:p w14:paraId="566A6FBC" w14:textId="77777777" w:rsidR="004E603E" w:rsidRDefault="004E603E" w:rsidP="004E603E">
      <w:pPr>
        <w:pStyle w:val="H5"/>
        <w:spacing w:before="0" w:after="0"/>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4E603E" w14:paraId="35E4FEF6" w14:textId="77777777" w:rsidTr="004E603E">
        <w:tc>
          <w:tcPr>
            <w:tcW w:w="9558" w:type="dxa"/>
            <w:shd w:val="pct12" w:color="auto" w:fill="auto"/>
          </w:tcPr>
          <w:p w14:paraId="46676B98" w14:textId="605251F2" w:rsidR="004E603E" w:rsidRPr="0002450E" w:rsidRDefault="004E603E" w:rsidP="004E603E">
            <w:pPr>
              <w:pStyle w:val="Instructions"/>
              <w:spacing w:before="120"/>
              <w:rPr>
                <w:iCs/>
              </w:rPr>
            </w:pPr>
            <w:r>
              <w:rPr>
                <w:iCs/>
              </w:rPr>
              <w:t>[NPRR1023</w:t>
            </w:r>
            <w:r w:rsidRPr="0002450E">
              <w:rPr>
                <w:iCs/>
              </w:rPr>
              <w:t xml:space="preserve">:  </w:t>
            </w:r>
            <w:r>
              <w:rPr>
                <w:iCs/>
              </w:rPr>
              <w:t>Insert Section 16.11.6.1.6 below</w:t>
            </w:r>
            <w:r w:rsidRPr="0002450E">
              <w:rPr>
                <w:iCs/>
              </w:rPr>
              <w:t xml:space="preserve"> upon system implementation</w:t>
            </w:r>
            <w:r>
              <w:rPr>
                <w:iCs/>
              </w:rPr>
              <w:t xml:space="preserve"> and renumber accordingly</w:t>
            </w:r>
            <w:r w:rsidRPr="0002450E">
              <w:rPr>
                <w:iCs/>
              </w:rPr>
              <w:t xml:space="preserve">:] </w:t>
            </w:r>
          </w:p>
          <w:p w14:paraId="0F4C41C5" w14:textId="77777777" w:rsidR="004E603E" w:rsidRPr="004E603E" w:rsidRDefault="004E603E" w:rsidP="004E603E">
            <w:pPr>
              <w:keepNext/>
              <w:tabs>
                <w:tab w:val="left" w:pos="1620"/>
              </w:tabs>
              <w:spacing w:after="240"/>
              <w:ind w:left="1620" w:hanging="1620"/>
              <w:outlineLvl w:val="4"/>
              <w:rPr>
                <w:b/>
                <w:bCs/>
                <w:i/>
                <w:iCs/>
                <w:szCs w:val="26"/>
              </w:rPr>
            </w:pPr>
            <w:bookmarkStart w:id="612" w:name="_Toc85094702"/>
            <w:bookmarkStart w:id="613" w:name="_Toc91061018"/>
            <w:bookmarkStart w:id="614" w:name="_Toc134442868"/>
            <w:bookmarkStart w:id="615" w:name="_Toc146274809"/>
            <w:bookmarkStart w:id="616" w:name="_Toc148960891"/>
            <w:r w:rsidRPr="004E603E">
              <w:rPr>
                <w:b/>
                <w:bCs/>
                <w:i/>
                <w:iCs/>
                <w:szCs w:val="26"/>
              </w:rPr>
              <w:t>16.11.6.1.6</w:t>
            </w:r>
            <w:r w:rsidRPr="004E603E">
              <w:rPr>
                <w:b/>
                <w:bCs/>
                <w:i/>
                <w:iCs/>
                <w:szCs w:val="26"/>
              </w:rPr>
              <w:tab/>
              <w:t>Liquidation of Repossessed or Forfeited CRRs</w:t>
            </w:r>
            <w:bookmarkEnd w:id="612"/>
            <w:bookmarkEnd w:id="613"/>
            <w:bookmarkEnd w:id="614"/>
            <w:bookmarkEnd w:id="615"/>
            <w:bookmarkEnd w:id="616"/>
          </w:p>
          <w:p w14:paraId="7B83ED0B" w14:textId="77777777" w:rsidR="004E603E" w:rsidRPr="004E603E" w:rsidRDefault="004E603E" w:rsidP="004E603E">
            <w:pPr>
              <w:spacing w:before="120" w:after="120"/>
              <w:ind w:left="720" w:hanging="720"/>
              <w:rPr>
                <w:szCs w:val="24"/>
              </w:rPr>
            </w:pPr>
            <w:r w:rsidRPr="004E603E">
              <w:rPr>
                <w:szCs w:val="24"/>
              </w:rPr>
              <w:t>(1)</w:t>
            </w:r>
            <w:r w:rsidRPr="004E603E">
              <w:rPr>
                <w:szCs w:val="24"/>
              </w:rPr>
              <w:tab/>
              <w:t>If any repossessed or forfeited CRRs have the following characteristics, they will be irrevocably voided, the capacity will be dissolved, and they will not settle in the DAM beyond the effective date of the repossession or forfeiture nor be offered into any future CRR Auctions:</w:t>
            </w:r>
          </w:p>
          <w:p w14:paraId="0F29ADF8" w14:textId="77777777" w:rsidR="004E603E" w:rsidRPr="004E603E" w:rsidRDefault="004E603E" w:rsidP="004E603E">
            <w:pPr>
              <w:spacing w:before="120" w:after="120"/>
              <w:ind w:left="1440" w:hanging="720"/>
              <w:rPr>
                <w:szCs w:val="24"/>
              </w:rPr>
            </w:pPr>
            <w:r w:rsidRPr="004E603E">
              <w:rPr>
                <w:szCs w:val="24"/>
              </w:rPr>
              <w:t xml:space="preserve">(a) </w:t>
            </w:r>
            <w:r w:rsidRPr="004E603E">
              <w:rPr>
                <w:szCs w:val="24"/>
              </w:rPr>
              <w:tab/>
              <w:t xml:space="preserve">PTP Options with Refund and PTP Obligations with Refund; </w:t>
            </w:r>
          </w:p>
          <w:p w14:paraId="4D03B705" w14:textId="77777777" w:rsidR="004E603E" w:rsidRPr="004E603E" w:rsidRDefault="004E603E" w:rsidP="004E603E">
            <w:pPr>
              <w:spacing w:before="120" w:after="120"/>
              <w:ind w:left="1440" w:hanging="720"/>
              <w:rPr>
                <w:szCs w:val="24"/>
              </w:rPr>
            </w:pPr>
            <w:r w:rsidRPr="004E603E">
              <w:rPr>
                <w:szCs w:val="24"/>
              </w:rPr>
              <w:t xml:space="preserve">(b) </w:t>
            </w:r>
            <w:r w:rsidRPr="004E603E">
              <w:rPr>
                <w:szCs w:val="24"/>
              </w:rPr>
              <w:tab/>
              <w:t>Awarded PCRRs that have not yet been priced in a CRR Auction and paid for by the breaching or defaulting Market Participant; and</w:t>
            </w:r>
          </w:p>
          <w:p w14:paraId="22910FF0" w14:textId="77777777" w:rsidR="004E603E" w:rsidRPr="004E603E" w:rsidRDefault="004E603E" w:rsidP="004E603E">
            <w:pPr>
              <w:spacing w:before="120" w:after="120"/>
              <w:ind w:left="1440" w:hanging="720"/>
              <w:rPr>
                <w:szCs w:val="24"/>
              </w:rPr>
            </w:pPr>
            <w:r w:rsidRPr="004E603E">
              <w:rPr>
                <w:szCs w:val="24"/>
              </w:rPr>
              <w:t>(c)</w:t>
            </w:r>
            <w:r w:rsidRPr="004E603E">
              <w:rPr>
                <w:szCs w:val="24"/>
              </w:rPr>
              <w:tab/>
              <w:t>Partial-month CRRs resulting from bilateral trades.</w:t>
            </w:r>
          </w:p>
          <w:p w14:paraId="321D2ADA" w14:textId="77777777" w:rsidR="004E603E" w:rsidRPr="004E603E" w:rsidRDefault="004E603E" w:rsidP="004E603E">
            <w:pPr>
              <w:spacing w:before="120" w:after="120"/>
              <w:ind w:left="720" w:hanging="720"/>
              <w:rPr>
                <w:szCs w:val="24"/>
              </w:rPr>
            </w:pPr>
            <w:r w:rsidRPr="004E603E">
              <w:rPr>
                <w:szCs w:val="24"/>
              </w:rPr>
              <w:t>(2)</w:t>
            </w:r>
            <w:r w:rsidRPr="004E603E">
              <w:rPr>
                <w:szCs w:val="24"/>
              </w:rPr>
              <w:tab/>
              <w:t>The remaining unvoided CRRs in the repossessed or forfeited portfolio will be liquidated in the following manner, based on the characteristics of the CRRs:</w:t>
            </w:r>
          </w:p>
          <w:p w14:paraId="2401BDAC" w14:textId="77777777" w:rsidR="004E603E" w:rsidRPr="004E603E" w:rsidRDefault="004E603E" w:rsidP="004E603E">
            <w:pPr>
              <w:spacing w:before="120" w:after="120"/>
              <w:ind w:left="1440" w:hanging="720"/>
              <w:rPr>
                <w:szCs w:val="24"/>
              </w:rPr>
            </w:pPr>
            <w:r w:rsidRPr="004E603E">
              <w:rPr>
                <w:szCs w:val="24"/>
              </w:rPr>
              <w:t xml:space="preserve">(a) </w:t>
            </w:r>
            <w:r w:rsidRPr="004E603E">
              <w:rPr>
                <w:szCs w:val="24"/>
              </w:rPr>
              <w:tab/>
              <w:t>For CRRs that settle in the same month as the effective date of the repossession or forfeiture, for CRRs where the timing of the Market Participant Payment Breach or Default does not allow for the repossessed or forfeited CRRs to be offered into the CRR Monthly Auction in the calendar month following the Payment Breach or Default, for forfeited CRRs that were awarded in a CRR Monthly Auction, and for repossessed CRRs that have been offered into every available auction but were not fully awarded, the CRRs will settle in the DAM and may result in net payments or charges accruing for Operating Days throughout the month, as follows:</w:t>
            </w:r>
          </w:p>
          <w:p w14:paraId="71D6261B" w14:textId="77777777" w:rsidR="004E603E" w:rsidRPr="004E603E" w:rsidRDefault="004E603E" w:rsidP="004E603E">
            <w:pPr>
              <w:spacing w:before="120" w:after="120"/>
              <w:ind w:left="2160" w:hanging="720"/>
              <w:rPr>
                <w:szCs w:val="24"/>
              </w:rPr>
            </w:pPr>
            <w:r w:rsidRPr="004E603E">
              <w:rPr>
                <w:szCs w:val="24"/>
              </w:rPr>
              <w:lastRenderedPageBreak/>
              <w:t>(i)</w:t>
            </w:r>
            <w:r w:rsidRPr="004E603E">
              <w:rPr>
                <w:szCs w:val="24"/>
              </w:rPr>
              <w:tab/>
              <w:t>If the CRR portfolio results in a net charge in the DAM, the payment will, to the extent possible, be made by drawing on any available Financial Security of the Market Participant from whom the CRRs were repossessed or forfeited.  If this is insufficient to pay the charge in full, the remainder due will be short-paid for the Operating Day in accordance with Section 9.7.3, Enforcing the Financial Security of a Short-Paying Invoice Recipient.  Regardless of the short pay, any Market Participant from whom CRRs were repossessed or forfeited shall remain liable for any charges associated with the liquidation of its CRRs in accordance with paragraph (4) of Section 16.11.6.1.7, Revocation of a Market Participant’s Rights and Termination of Agreements.</w:t>
            </w:r>
          </w:p>
          <w:p w14:paraId="3F80C39C" w14:textId="77777777" w:rsidR="004E603E" w:rsidRPr="004E603E" w:rsidRDefault="004E603E" w:rsidP="004E603E">
            <w:pPr>
              <w:spacing w:before="120" w:after="120"/>
              <w:ind w:left="2160" w:hanging="720"/>
              <w:rPr>
                <w:szCs w:val="24"/>
              </w:rPr>
            </w:pPr>
            <w:r w:rsidRPr="004E603E">
              <w:rPr>
                <w:szCs w:val="24"/>
              </w:rPr>
              <w:t>(ii)</w:t>
            </w:r>
            <w:r w:rsidRPr="004E603E">
              <w:rPr>
                <w:szCs w:val="24"/>
              </w:rPr>
              <w:tab/>
              <w:t xml:space="preserve">If the CRR portfolio results in a net payment in the DAM, the payment amount will be added to the cash collateral held by ERCOT for the Market Participant from whom the CRRs were repossessed or forfeited. </w:t>
            </w:r>
          </w:p>
          <w:p w14:paraId="49DCFD6E" w14:textId="77777777" w:rsidR="004E603E" w:rsidRPr="004E603E" w:rsidRDefault="004E603E" w:rsidP="004E603E">
            <w:pPr>
              <w:spacing w:before="120" w:after="120"/>
              <w:ind w:left="1440" w:hanging="720"/>
              <w:rPr>
                <w:szCs w:val="24"/>
              </w:rPr>
            </w:pPr>
            <w:r w:rsidRPr="004E603E">
              <w:rPr>
                <w:szCs w:val="24"/>
              </w:rPr>
              <w:t xml:space="preserve">(b) </w:t>
            </w:r>
            <w:r w:rsidRPr="004E603E">
              <w:rPr>
                <w:szCs w:val="24"/>
              </w:rPr>
              <w:tab/>
              <w:t xml:space="preserve">For any remaining unvoided repossessed or forfeited CRRs for one-month or multi-month strips, ERCOT will offer each CRR into the next available auction for the effective time period of the repossessed or forfeited CRR.   </w:t>
            </w:r>
          </w:p>
          <w:p w14:paraId="3DF342EC" w14:textId="77777777" w:rsidR="004E603E" w:rsidRPr="004E603E" w:rsidRDefault="004E603E" w:rsidP="004E603E">
            <w:pPr>
              <w:spacing w:before="120" w:after="120"/>
              <w:ind w:left="2160" w:hanging="720"/>
              <w:rPr>
                <w:szCs w:val="24"/>
              </w:rPr>
            </w:pPr>
            <w:r w:rsidRPr="004E603E">
              <w:rPr>
                <w:szCs w:val="24"/>
              </w:rPr>
              <w:t>(i)</w:t>
            </w:r>
            <w:r w:rsidRPr="004E603E">
              <w:rPr>
                <w:szCs w:val="24"/>
              </w:rPr>
              <w:tab/>
              <w:t>CRRs will be offered into auctions at -$0.01 for PTP Options and -$500.00 for PTP Obligations.</w:t>
            </w:r>
          </w:p>
          <w:p w14:paraId="385B2908" w14:textId="77777777" w:rsidR="004E603E" w:rsidRPr="004E603E" w:rsidRDefault="004E603E" w:rsidP="004E603E">
            <w:pPr>
              <w:spacing w:before="120" w:after="120"/>
              <w:ind w:left="2160" w:hanging="720"/>
              <w:rPr>
                <w:szCs w:val="24"/>
              </w:rPr>
            </w:pPr>
            <w:r w:rsidRPr="004E603E">
              <w:rPr>
                <w:szCs w:val="24"/>
              </w:rPr>
              <w:t>(ii)</w:t>
            </w:r>
            <w:r w:rsidRPr="004E603E">
              <w:rPr>
                <w:szCs w:val="24"/>
              </w:rPr>
              <w:tab/>
              <w:t>If a CRR is offered into an auction but is not fully awarded, the remaining MW of the CRR will be offered into the next available auction for the effective time period of the repossessed or forfeited CRR.  ERCOT may adjust the offer price for a PTP Obligation in subsequent auctions to increase the likelihood of the sell offer being fully awarded.</w:t>
            </w:r>
          </w:p>
          <w:p w14:paraId="1C41F4D2" w14:textId="77777777" w:rsidR="004E603E" w:rsidRPr="004E603E" w:rsidRDefault="004E603E" w:rsidP="004E603E">
            <w:pPr>
              <w:spacing w:before="120" w:after="120"/>
              <w:ind w:left="2160"/>
              <w:rPr>
                <w:szCs w:val="24"/>
              </w:rPr>
            </w:pPr>
            <w:r w:rsidRPr="004E603E">
              <w:rPr>
                <w:szCs w:val="24"/>
              </w:rPr>
              <w:t xml:space="preserve">If another auction will not be held for the effective time period of the repossessed or forfeited CRRs, the remaining unawarded MW of each CRR will settle in the DAM and may result in net payments or charges accruing for Operating Days throughout the month, as noted in paragraph (2)(a) above. </w:t>
            </w:r>
          </w:p>
          <w:p w14:paraId="2959D8C2" w14:textId="77777777" w:rsidR="004E603E" w:rsidRPr="004E603E" w:rsidRDefault="004E603E" w:rsidP="004E603E">
            <w:pPr>
              <w:spacing w:before="120" w:after="120"/>
              <w:ind w:left="2160" w:hanging="720"/>
              <w:rPr>
                <w:szCs w:val="24"/>
              </w:rPr>
            </w:pPr>
            <w:r w:rsidRPr="004E603E">
              <w:rPr>
                <w:szCs w:val="24"/>
              </w:rPr>
              <w:t>(iii)</w:t>
            </w:r>
            <w:r w:rsidRPr="004E603E">
              <w:rPr>
                <w:szCs w:val="24"/>
              </w:rPr>
              <w:tab/>
              <w:t xml:space="preserve">Prior to offering repossessed or forfeited CRRs into an auction, ERCOT will calculate the value of all PTP Obligations for each CRR Account Holder associated with the defaulting Counter-Party by summing the value of all existing PTP Obligations for which the most recent auction clearing price for the effective time period of the auction was negative.  The value of each CRR will be calculated per the following formula: (MW amount) x (TOU hours) x (auction clearing price).  The total value of the PTP Obligations for the defaulting Counter-Party will be evaluated to determine if it exceeds 10% of the value of all existing PTP Obligations for which the most recent auction clearing prices for the </w:t>
            </w:r>
            <w:r w:rsidRPr="004E603E">
              <w:rPr>
                <w:szCs w:val="24"/>
              </w:rPr>
              <w:lastRenderedPageBreak/>
              <w:t xml:space="preserve">effective time period of the auction were negative.  If the total value of the PTP Obligations for the defaulting Counter-Party to be offered into an auction exceeds the 10% threshold, ERCOT will prorate the CRR MW amounts to be offered into the auction to reduce the total portfolio value to be below the 10% threshold.  The remaining CRR MW will be offered into the next available auction for the effective time period of the repossessed or forfeited CRRs or will settle in DAM if there will not be another auction for the effective time period. </w:t>
            </w:r>
            <w:r w:rsidRPr="004E603E" w:rsidDel="00FD6948">
              <w:rPr>
                <w:szCs w:val="24"/>
              </w:rPr>
              <w:t xml:space="preserve"> </w:t>
            </w:r>
          </w:p>
          <w:p w14:paraId="76DD545A" w14:textId="77777777" w:rsidR="004E603E" w:rsidRPr="004E603E" w:rsidRDefault="004E603E" w:rsidP="004E603E">
            <w:pPr>
              <w:spacing w:before="120" w:after="120"/>
              <w:ind w:left="2160" w:hanging="720"/>
              <w:rPr>
                <w:szCs w:val="24"/>
              </w:rPr>
            </w:pPr>
            <w:r w:rsidRPr="004E603E">
              <w:rPr>
                <w:szCs w:val="24"/>
              </w:rPr>
              <w:t>(iv)</w:t>
            </w:r>
            <w:r w:rsidRPr="004E603E">
              <w:rPr>
                <w:szCs w:val="24"/>
              </w:rPr>
              <w:tab/>
              <w:t>A charge resulting from the sale of the CRRs into an auction will, to the extent possible, be paid by drawing on any available Financial Security of the Market Participant from whom the CRRs were repossessed or forfeited.  If this is insufficient to pay the charge in full, the remainder due will be short-paid in accordance with Section 9.7.3.  Regardless of the short pay, any Market Participant from whom CRRs were repossessed or forfeited shall remain liable for any charges associated with the liquidation of its CRRs in accordance with paragraph (4) of Section 16.11.6.1.7.</w:t>
            </w:r>
          </w:p>
          <w:p w14:paraId="0897780B" w14:textId="499102D6" w:rsidR="004E603E" w:rsidRPr="004E603E" w:rsidRDefault="004E603E" w:rsidP="004E603E">
            <w:pPr>
              <w:spacing w:before="120" w:after="120"/>
              <w:ind w:left="2160" w:hanging="720"/>
              <w:rPr>
                <w:szCs w:val="24"/>
              </w:rPr>
            </w:pPr>
            <w:r w:rsidRPr="004E603E">
              <w:rPr>
                <w:szCs w:val="24"/>
              </w:rPr>
              <w:t>(v)</w:t>
            </w:r>
            <w:r w:rsidRPr="004E603E">
              <w:rPr>
                <w:szCs w:val="24"/>
              </w:rPr>
              <w:tab/>
              <w:t xml:space="preserve">A payment resulting from the sale of the CRRs into an auction will be added to the Financial Security of the Market Participant from whom the CRRs were repossessed or forfeited. </w:t>
            </w:r>
          </w:p>
        </w:tc>
      </w:tr>
    </w:tbl>
    <w:p w14:paraId="22FA8A83" w14:textId="77777777" w:rsidR="00FC1C5F" w:rsidRDefault="00727E32" w:rsidP="00974AFC">
      <w:pPr>
        <w:pStyle w:val="H5"/>
        <w:spacing w:before="480"/>
      </w:pPr>
      <w:bookmarkStart w:id="617" w:name="_Toc70591655"/>
      <w:bookmarkStart w:id="618" w:name="_Toc148960892"/>
      <w:r>
        <w:lastRenderedPageBreak/>
        <w:t>16.11.6.1.6</w:t>
      </w:r>
      <w:r>
        <w:tab/>
        <w:t>Revocation of a Market Participant’s Rights and Termination of Agreements</w:t>
      </w:r>
      <w:bookmarkEnd w:id="606"/>
      <w:bookmarkEnd w:id="607"/>
      <w:bookmarkEnd w:id="608"/>
      <w:bookmarkEnd w:id="609"/>
      <w:bookmarkEnd w:id="610"/>
      <w:bookmarkEnd w:id="611"/>
      <w:bookmarkEnd w:id="617"/>
      <w:bookmarkEnd w:id="618"/>
    </w:p>
    <w:p w14:paraId="00A08CF3" w14:textId="77777777" w:rsidR="00FC1C5F" w:rsidRDefault="00727E32">
      <w:pPr>
        <w:pStyle w:val="BodyTextNumbered"/>
      </w:pPr>
      <w:r>
        <w:t>(1)</w:t>
      </w:r>
      <w:r>
        <w:tab/>
        <w:t xml:space="preserve">ERCOT may revoke a breaching Market Participant’s rights to conduct activities </w:t>
      </w:r>
      <w:r>
        <w:rPr>
          <w:szCs w:val="24"/>
        </w:rPr>
        <w:t>under these Protocols</w:t>
      </w:r>
      <w:r>
        <w:t xml:space="preserve">.  ERCOT </w:t>
      </w:r>
      <w:r>
        <w:rPr>
          <w:szCs w:val="24"/>
        </w:rPr>
        <w:t xml:space="preserve">may also </w:t>
      </w:r>
      <w:r>
        <w:t>terminate the breaching Market Participant’s agreements with ERCOT.</w:t>
      </w:r>
    </w:p>
    <w:p w14:paraId="2A4BF316" w14:textId="5F4525E7" w:rsidR="00FC1C5F" w:rsidRDefault="00727E32">
      <w:pPr>
        <w:pStyle w:val="BodyTextNumbered"/>
      </w:pPr>
      <w:r>
        <w:t>(2)</w:t>
      </w:r>
      <w:r>
        <w:tab/>
        <w:t xml:space="preserve">If ERCOT revokes a Market Participant’s rights or terminates the Market Participant’s agreements, then the provisions of Section 16.2.5, Suspended </w:t>
      </w:r>
      <w:r w:rsidR="00826ED4">
        <w:t xml:space="preserve">or Terminated </w:t>
      </w:r>
      <w:r>
        <w:t>Qualified Scheduling Entity – Notification to LSEs and Resource Entities Represented, and Section 16.2.6.1, Designation as an Emergency Qualified Scheduling Entity or Virtual Qualified Scheduling Entity, apply.</w:t>
      </w:r>
    </w:p>
    <w:p w14:paraId="3EB95E4C" w14:textId="77777777" w:rsidR="006B2812" w:rsidRPr="002D2785" w:rsidRDefault="006B2812" w:rsidP="006B2812">
      <w:pPr>
        <w:spacing w:after="240"/>
        <w:ind w:left="720" w:hanging="720"/>
      </w:pPr>
      <w:r w:rsidRPr="002D2785">
        <w:t>(3)</w:t>
      </w:r>
      <w:r w:rsidRPr="002D2785">
        <w:tab/>
        <w:t>If a breaching Market Participant is also an LSE (whether or not the Default occurred pursuant to the Market Participant’s activities as an LSE), then:</w:t>
      </w:r>
    </w:p>
    <w:p w14:paraId="68635DA4" w14:textId="0D8F203F" w:rsidR="006B2812" w:rsidRPr="002D2785" w:rsidRDefault="006B2812" w:rsidP="006B2812">
      <w:pPr>
        <w:spacing w:after="240"/>
        <w:ind w:left="1440" w:hanging="720"/>
      </w:pPr>
      <w:r w:rsidRPr="002D2785">
        <w:t xml:space="preserve">(a) </w:t>
      </w:r>
      <w:r w:rsidRPr="002D2785">
        <w:tab/>
        <w:t xml:space="preserve">Within 24 hours of receiving notice of the Payment Breach, the Market Participant shall provide to ERCOT all the information regarding its ESI IDs set forth in the ERCOT Retail Market Guide; and </w:t>
      </w:r>
    </w:p>
    <w:p w14:paraId="470C3E6F" w14:textId="77777777" w:rsidR="00FC1C5F" w:rsidRDefault="006B2812">
      <w:pPr>
        <w:pStyle w:val="BodyTextNumbered"/>
        <w:ind w:left="1440"/>
      </w:pPr>
      <w:r w:rsidRPr="002D2785">
        <w:t>(b)</w:t>
      </w:r>
      <w:r w:rsidRPr="002D2785">
        <w:tab/>
        <w:t xml:space="preserve">On revocation of some or all of the Market Participant’s rights or termination of the Market Participant’s agreements and on notice to the Market Participant and the Public Utility Commission of Texas (PUCT), ERCOT shall initiate a Mass Transition of the Market Participant’s ESI IDs pursuant to Section 15.1.3.1, Mass </w:t>
      </w:r>
      <w:r w:rsidRPr="002D2785">
        <w:lastRenderedPageBreak/>
        <w:t xml:space="preserve">Transition Process, without the necessity of obtaining any order from or other action by the PUCT.  </w:t>
      </w:r>
    </w:p>
    <w:p w14:paraId="3BC40AB5" w14:textId="77777777" w:rsidR="00FC1C5F" w:rsidRDefault="00727E32" w:rsidP="00FC544E">
      <w:pPr>
        <w:pStyle w:val="BodyTextNumbered"/>
      </w:pPr>
      <w:r>
        <w:t>(4)</w:t>
      </w:r>
      <w:r>
        <w:tab/>
        <w:t>After revocation of its rights or termination of its Agreement with ERCOT, the Market Participant will remain liable for all charges or costs associated with any continued activity related to the Counter-Party’s relationship with ERCOT and any expenses arising from the consequences of such termination or revocation.</w:t>
      </w:r>
    </w:p>
    <w:p w14:paraId="6ADB882F" w14:textId="77777777" w:rsidR="00FC1C5F" w:rsidRPr="00D63F95" w:rsidRDefault="00727E32">
      <w:pPr>
        <w:pStyle w:val="H4"/>
        <w:rPr>
          <w:b/>
        </w:rPr>
      </w:pPr>
      <w:bookmarkStart w:id="619" w:name="_Toc390438984"/>
      <w:bookmarkStart w:id="620" w:name="_Toc405897687"/>
      <w:bookmarkStart w:id="621" w:name="_Toc415055787"/>
      <w:bookmarkStart w:id="622" w:name="_Toc415055913"/>
      <w:bookmarkStart w:id="623" w:name="_Toc415056012"/>
      <w:bookmarkStart w:id="624" w:name="_Toc415056112"/>
      <w:bookmarkStart w:id="625" w:name="_Toc148960893"/>
      <w:r w:rsidRPr="00D63F95">
        <w:rPr>
          <w:b/>
        </w:rPr>
        <w:t>16.11.6.2</w:t>
      </w:r>
      <w:r w:rsidRPr="00D63F95">
        <w:rPr>
          <w:b/>
        </w:rPr>
        <w:tab/>
        <w:t>ERCOT’s Remedies for Late Payments by a Market Participant</w:t>
      </w:r>
      <w:bookmarkEnd w:id="619"/>
      <w:bookmarkEnd w:id="620"/>
      <w:bookmarkEnd w:id="621"/>
      <w:bookmarkEnd w:id="622"/>
      <w:bookmarkEnd w:id="623"/>
      <w:bookmarkEnd w:id="624"/>
      <w:bookmarkEnd w:id="625"/>
    </w:p>
    <w:p w14:paraId="03046964" w14:textId="77777777" w:rsidR="006B2812" w:rsidRPr="002D2785" w:rsidRDefault="00853D39" w:rsidP="003E09AF">
      <w:pPr>
        <w:spacing w:after="240"/>
        <w:ind w:left="720" w:hanging="720"/>
        <w:rPr>
          <w:szCs w:val="24"/>
        </w:rPr>
      </w:pPr>
      <w:r>
        <w:rPr>
          <w:szCs w:val="24"/>
        </w:rPr>
        <w:t>(1)</w:t>
      </w:r>
      <w:r>
        <w:rPr>
          <w:szCs w:val="24"/>
        </w:rPr>
        <w:tab/>
      </w:r>
      <w:r w:rsidR="006B2812" w:rsidRPr="002D2785">
        <w:rPr>
          <w:szCs w:val="24"/>
        </w:rPr>
        <w:t>If a Market Participant makes any Late Payments, and even if ERCOT does not immediately implement the above-referenced remedies for any Payment Breach by a Market Participant, the Market Participant is subject to the actions enumerated in this Section.</w:t>
      </w:r>
    </w:p>
    <w:p w14:paraId="5B4BCD9C" w14:textId="77777777" w:rsidR="00FC1C5F" w:rsidRDefault="00853D39" w:rsidP="003E09AF">
      <w:pPr>
        <w:pStyle w:val="BodyText"/>
        <w:ind w:left="720" w:hanging="720"/>
        <w:rPr>
          <w:szCs w:val="24"/>
        </w:rPr>
      </w:pPr>
      <w:r>
        <w:rPr>
          <w:szCs w:val="24"/>
        </w:rPr>
        <w:t>(2)</w:t>
      </w:r>
      <w:r>
        <w:rPr>
          <w:szCs w:val="24"/>
        </w:rPr>
        <w:tab/>
      </w:r>
      <w:r w:rsidR="006B2812" w:rsidRPr="002D2785">
        <w:rPr>
          <w:szCs w:val="24"/>
        </w:rPr>
        <w:t>This Section does not waive ERCOT’s right to impose remedies for Payment Breach, as set forth in Section 16.11.6.1,</w:t>
      </w:r>
      <w:r w:rsidR="00FC544E" w:rsidRPr="00FC544E">
        <w:rPr>
          <w:szCs w:val="24"/>
        </w:rPr>
        <w:t xml:space="preserve"> </w:t>
      </w:r>
      <w:r w:rsidR="00FC544E">
        <w:rPr>
          <w:szCs w:val="24"/>
        </w:rPr>
        <w:t>ERCOT’s Remedies,</w:t>
      </w:r>
      <w:r w:rsidR="006B2812" w:rsidRPr="002D2785">
        <w:rPr>
          <w:szCs w:val="24"/>
        </w:rPr>
        <w:t xml:space="preserve"> in addition to any other rights or remedies ERCOT has under any agreement, these Protocols, or at common law, for any Payment Breach by the Market Participant in each rolling 12-month period for purposes of imposing the Late Payment remedies set forth in this Section.</w:t>
      </w:r>
    </w:p>
    <w:p w14:paraId="3EBC25F6" w14:textId="72651B12" w:rsidR="00FC1C5F" w:rsidRDefault="00727E32">
      <w:pPr>
        <w:pStyle w:val="H5"/>
      </w:pPr>
      <w:bookmarkStart w:id="626" w:name="_Toc390438986"/>
      <w:bookmarkStart w:id="627" w:name="_Toc405897691"/>
      <w:bookmarkStart w:id="628" w:name="_Toc415055789"/>
      <w:bookmarkStart w:id="629" w:name="_Toc415055915"/>
      <w:bookmarkStart w:id="630" w:name="_Toc415056014"/>
      <w:bookmarkStart w:id="631" w:name="_Toc415056114"/>
      <w:bookmarkStart w:id="632" w:name="_Toc148960894"/>
      <w:r>
        <w:t>16.11.6.2.</w:t>
      </w:r>
      <w:r w:rsidR="002F409F">
        <w:t>1</w:t>
      </w:r>
      <w:r>
        <w:tab/>
      </w:r>
      <w:r w:rsidR="002F409F">
        <w:t>First</w:t>
      </w:r>
      <w:r>
        <w:t xml:space="preserve"> Late Payment in Any Rolling 12-Month Period</w:t>
      </w:r>
      <w:bookmarkEnd w:id="626"/>
      <w:bookmarkEnd w:id="627"/>
      <w:bookmarkEnd w:id="628"/>
      <w:bookmarkEnd w:id="629"/>
      <w:bookmarkEnd w:id="630"/>
      <w:bookmarkEnd w:id="631"/>
      <w:bookmarkEnd w:id="632"/>
    </w:p>
    <w:p w14:paraId="530936D1" w14:textId="36DC9F0D" w:rsidR="006B2812" w:rsidRPr="002D2785" w:rsidRDefault="006B2812" w:rsidP="006B2812">
      <w:pPr>
        <w:keepNext/>
        <w:spacing w:after="240"/>
        <w:ind w:left="720" w:hanging="720"/>
        <w:rPr>
          <w:iCs/>
        </w:rPr>
      </w:pPr>
      <w:r w:rsidRPr="002D2785">
        <w:rPr>
          <w:iCs/>
        </w:rPr>
        <w:t>(1)</w:t>
      </w:r>
      <w:r w:rsidRPr="002D2785">
        <w:rPr>
          <w:iCs/>
        </w:rPr>
        <w:tab/>
        <w:t xml:space="preserve">For the </w:t>
      </w:r>
      <w:r w:rsidR="002F409F">
        <w:rPr>
          <w:iCs/>
        </w:rPr>
        <w:t>first</w:t>
      </w:r>
      <w:r w:rsidRPr="002D2785">
        <w:rPr>
          <w:iCs/>
        </w:rPr>
        <w:t xml:space="preserve"> Late Payment in any rolling 12-month period, ERCOT shall take </w:t>
      </w:r>
      <w:r w:rsidR="002F409F">
        <w:rPr>
          <w:iCs/>
        </w:rPr>
        <w:t>Level I Enforcement</w:t>
      </w:r>
      <w:r w:rsidR="002F409F" w:rsidRPr="002D2785">
        <w:rPr>
          <w:iCs/>
        </w:rPr>
        <w:t xml:space="preserve"> </w:t>
      </w:r>
      <w:r w:rsidRPr="002D2785">
        <w:rPr>
          <w:iCs/>
        </w:rPr>
        <w:t>action</w:t>
      </w:r>
      <w:r w:rsidR="002F409F">
        <w:rPr>
          <w:iCs/>
        </w:rPr>
        <w:t>,</w:t>
      </w:r>
      <w:r w:rsidRPr="002D2785">
        <w:rPr>
          <w:iCs/>
        </w:rPr>
        <w:t xml:space="preserve"> as </w:t>
      </w:r>
      <w:r w:rsidR="002F409F">
        <w:rPr>
          <w:iCs/>
        </w:rPr>
        <w:t>described in Section 16.11.6.2.5, Level I Enforcement.</w:t>
      </w:r>
    </w:p>
    <w:p w14:paraId="3F94842D" w14:textId="75D85A40" w:rsidR="00FC1C5F" w:rsidRDefault="006B2812" w:rsidP="006B2812">
      <w:pPr>
        <w:pStyle w:val="BodyTextNumbered"/>
      </w:pPr>
      <w:r w:rsidRPr="002D2785">
        <w:t>(2)</w:t>
      </w:r>
      <w:r w:rsidRPr="002D2785">
        <w:tab/>
        <w:t xml:space="preserve">ERCOT shall send written notice to the Market Participant’s Authorized Representative and/or Credit Contact via email, advising the Market Participant of the action </w:t>
      </w:r>
      <w:r w:rsidRPr="002D2785">
        <w:rPr>
          <w:szCs w:val="24"/>
        </w:rPr>
        <w:t>required</w:t>
      </w:r>
      <w:r w:rsidRPr="002D2785">
        <w:t xml:space="preserve"> under Level I Enforcement.</w:t>
      </w:r>
    </w:p>
    <w:p w14:paraId="3F9F81EC" w14:textId="352A4C29" w:rsidR="00FC1C5F" w:rsidRDefault="00727E32">
      <w:pPr>
        <w:pStyle w:val="H5"/>
      </w:pPr>
      <w:bookmarkStart w:id="633" w:name="_Toc390438987"/>
      <w:bookmarkStart w:id="634" w:name="_Toc405897693"/>
      <w:bookmarkStart w:id="635" w:name="_Toc415055790"/>
      <w:bookmarkStart w:id="636" w:name="_Toc415055916"/>
      <w:bookmarkStart w:id="637" w:name="_Toc415056015"/>
      <w:bookmarkStart w:id="638" w:name="_Toc415056115"/>
      <w:bookmarkStart w:id="639" w:name="_Toc148960895"/>
      <w:r>
        <w:t>16.11.6.2.</w:t>
      </w:r>
      <w:r w:rsidR="002F409F">
        <w:t>2</w:t>
      </w:r>
      <w:r>
        <w:tab/>
      </w:r>
      <w:r w:rsidR="002F409F">
        <w:t>Second</w:t>
      </w:r>
      <w:r>
        <w:t xml:space="preserve"> Late Payment in Any Rolling 12-Month Period</w:t>
      </w:r>
      <w:bookmarkEnd w:id="633"/>
      <w:bookmarkEnd w:id="634"/>
      <w:bookmarkEnd w:id="635"/>
      <w:bookmarkEnd w:id="636"/>
      <w:bookmarkEnd w:id="637"/>
      <w:bookmarkEnd w:id="638"/>
      <w:bookmarkEnd w:id="639"/>
    </w:p>
    <w:p w14:paraId="654810D3" w14:textId="63B249AD" w:rsidR="006B2812" w:rsidRPr="002D2785" w:rsidRDefault="006B2812" w:rsidP="006B2812">
      <w:pPr>
        <w:keepNext/>
        <w:spacing w:after="240"/>
        <w:ind w:left="720" w:hanging="720"/>
        <w:rPr>
          <w:iCs/>
        </w:rPr>
      </w:pPr>
      <w:r w:rsidRPr="002D2785">
        <w:rPr>
          <w:iCs/>
        </w:rPr>
        <w:t>(1)</w:t>
      </w:r>
      <w:r w:rsidRPr="002D2785">
        <w:rPr>
          <w:iCs/>
        </w:rPr>
        <w:tab/>
        <w:t xml:space="preserve">For the </w:t>
      </w:r>
      <w:r w:rsidR="002F409F">
        <w:rPr>
          <w:iCs/>
        </w:rPr>
        <w:t>second</w:t>
      </w:r>
      <w:r w:rsidRPr="002D2785">
        <w:rPr>
          <w:iCs/>
        </w:rPr>
        <w:t xml:space="preserve"> Late Payment in any rolling 12-month period, ERCOT shall take </w:t>
      </w:r>
      <w:r w:rsidR="002F409F">
        <w:rPr>
          <w:iCs/>
        </w:rPr>
        <w:t>Level II Enforcement</w:t>
      </w:r>
      <w:r w:rsidR="002F409F" w:rsidRPr="002D2785">
        <w:rPr>
          <w:iCs/>
        </w:rPr>
        <w:t xml:space="preserve"> </w:t>
      </w:r>
      <w:r w:rsidRPr="002D2785">
        <w:rPr>
          <w:iCs/>
        </w:rPr>
        <w:t>action</w:t>
      </w:r>
      <w:r w:rsidR="002F409F">
        <w:rPr>
          <w:iCs/>
        </w:rPr>
        <w:t>,</w:t>
      </w:r>
      <w:r w:rsidRPr="002D2785">
        <w:rPr>
          <w:iCs/>
        </w:rPr>
        <w:t xml:space="preserve"> as </w:t>
      </w:r>
      <w:r w:rsidR="002F409F">
        <w:rPr>
          <w:iCs/>
        </w:rPr>
        <w:t>described in Section 16.11.6.2.6, Level II Enforcement.</w:t>
      </w:r>
      <w:r w:rsidRPr="002D2785">
        <w:rPr>
          <w:iCs/>
        </w:rPr>
        <w:t>:</w:t>
      </w:r>
    </w:p>
    <w:p w14:paraId="54E9D055" w14:textId="29CBB889" w:rsidR="00FC1C5F" w:rsidRDefault="006B2812" w:rsidP="006B2812">
      <w:pPr>
        <w:pStyle w:val="BodyTextNumbered"/>
      </w:pPr>
      <w:r w:rsidRPr="002D2785">
        <w:t>(2)</w:t>
      </w:r>
      <w:r w:rsidRPr="002D2785">
        <w:tab/>
        <w:t xml:space="preserve">ERCOT shall send written notice to the Market Participant’s Authorized Representative and/or Credit Contact via email, advising the Market Participant of the action </w:t>
      </w:r>
      <w:r w:rsidRPr="002D2785">
        <w:rPr>
          <w:szCs w:val="24"/>
        </w:rPr>
        <w:t>required</w:t>
      </w:r>
      <w:r w:rsidRPr="002D2785">
        <w:t xml:space="preserve"> under Level II Enforcement.</w:t>
      </w:r>
    </w:p>
    <w:p w14:paraId="270C6959" w14:textId="77777777" w:rsidR="002F409F" w:rsidRDefault="002F409F" w:rsidP="0078184C">
      <w:pPr>
        <w:pStyle w:val="H5"/>
      </w:pPr>
      <w:bookmarkStart w:id="640" w:name="_Toc148960896"/>
      <w:bookmarkStart w:id="641" w:name="_Toc390438988"/>
      <w:bookmarkStart w:id="642" w:name="_Toc405897695"/>
      <w:bookmarkStart w:id="643" w:name="_Toc415055791"/>
      <w:bookmarkStart w:id="644" w:name="_Toc415055917"/>
      <w:bookmarkStart w:id="645" w:name="_Toc415056016"/>
      <w:bookmarkStart w:id="646" w:name="_Toc415056116"/>
      <w:r>
        <w:t>16.11.6.2.3</w:t>
      </w:r>
      <w:r>
        <w:tab/>
        <w:t>Third Late Payment in Any Rolling 12-Month Period</w:t>
      </w:r>
      <w:bookmarkEnd w:id="640"/>
    </w:p>
    <w:p w14:paraId="22324104" w14:textId="77777777" w:rsidR="002F409F" w:rsidRDefault="002F409F" w:rsidP="002F409F">
      <w:pPr>
        <w:pStyle w:val="BodyTextNumbered"/>
      </w:pPr>
      <w:r>
        <w:t>(1)</w:t>
      </w:r>
      <w:r>
        <w:tab/>
        <w:t>For the third Late Payment in any rolling 12-month period, ERCOT shall take Level III Enforcement action, as described in Section 16.11.6.2.7, Level III Enforcement.</w:t>
      </w:r>
    </w:p>
    <w:p w14:paraId="7CF50D71" w14:textId="77777777" w:rsidR="002F409F" w:rsidRPr="002F74AF" w:rsidRDefault="002F409F" w:rsidP="002F409F">
      <w:pPr>
        <w:pStyle w:val="BodyTextNumbered"/>
      </w:pPr>
      <w:r>
        <w:lastRenderedPageBreak/>
        <w:t>(2)</w:t>
      </w:r>
      <w:r>
        <w:tab/>
        <w:t xml:space="preserve">ERCOT shall send written notice to the Market Participant’s Authorized Representative and/or Credit Contact via email, advising the Market Participant of the action required under Level III Enforcement, and informing the Market Participant that a fourth Late Payment in any rolling 12-month period shall result in ERCOT taking action under Section 16.11.6.1.6, Revocation of a Market Participant’s Rights and Termination of Agreements.  </w:t>
      </w:r>
    </w:p>
    <w:p w14:paraId="28EA2F43" w14:textId="77777777" w:rsidR="00FC1C5F" w:rsidRDefault="00727E32">
      <w:pPr>
        <w:pStyle w:val="H5"/>
      </w:pPr>
      <w:bookmarkStart w:id="647" w:name="_Toc148960897"/>
      <w:r>
        <w:t>16.11.6.2.4</w:t>
      </w:r>
      <w:r>
        <w:tab/>
        <w:t>Fourth Late Payment in Any Rolling 12-Month Period</w:t>
      </w:r>
      <w:bookmarkEnd w:id="641"/>
      <w:bookmarkEnd w:id="642"/>
      <w:bookmarkEnd w:id="643"/>
      <w:bookmarkEnd w:id="644"/>
      <w:bookmarkEnd w:id="645"/>
      <w:bookmarkEnd w:id="646"/>
      <w:bookmarkEnd w:id="647"/>
    </w:p>
    <w:p w14:paraId="3B23E3C6" w14:textId="77777777" w:rsidR="00FC1C5F" w:rsidRDefault="00853D39" w:rsidP="003E09AF">
      <w:pPr>
        <w:pStyle w:val="BodyTextNumbered"/>
      </w:pPr>
      <w:r>
        <w:t>(1)</w:t>
      </w:r>
      <w:r>
        <w:tab/>
      </w:r>
      <w:r w:rsidR="006B2812">
        <w:t>For the fourth Late Payment resulting from a Payment Breach in any rolling 12-month period, ERCOT</w:t>
      </w:r>
      <w:r w:rsidR="006B2812">
        <w:rPr>
          <w:szCs w:val="24"/>
        </w:rPr>
        <w:t xml:space="preserve"> shall take</w:t>
      </w:r>
      <w:r w:rsidR="006B2812">
        <w:t xml:space="preserve"> </w:t>
      </w:r>
      <w:r w:rsidR="006B2812" w:rsidRPr="00BF0D35">
        <w:t>action under Section 16.11.6.1.6, Revocation of a Market Participant’s Rights and Termination of Agreements</w:t>
      </w:r>
      <w:r w:rsidR="006B2812">
        <w:t>.</w:t>
      </w:r>
    </w:p>
    <w:p w14:paraId="6AE5F2E0" w14:textId="77777777" w:rsidR="00FC1C5F" w:rsidRDefault="00727E32">
      <w:pPr>
        <w:pStyle w:val="H5"/>
      </w:pPr>
      <w:bookmarkStart w:id="648" w:name="_Toc390438989"/>
      <w:bookmarkStart w:id="649" w:name="_Toc405897697"/>
      <w:bookmarkStart w:id="650" w:name="_Toc415055792"/>
      <w:bookmarkStart w:id="651" w:name="_Toc415055918"/>
      <w:bookmarkStart w:id="652" w:name="_Toc415056017"/>
      <w:bookmarkStart w:id="653" w:name="_Toc415056117"/>
      <w:bookmarkStart w:id="654" w:name="_Toc148960898"/>
      <w:r>
        <w:t>16.11.6.2.5</w:t>
      </w:r>
      <w:r>
        <w:tab/>
        <w:t>Level I Enforcement</w:t>
      </w:r>
      <w:bookmarkEnd w:id="648"/>
      <w:bookmarkEnd w:id="649"/>
      <w:bookmarkEnd w:id="650"/>
      <w:bookmarkEnd w:id="651"/>
      <w:bookmarkEnd w:id="652"/>
      <w:bookmarkEnd w:id="653"/>
      <w:bookmarkEnd w:id="654"/>
    </w:p>
    <w:p w14:paraId="4EBB5D09" w14:textId="77777777" w:rsidR="005C04D0" w:rsidRPr="002D2785" w:rsidRDefault="005C04D0" w:rsidP="005C04D0">
      <w:pPr>
        <w:keepNext/>
        <w:spacing w:after="240"/>
        <w:ind w:left="720" w:hanging="720"/>
        <w:rPr>
          <w:iCs/>
        </w:rPr>
      </w:pPr>
      <w:r w:rsidRPr="002D2785">
        <w:rPr>
          <w:iCs/>
        </w:rPr>
        <w:t>(1)</w:t>
      </w:r>
      <w:r w:rsidRPr="002D2785">
        <w:rPr>
          <w:iCs/>
        </w:rPr>
        <w:tab/>
        <w:t>Under Level I Enforcement, ERCOT shall notify the Market Participant to comply with one of the following requirements:</w:t>
      </w:r>
    </w:p>
    <w:p w14:paraId="04ECF37F" w14:textId="77777777" w:rsidR="005C04D0" w:rsidRPr="002D2785" w:rsidRDefault="005C04D0" w:rsidP="005C04D0">
      <w:pPr>
        <w:spacing w:after="240"/>
        <w:ind w:left="1440" w:hanging="720"/>
      </w:pPr>
      <w:r w:rsidRPr="002D2785">
        <w:t>(a)</w:t>
      </w:r>
      <w:r w:rsidRPr="002D2785">
        <w:tab/>
        <w:t>If the Market Participant has not provided Financial Security, the Market Participant shall now provide Financial Security, within two Bank Business Days, in an amount at or above 110% of the amount of the Market Participant’s TPE; or any other liability to ERCOT that the Market Participant has or is expected to have for activity in the ERCOT Region, whichever applies.</w:t>
      </w:r>
    </w:p>
    <w:p w14:paraId="06AA848F" w14:textId="77777777" w:rsidR="005C04D0" w:rsidRDefault="005C04D0" w:rsidP="005C04D0">
      <w:pPr>
        <w:spacing w:after="240"/>
        <w:ind w:left="1440" w:hanging="720"/>
        <w:rPr>
          <w:iCs/>
        </w:rPr>
      </w:pPr>
      <w:r w:rsidRPr="002D2785">
        <w:t>(b)</w:t>
      </w:r>
      <w:r w:rsidRPr="002D2785">
        <w:tab/>
        <w:t>If the Market Participant has already provided Financial Security, the Market Participant shall increase its Financial Security, within two Bank Business Days, to an amount at or above 110% of its TPE or any other liability to ERCOT that the Market Participant has or is expected to have for activity in the ERCOT Region, whichever applies.</w:t>
      </w:r>
    </w:p>
    <w:p w14:paraId="5388B59A" w14:textId="296C7F51" w:rsidR="00FC1C5F" w:rsidRDefault="006B2812" w:rsidP="00FB1643">
      <w:pPr>
        <w:autoSpaceDE w:val="0"/>
        <w:autoSpaceDN w:val="0"/>
        <w:adjustRightInd w:val="0"/>
        <w:spacing w:after="240"/>
        <w:ind w:left="720" w:hanging="720"/>
        <w:rPr>
          <w:color w:val="000000"/>
        </w:rPr>
      </w:pPr>
      <w:r w:rsidRPr="002D2785">
        <w:rPr>
          <w:color w:val="000000"/>
          <w:szCs w:val="24"/>
        </w:rPr>
        <w:t>(2)</w:t>
      </w:r>
      <w:r w:rsidRPr="002D2785">
        <w:rPr>
          <w:color w:val="000000"/>
          <w:szCs w:val="24"/>
        </w:rPr>
        <w:tab/>
        <w:t>Increased Financial Security requirements under this Section remain in effect for a minimum of 60 days and remain in effect thereafter until ERCOT, at its sole discretion, determines to reduce such Financial Security requirements to the normally applicable levels.</w:t>
      </w:r>
    </w:p>
    <w:p w14:paraId="3EABC437" w14:textId="77777777" w:rsidR="00FC1C5F" w:rsidRDefault="00727E32">
      <w:pPr>
        <w:pStyle w:val="H5"/>
      </w:pPr>
      <w:bookmarkStart w:id="655" w:name="_Toc390438990"/>
      <w:bookmarkStart w:id="656" w:name="_Toc405897699"/>
      <w:bookmarkStart w:id="657" w:name="_Toc415055793"/>
      <w:bookmarkStart w:id="658" w:name="_Toc415055919"/>
      <w:bookmarkStart w:id="659" w:name="_Toc415056018"/>
      <w:bookmarkStart w:id="660" w:name="_Toc415056118"/>
      <w:bookmarkStart w:id="661" w:name="_Toc148960899"/>
      <w:r>
        <w:t>16.11.6.2.6</w:t>
      </w:r>
      <w:r>
        <w:tab/>
        <w:t>Level II Enforcement</w:t>
      </w:r>
      <w:bookmarkEnd w:id="655"/>
      <w:bookmarkEnd w:id="656"/>
      <w:bookmarkEnd w:id="657"/>
      <w:bookmarkEnd w:id="658"/>
      <w:bookmarkEnd w:id="659"/>
      <w:bookmarkEnd w:id="660"/>
      <w:bookmarkEnd w:id="661"/>
    </w:p>
    <w:p w14:paraId="5E9341B4" w14:textId="0D38F35A" w:rsidR="006B2812" w:rsidRPr="006B7162" w:rsidRDefault="006B2812" w:rsidP="006B2812">
      <w:pPr>
        <w:autoSpaceDE w:val="0"/>
        <w:autoSpaceDN w:val="0"/>
        <w:adjustRightInd w:val="0"/>
        <w:spacing w:after="240"/>
        <w:ind w:left="720" w:hanging="720"/>
        <w:rPr>
          <w:szCs w:val="24"/>
        </w:rPr>
      </w:pPr>
      <w:r w:rsidRPr="006B7162">
        <w:rPr>
          <w:color w:val="000000"/>
          <w:szCs w:val="24"/>
        </w:rPr>
        <w:t>(1)</w:t>
      </w:r>
      <w:r w:rsidRPr="006B7162">
        <w:rPr>
          <w:color w:val="000000"/>
          <w:szCs w:val="24"/>
        </w:rPr>
        <w:tab/>
      </w:r>
      <w:r w:rsidR="005C04D0" w:rsidRPr="006B7162">
        <w:rPr>
          <w:color w:val="000000"/>
        </w:rPr>
        <w:t xml:space="preserve">Under Level II Enforcement, ERCOT shall notify the </w:t>
      </w:r>
      <w:r w:rsidR="005C04D0" w:rsidRPr="006B7162">
        <w:t>Market Participant</w:t>
      </w:r>
      <w:r w:rsidR="005C04D0" w:rsidRPr="006B7162">
        <w:rPr>
          <w:color w:val="000000"/>
        </w:rPr>
        <w:t xml:space="preserve"> that </w:t>
      </w:r>
      <w:r w:rsidR="005C04D0" w:rsidRPr="006B7162">
        <w:t xml:space="preserve">the Market Participant shall provide Financial Security, within two Bank Business </w:t>
      </w:r>
      <w:r w:rsidR="005C04D0">
        <w:t>D</w:t>
      </w:r>
      <w:r w:rsidR="005C04D0" w:rsidRPr="006B7162">
        <w:t>ays, in the form of a cash deposit or letter of credit, as chosen by ERCOT at its sole discretion, at 11</w:t>
      </w:r>
      <w:r w:rsidR="005C04D0">
        <w:t>5</w:t>
      </w:r>
      <w:r w:rsidR="005C04D0" w:rsidRPr="006B7162">
        <w:t>% of the Market Participant’s TPE or for any other liability to ERCOT that the Market Participant has or is expected to have for activity in the ERCOT Region</w:t>
      </w:r>
      <w:r w:rsidRPr="006B7162">
        <w:rPr>
          <w:szCs w:val="24"/>
        </w:rPr>
        <w:t xml:space="preserve">.   </w:t>
      </w:r>
    </w:p>
    <w:p w14:paraId="524C7A6B" w14:textId="21BFD995" w:rsidR="00FC1C5F" w:rsidRDefault="006B2812" w:rsidP="00FB1643">
      <w:pPr>
        <w:pStyle w:val="List"/>
        <w:ind w:left="720"/>
      </w:pPr>
      <w:r w:rsidRPr="006B7162">
        <w:t>(2)</w:t>
      </w:r>
      <w:r w:rsidRPr="006B7162">
        <w:tab/>
        <w:t xml:space="preserve">Increased Financial Security requirements under this Section remain in effect for a minimum of 60 days and remain in effect thereafter until ERCOT, at its sole discretion, </w:t>
      </w:r>
      <w:r w:rsidRPr="006B7162">
        <w:lastRenderedPageBreak/>
        <w:t>determines to reduce such Financial Security requirements to the normally applicable levels.</w:t>
      </w:r>
    </w:p>
    <w:p w14:paraId="5B014784" w14:textId="77777777" w:rsidR="00FC1C5F" w:rsidRDefault="00727E32">
      <w:pPr>
        <w:pStyle w:val="H5"/>
      </w:pPr>
      <w:bookmarkStart w:id="662" w:name="_Toc390438991"/>
      <w:bookmarkStart w:id="663" w:name="_Toc405897701"/>
      <w:bookmarkStart w:id="664" w:name="_Toc415055794"/>
      <w:bookmarkStart w:id="665" w:name="_Toc415055920"/>
      <w:bookmarkStart w:id="666" w:name="_Toc415056019"/>
      <w:bookmarkStart w:id="667" w:name="_Toc415056119"/>
      <w:bookmarkStart w:id="668" w:name="_Toc148960900"/>
      <w:r>
        <w:t>16.11.6.2.7</w:t>
      </w:r>
      <w:r>
        <w:tab/>
        <w:t>Level III Enforcement</w:t>
      </w:r>
      <w:bookmarkEnd w:id="662"/>
      <w:bookmarkEnd w:id="663"/>
      <w:bookmarkEnd w:id="664"/>
      <w:bookmarkEnd w:id="665"/>
      <w:bookmarkEnd w:id="666"/>
      <w:bookmarkEnd w:id="667"/>
      <w:bookmarkEnd w:id="668"/>
    </w:p>
    <w:p w14:paraId="67BB6A7D" w14:textId="01CF789F" w:rsidR="002F409F" w:rsidRDefault="006B2812" w:rsidP="002F409F">
      <w:pPr>
        <w:keepNext/>
        <w:spacing w:after="240"/>
        <w:ind w:left="720" w:hanging="720"/>
        <w:rPr>
          <w:iCs/>
        </w:rPr>
      </w:pPr>
      <w:r w:rsidRPr="006B7162">
        <w:rPr>
          <w:iCs/>
        </w:rPr>
        <w:t>(1)</w:t>
      </w:r>
      <w:r w:rsidRPr="006B7162">
        <w:rPr>
          <w:iCs/>
        </w:rPr>
        <w:tab/>
      </w:r>
      <w:r w:rsidR="005C04D0" w:rsidRPr="006B7162">
        <w:rPr>
          <w:lang w:eastAsia="x-none"/>
        </w:rPr>
        <w:t xml:space="preserve">Under Level III Enforcement, </w:t>
      </w:r>
      <w:r w:rsidR="005C04D0" w:rsidRPr="006B7162">
        <w:rPr>
          <w:iCs/>
        </w:rPr>
        <w:t>ERCOT shall</w:t>
      </w:r>
      <w:r w:rsidR="005C04D0">
        <w:rPr>
          <w:iCs/>
        </w:rPr>
        <w:t xml:space="preserve"> notify the Market Participant that the Market Participant shall provide Financial Security within two Bank Business Days at 120% of the Market Participant’s TPE or for any other liability to ERCOT that the Market Participant has or is expected to have for activity in the ERCOT Region. Required Financial Security in excess of TPE must be in the form of a cash deposit</w:t>
      </w:r>
      <w:r w:rsidR="002F409F">
        <w:rPr>
          <w:iCs/>
        </w:rPr>
        <w:t>.</w:t>
      </w:r>
    </w:p>
    <w:p w14:paraId="5B217B54" w14:textId="0BA26F67" w:rsidR="006B2812" w:rsidRPr="006B7162" w:rsidRDefault="002F409F" w:rsidP="00FB1643">
      <w:pPr>
        <w:keepNext/>
        <w:spacing w:after="240"/>
        <w:ind w:left="720" w:hanging="720"/>
        <w:rPr>
          <w:iCs/>
        </w:rPr>
      </w:pPr>
      <w:r>
        <w:rPr>
          <w:iCs/>
        </w:rPr>
        <w:t>(2)</w:t>
      </w:r>
      <w:r>
        <w:rPr>
          <w:iCs/>
        </w:rPr>
        <w:tab/>
        <w:t>Increased Financial Security requirements under this Section remain in effect for a minimum of 90 days and remain in effect thereafter until ERCOT, at its sole discretion, determines to reduce such Financial Security requirements to the normally applicable levels.</w:t>
      </w:r>
    </w:p>
    <w:p w14:paraId="69F8BAE6" w14:textId="77777777" w:rsidR="00FC1C5F" w:rsidRDefault="00727E32" w:rsidP="00FC1C5F">
      <w:pPr>
        <w:pStyle w:val="H3"/>
      </w:pPr>
      <w:bookmarkStart w:id="669" w:name="_Toc98060312"/>
      <w:bookmarkStart w:id="670" w:name="_Toc390438992"/>
      <w:bookmarkStart w:id="671" w:name="_Toc405897703"/>
      <w:bookmarkStart w:id="672" w:name="_Toc415055795"/>
      <w:bookmarkStart w:id="673" w:name="_Toc415055921"/>
      <w:bookmarkStart w:id="674" w:name="_Toc415056020"/>
      <w:bookmarkStart w:id="675" w:name="_Toc415056120"/>
      <w:bookmarkStart w:id="676" w:name="_Toc148960901"/>
      <w:r>
        <w:t>16.11.7</w:t>
      </w:r>
      <w:r>
        <w:tab/>
        <w:t>Release of Market Participant’s Financial Security Requirement</w:t>
      </w:r>
      <w:bookmarkEnd w:id="669"/>
      <w:bookmarkEnd w:id="670"/>
      <w:bookmarkEnd w:id="671"/>
      <w:bookmarkEnd w:id="672"/>
      <w:bookmarkEnd w:id="673"/>
      <w:bookmarkEnd w:id="674"/>
      <w:bookmarkEnd w:id="675"/>
      <w:bookmarkEnd w:id="676"/>
    </w:p>
    <w:p w14:paraId="01790272" w14:textId="77777777" w:rsidR="005A2AD9" w:rsidRDefault="00853D39" w:rsidP="005A2AD9">
      <w:pPr>
        <w:pStyle w:val="BodyText"/>
        <w:ind w:left="720" w:hanging="720"/>
      </w:pPr>
      <w:r>
        <w:t>(1)</w:t>
      </w:r>
      <w:r>
        <w:tab/>
      </w:r>
      <w:r w:rsidR="00727E32">
        <w:t xml:space="preserve">Following the termination of a Market Participant’s </w:t>
      </w:r>
      <w:r w:rsidR="005A2AD9">
        <w:t>Standard Form Market Participant Agreement, ERCOT shall retain Financial Security to cover potential future obligations of the terminated Market Participant.  These obligations may include, but are not limited to, Resettlement Statements, Final or True-Up Settlements, and Default Uplift Invoices.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4E603E" w14:paraId="6959551C" w14:textId="77777777" w:rsidTr="004E603E">
        <w:tc>
          <w:tcPr>
            <w:tcW w:w="9332" w:type="dxa"/>
            <w:shd w:val="pct12" w:color="auto" w:fill="auto"/>
          </w:tcPr>
          <w:p w14:paraId="32709083" w14:textId="54CD4420" w:rsidR="004E603E" w:rsidRPr="0002450E" w:rsidRDefault="004E603E" w:rsidP="004E603E">
            <w:pPr>
              <w:pStyle w:val="Instructions"/>
              <w:spacing w:before="120"/>
              <w:rPr>
                <w:iCs/>
              </w:rPr>
            </w:pPr>
            <w:r>
              <w:rPr>
                <w:iCs/>
              </w:rPr>
              <w:t>[NPRR1023</w:t>
            </w:r>
            <w:r w:rsidRPr="0002450E">
              <w:rPr>
                <w:iCs/>
              </w:rPr>
              <w:t xml:space="preserve">:  Replace </w:t>
            </w:r>
            <w:r>
              <w:rPr>
                <w:iCs/>
              </w:rPr>
              <w:t xml:space="preserve">paragraph (1) </w:t>
            </w:r>
            <w:r w:rsidRPr="0002450E">
              <w:rPr>
                <w:iCs/>
              </w:rPr>
              <w:t xml:space="preserve">above with the following upon system implementation:] </w:t>
            </w:r>
          </w:p>
          <w:p w14:paraId="2364B3FA" w14:textId="058F24FE" w:rsidR="004E603E" w:rsidRPr="008D69E1" w:rsidRDefault="004E603E" w:rsidP="004E603E">
            <w:pPr>
              <w:pStyle w:val="BodyText"/>
              <w:ind w:left="720" w:hanging="720"/>
            </w:pPr>
            <w:r>
              <w:t>(1)</w:t>
            </w:r>
            <w:r>
              <w:tab/>
              <w:t>Following the termination of a Market Participant’s Standard Form Market Participant Agreement, ERCOT shall retain Financial Security to cover potential future obligations of the terminated Market Participant.  These obligations may include, but are not limited to, the Invoices associated with the liquidation of repossessed or forfeited CRRs, Resettlement Statements, Final or True-Up Settlements, and Default Uplift Invoices.</w:t>
            </w:r>
          </w:p>
        </w:tc>
      </w:tr>
    </w:tbl>
    <w:p w14:paraId="06D72B74" w14:textId="77777777" w:rsidR="004E603E" w:rsidRDefault="004E603E"/>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4E603E" w14:paraId="0774F14F" w14:textId="77777777" w:rsidTr="004E603E">
        <w:tc>
          <w:tcPr>
            <w:tcW w:w="9332" w:type="dxa"/>
            <w:shd w:val="pct12" w:color="auto" w:fill="auto"/>
          </w:tcPr>
          <w:p w14:paraId="0666454C" w14:textId="6B12D8AE" w:rsidR="004E603E" w:rsidRPr="0002450E" w:rsidRDefault="004E603E" w:rsidP="004E603E">
            <w:pPr>
              <w:pStyle w:val="Instructions"/>
              <w:spacing w:before="120"/>
              <w:rPr>
                <w:iCs/>
              </w:rPr>
            </w:pPr>
            <w:r>
              <w:rPr>
                <w:iCs/>
              </w:rPr>
              <w:t>[NPRR1023</w:t>
            </w:r>
            <w:r w:rsidRPr="0002450E">
              <w:rPr>
                <w:iCs/>
              </w:rPr>
              <w:t xml:space="preserve">:  </w:t>
            </w:r>
            <w:r>
              <w:rPr>
                <w:iCs/>
              </w:rPr>
              <w:t>Insert</w:t>
            </w:r>
            <w:r w:rsidRPr="0002450E">
              <w:rPr>
                <w:iCs/>
              </w:rPr>
              <w:t xml:space="preserve"> </w:t>
            </w:r>
            <w:r>
              <w:rPr>
                <w:iCs/>
              </w:rPr>
              <w:t>paragraph (2) below</w:t>
            </w:r>
            <w:r w:rsidRPr="0002450E">
              <w:rPr>
                <w:iCs/>
              </w:rPr>
              <w:t xml:space="preserve"> upon system implementation</w:t>
            </w:r>
            <w:r>
              <w:rPr>
                <w:iCs/>
              </w:rPr>
              <w:t xml:space="preserve"> and renumber accordingly</w:t>
            </w:r>
            <w:r w:rsidRPr="0002450E">
              <w:rPr>
                <w:iCs/>
              </w:rPr>
              <w:t xml:space="preserve">:] </w:t>
            </w:r>
          </w:p>
          <w:p w14:paraId="1C7D2158" w14:textId="6CEAA74F" w:rsidR="004E603E" w:rsidRPr="008D69E1" w:rsidRDefault="004E603E" w:rsidP="004E603E">
            <w:pPr>
              <w:pStyle w:val="BodyText"/>
              <w:ind w:left="720" w:hanging="720"/>
            </w:pPr>
            <w:r>
              <w:t>(2)</w:t>
            </w:r>
            <w:r>
              <w:tab/>
              <w:t>R</w:t>
            </w:r>
            <w:r w:rsidRPr="00632DBE">
              <w:t>egardless of whether a Market Participant’s Agreement with ERCOT has been terminated, ERCOT shall not return or release any Financial Security of a Market Participant from whom CRRs were repossessed or forfeited until all such repossessed or forfeited CRRs have been voided, settled in the DAM, or sold in a CRR Auction in accordance with Section 16.11.6.1.6, Liquidation of Repossessed or Forfeited CRRs, and all Invoices associated with the liquidation have been paid in full</w:t>
            </w:r>
            <w:r>
              <w:t>.</w:t>
            </w:r>
          </w:p>
        </w:tc>
      </w:tr>
    </w:tbl>
    <w:p w14:paraId="1A5F8105" w14:textId="153E01C9" w:rsidR="005A2AD9" w:rsidRDefault="005A2AD9" w:rsidP="00974AFC">
      <w:pPr>
        <w:pStyle w:val="BodyText"/>
        <w:spacing w:before="240"/>
        <w:ind w:left="720" w:hanging="720"/>
      </w:pPr>
      <w:r>
        <w:lastRenderedPageBreak/>
        <w:t>(2)</w:t>
      </w:r>
      <w:r>
        <w:tab/>
        <w:t>Required Financial Security for potential future obligations of a terminated Market Participant will be the maximum of the Counter-Party’s TPE, as applicable, or $5,000.</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4E603E" w14:paraId="24161599" w14:textId="77777777" w:rsidTr="004E603E">
        <w:tc>
          <w:tcPr>
            <w:tcW w:w="9332" w:type="dxa"/>
            <w:shd w:val="pct12" w:color="auto" w:fill="auto"/>
          </w:tcPr>
          <w:p w14:paraId="425CCEC8" w14:textId="6E868A18" w:rsidR="004E603E" w:rsidRPr="0002450E" w:rsidRDefault="004E603E" w:rsidP="004E603E">
            <w:pPr>
              <w:pStyle w:val="Instructions"/>
              <w:spacing w:before="120"/>
              <w:rPr>
                <w:iCs/>
              </w:rPr>
            </w:pPr>
            <w:r>
              <w:rPr>
                <w:iCs/>
              </w:rPr>
              <w:t>[NPRR1023</w:t>
            </w:r>
            <w:r w:rsidRPr="0002450E">
              <w:rPr>
                <w:iCs/>
              </w:rPr>
              <w:t xml:space="preserve">:  Replace </w:t>
            </w:r>
            <w:r>
              <w:rPr>
                <w:iCs/>
              </w:rPr>
              <w:t xml:space="preserve">paragraph (2) </w:t>
            </w:r>
            <w:r w:rsidRPr="0002450E">
              <w:rPr>
                <w:iCs/>
              </w:rPr>
              <w:t xml:space="preserve">above with the following upon system implementation:] </w:t>
            </w:r>
          </w:p>
          <w:p w14:paraId="7D759D07" w14:textId="2CD58C4E" w:rsidR="004E603E" w:rsidRPr="008D69E1" w:rsidRDefault="004E603E" w:rsidP="004E603E">
            <w:pPr>
              <w:pStyle w:val="BodyText"/>
              <w:ind w:left="720" w:hanging="720"/>
            </w:pPr>
            <w:r>
              <w:t>(3)</w:t>
            </w:r>
            <w:r>
              <w:tab/>
              <w:t>Except as specified in paragraph (2) above, required Financial Security for potential future obligations of a terminated Market Participant will be the maximum of the Counter-Party’s TPE, as applicable, or $5,000.</w:t>
            </w:r>
          </w:p>
        </w:tc>
      </w:tr>
    </w:tbl>
    <w:p w14:paraId="5CE559BC" w14:textId="09F4F4BD" w:rsidR="005A2AD9" w:rsidRDefault="005A2AD9" w:rsidP="00974AFC">
      <w:pPr>
        <w:pStyle w:val="BodyText"/>
        <w:spacing w:before="240"/>
        <w:ind w:left="720" w:hanging="720"/>
      </w:pPr>
      <w:r>
        <w:t>(3)</w:t>
      </w:r>
      <w:r>
        <w:tab/>
        <w:t>If a terminated Market Participant elects to withdraw non-cash Financial Security following termination, and ERCOT determines that Financial Security continues to be necessary to cover potential future obligations, then the terminated Market Participant must provide ERCOT with Cash Collateral in the amount determined by ERCOT under this section before ERCOT will return or release the non-cash Financial Security to the terminated Market Participant.</w:t>
      </w:r>
    </w:p>
    <w:p w14:paraId="06270304" w14:textId="45F72B5B" w:rsidR="00FC1C5F" w:rsidRDefault="005A2AD9" w:rsidP="005A2AD9">
      <w:pPr>
        <w:pStyle w:val="BodyText"/>
        <w:ind w:left="720" w:hanging="720"/>
      </w:pPr>
      <w:r>
        <w:t>(4)</w:t>
      </w:r>
      <w:r>
        <w:tab/>
        <w:t>Upon ERCOT’s sole determination that no sums remain owed or are necessary to cover potential future obligations to ERCOT by the terminated Market Participant, ERCOT shall return or release any Financial Security held by ERCOT to the terminated Market Participant</w:t>
      </w:r>
      <w:r w:rsidR="00727E32">
        <w: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4E603E" w14:paraId="5C4B368B" w14:textId="77777777" w:rsidTr="004E603E">
        <w:tc>
          <w:tcPr>
            <w:tcW w:w="9558" w:type="dxa"/>
            <w:shd w:val="pct12" w:color="auto" w:fill="auto"/>
          </w:tcPr>
          <w:p w14:paraId="2654C09D" w14:textId="2EBCA051" w:rsidR="004E603E" w:rsidRPr="0002450E" w:rsidRDefault="004E603E" w:rsidP="004E603E">
            <w:pPr>
              <w:pStyle w:val="Instructions"/>
              <w:spacing w:before="120"/>
              <w:rPr>
                <w:iCs/>
              </w:rPr>
            </w:pPr>
            <w:bookmarkStart w:id="677" w:name="_Toc98060322"/>
            <w:bookmarkStart w:id="678" w:name="_Toc390438993"/>
            <w:bookmarkStart w:id="679" w:name="_Toc405897704"/>
            <w:bookmarkStart w:id="680" w:name="_Toc415055796"/>
            <w:bookmarkStart w:id="681" w:name="_Toc415055922"/>
            <w:bookmarkStart w:id="682" w:name="_Toc415056021"/>
            <w:bookmarkStart w:id="683" w:name="_Toc415056121"/>
            <w:r>
              <w:rPr>
                <w:iCs/>
              </w:rPr>
              <w:t>[NPRR1023</w:t>
            </w:r>
            <w:r w:rsidRPr="0002450E">
              <w:rPr>
                <w:iCs/>
              </w:rPr>
              <w:t xml:space="preserve">:  </w:t>
            </w:r>
            <w:r>
              <w:rPr>
                <w:iCs/>
              </w:rPr>
              <w:t>Insert Section 16.11.8 below</w:t>
            </w:r>
            <w:r w:rsidRPr="0002450E">
              <w:rPr>
                <w:iCs/>
              </w:rPr>
              <w:t xml:space="preserve"> upon system implementation</w:t>
            </w:r>
            <w:r>
              <w:rPr>
                <w:iCs/>
              </w:rPr>
              <w:t xml:space="preserve"> and renumber accordingly</w:t>
            </w:r>
            <w:r w:rsidRPr="0002450E">
              <w:rPr>
                <w:iCs/>
              </w:rPr>
              <w:t xml:space="preserve">:] </w:t>
            </w:r>
          </w:p>
          <w:p w14:paraId="13697806" w14:textId="501E96DE" w:rsidR="004E603E" w:rsidRPr="00084505" w:rsidRDefault="004E603E" w:rsidP="004E603E">
            <w:pPr>
              <w:pStyle w:val="BodyText"/>
              <w:rPr>
                <w:b/>
              </w:rPr>
            </w:pPr>
            <w:r w:rsidRPr="00084505">
              <w:rPr>
                <w:b/>
                <w:i/>
              </w:rPr>
              <w:t>16.11.</w:t>
            </w:r>
            <w:r>
              <w:rPr>
                <w:b/>
                <w:i/>
              </w:rPr>
              <w:t>8</w:t>
            </w:r>
            <w:r>
              <w:rPr>
                <w:b/>
                <w:i/>
              </w:rPr>
              <w:tab/>
            </w:r>
            <w:r w:rsidRPr="00084505">
              <w:rPr>
                <w:b/>
                <w:i/>
              </w:rPr>
              <w:t xml:space="preserve">Conversion of </w:t>
            </w:r>
            <w:r>
              <w:rPr>
                <w:b/>
                <w:i/>
              </w:rPr>
              <w:t>Letters of Credit and Surety Bonds</w:t>
            </w:r>
            <w:r w:rsidRPr="00084505">
              <w:rPr>
                <w:b/>
                <w:i/>
              </w:rPr>
              <w:t xml:space="preserve"> to Cash</w:t>
            </w:r>
            <w:r>
              <w:rPr>
                <w:b/>
                <w:i/>
              </w:rPr>
              <w:t xml:space="preserve"> Collateral</w:t>
            </w:r>
          </w:p>
          <w:p w14:paraId="73DF65A4" w14:textId="777AAE29" w:rsidR="004E603E" w:rsidRPr="004E603E" w:rsidRDefault="004E603E" w:rsidP="004E603E">
            <w:pPr>
              <w:pStyle w:val="BodyText"/>
              <w:ind w:left="720" w:hanging="720"/>
            </w:pPr>
            <w:r>
              <w:t>(1)</w:t>
            </w:r>
            <w:r>
              <w:tab/>
              <w:t>To facilitate Settlement of Market Participant Invoices arising in consequence of a Payment Breach or other Default by a Market Participant, including but not limited to those described in Section 16.11.6.1.4, Repossession of CRRs by ERCOT, Section 16.11.6.1.5, Declaration of Forfeit of CRRs, and Section 16.11.6.1.6, Liquidation of Repossessed or Forfeited CRRs, ERCOT may at its sole discretion initiate conversion of letters of credit, or surety bonds held as Financial Security to cash collateral.</w:t>
            </w:r>
          </w:p>
        </w:tc>
      </w:tr>
    </w:tbl>
    <w:p w14:paraId="21AB74CA" w14:textId="77777777" w:rsidR="00FC1C5F" w:rsidRDefault="00727E32" w:rsidP="00974AFC">
      <w:pPr>
        <w:pStyle w:val="H3"/>
        <w:spacing w:before="480"/>
      </w:pPr>
      <w:bookmarkStart w:id="684" w:name="_Toc148960902"/>
      <w:r>
        <w:t>16.11.8</w:t>
      </w:r>
      <w:r>
        <w:tab/>
        <w:t>Acceleration</w:t>
      </w:r>
      <w:bookmarkEnd w:id="677"/>
      <w:bookmarkEnd w:id="678"/>
      <w:bookmarkEnd w:id="679"/>
      <w:bookmarkEnd w:id="680"/>
      <w:bookmarkEnd w:id="681"/>
      <w:bookmarkEnd w:id="682"/>
      <w:bookmarkEnd w:id="683"/>
      <w:bookmarkEnd w:id="684"/>
    </w:p>
    <w:p w14:paraId="49AC3609" w14:textId="77777777" w:rsidR="00FC1C5F" w:rsidRDefault="00853D39" w:rsidP="003E09AF">
      <w:pPr>
        <w:pStyle w:val="BodyText"/>
        <w:ind w:left="720" w:hanging="720"/>
      </w:pPr>
      <w:r>
        <w:t>(1)</w:t>
      </w:r>
      <w:r>
        <w:tab/>
      </w:r>
      <w:r w:rsidR="00727E32">
        <w:t>Upon termination of a Market Participant’s rights as a Market Participant and any other agreement(s) between ERCOT and the Market Participant, all sums owed to ERCOT are immediately accelerated and are immediately due and owing in full.  At that time, ERCOT may immediately draw upon the Market Participant’s Financial Security and shall use those funds to offset or recoup all amounts due to ERCOT.</w:t>
      </w:r>
      <w:bookmarkEnd w:id="437"/>
      <w:bookmarkEnd w:id="438"/>
      <w:bookmarkEnd w:id="439"/>
    </w:p>
    <w:p w14:paraId="6EA1CA23" w14:textId="77777777" w:rsidR="00C2117B" w:rsidRPr="002631D7" w:rsidRDefault="00C2117B" w:rsidP="00C2117B">
      <w:pPr>
        <w:pStyle w:val="H2"/>
        <w:rPr>
          <w:lang w:val="en-US" w:eastAsia="en-US"/>
        </w:rPr>
      </w:pPr>
      <w:bookmarkStart w:id="685" w:name="_Toc390438994"/>
      <w:bookmarkStart w:id="686" w:name="_Toc405897705"/>
      <w:bookmarkStart w:id="687" w:name="_Toc415055797"/>
      <w:bookmarkStart w:id="688" w:name="_Toc415055923"/>
      <w:bookmarkStart w:id="689" w:name="_Toc415056022"/>
      <w:bookmarkStart w:id="690" w:name="_Toc415056122"/>
      <w:bookmarkStart w:id="691" w:name="_Toc148960903"/>
      <w:r w:rsidRPr="002631D7">
        <w:rPr>
          <w:lang w:val="en-US" w:eastAsia="en-US"/>
        </w:rPr>
        <w:lastRenderedPageBreak/>
        <w:t>16.12</w:t>
      </w:r>
      <w:r w:rsidRPr="002631D7">
        <w:rPr>
          <w:lang w:val="en-US" w:eastAsia="en-US"/>
        </w:rPr>
        <w:tab/>
        <w:t>User Security Administrator and Digital Certificates</w:t>
      </w:r>
      <w:bookmarkEnd w:id="685"/>
      <w:bookmarkEnd w:id="686"/>
      <w:bookmarkEnd w:id="687"/>
      <w:bookmarkEnd w:id="688"/>
      <w:bookmarkEnd w:id="689"/>
      <w:bookmarkEnd w:id="690"/>
      <w:bookmarkEnd w:id="691"/>
    </w:p>
    <w:p w14:paraId="4FD49CDF" w14:textId="77777777" w:rsidR="00462B48" w:rsidRDefault="00462B48" w:rsidP="00462B48">
      <w:pPr>
        <w:pStyle w:val="H2"/>
        <w:tabs>
          <w:tab w:val="clear" w:pos="900"/>
        </w:tabs>
        <w:spacing w:before="0"/>
        <w:ind w:left="720" w:hanging="720"/>
        <w:outlineLvl w:val="9"/>
        <w:rPr>
          <w:b w:val="0"/>
        </w:rPr>
      </w:pPr>
      <w:bookmarkStart w:id="692" w:name="_Toc349821829"/>
      <w:r>
        <w:rPr>
          <w:b w:val="0"/>
        </w:rPr>
        <w:t>(1)</w:t>
      </w:r>
      <w:r>
        <w:rPr>
          <w:b w:val="0"/>
        </w:rPr>
        <w:tab/>
      </w:r>
      <w:r w:rsidRPr="00F80DFA">
        <w:rPr>
          <w:b w:val="0"/>
        </w:rPr>
        <w:t xml:space="preserve">Each Market Participant is allowed access to </w:t>
      </w:r>
      <w:r>
        <w:rPr>
          <w:b w:val="0"/>
        </w:rPr>
        <w:t xml:space="preserve">certain </w:t>
      </w:r>
      <w:r w:rsidRPr="00F80DFA">
        <w:rPr>
          <w:b w:val="0"/>
        </w:rPr>
        <w:t>ERCOT computer systems through the use of Digital Certificates upon execution of the</w:t>
      </w:r>
      <w:r w:rsidRPr="00F80DFA" w:rsidDel="003E0270">
        <w:rPr>
          <w:b w:val="0"/>
        </w:rPr>
        <w:t xml:space="preserve"> </w:t>
      </w:r>
      <w:r w:rsidRPr="00F80DFA">
        <w:rPr>
          <w:b w:val="0"/>
        </w:rPr>
        <w:t xml:space="preserve">Standard Form Market Participant Agreement (as provided for in </w:t>
      </w:r>
      <w:r w:rsidRPr="006F1E0B">
        <w:rPr>
          <w:b w:val="0"/>
        </w:rPr>
        <w:t>Section 22</w:t>
      </w:r>
      <w:r w:rsidRPr="00F80DFA">
        <w:rPr>
          <w:b w:val="0"/>
        </w:rPr>
        <w:t xml:space="preserve">, Attachment A, Standard Form Market Participant Agreement), </w:t>
      </w:r>
      <w:r>
        <w:rPr>
          <w:b w:val="0"/>
        </w:rPr>
        <w:t xml:space="preserve">and </w:t>
      </w:r>
      <w:r w:rsidRPr="00F80DFA">
        <w:rPr>
          <w:b w:val="0"/>
        </w:rPr>
        <w:t>completion of applicable registration and qualification requirements.  Digital Certificates expire after one year.</w:t>
      </w:r>
    </w:p>
    <w:p w14:paraId="2A92F01A" w14:textId="12488BB4" w:rsidR="00462B48" w:rsidRDefault="00462B48" w:rsidP="00520F89">
      <w:pPr>
        <w:pStyle w:val="H2"/>
        <w:tabs>
          <w:tab w:val="clear" w:pos="900"/>
        </w:tabs>
        <w:spacing w:before="0"/>
        <w:ind w:left="720" w:hanging="720"/>
        <w:outlineLvl w:val="9"/>
        <w:rPr>
          <w:b w:val="0"/>
        </w:rPr>
      </w:pPr>
      <w:r>
        <w:rPr>
          <w:b w:val="0"/>
        </w:rPr>
        <w:t>(2)</w:t>
      </w:r>
      <w:r>
        <w:rPr>
          <w:b w:val="0"/>
        </w:rPr>
        <w:tab/>
      </w:r>
      <w:r w:rsidR="005C5A94" w:rsidRPr="00F80DFA">
        <w:rPr>
          <w:b w:val="0"/>
        </w:rPr>
        <w:t xml:space="preserve">A User Security Administrator (USA) is responsible for managing the Market Participant’s access to </w:t>
      </w:r>
      <w:r w:rsidR="005C5A94">
        <w:rPr>
          <w:b w:val="0"/>
        </w:rPr>
        <w:t>non-public ERCOT</w:t>
      </w:r>
      <w:r w:rsidR="005C5A94" w:rsidRPr="00F80DFA">
        <w:rPr>
          <w:b w:val="0"/>
        </w:rPr>
        <w:t xml:space="preserve"> computer systems through Digital Certificates.  </w:t>
      </w:r>
      <w:r w:rsidR="005C5A94">
        <w:rPr>
          <w:b w:val="0"/>
        </w:rPr>
        <w:t xml:space="preserve">A USA may also be responsible for managing the </w:t>
      </w:r>
      <w:r w:rsidR="005C5A94" w:rsidRPr="00F80DFA">
        <w:rPr>
          <w:b w:val="0"/>
        </w:rPr>
        <w:t>Market Participant’s access</w:t>
      </w:r>
      <w:r w:rsidR="005C5A94">
        <w:rPr>
          <w:b w:val="0"/>
        </w:rPr>
        <w:t xml:space="preserve"> to </w:t>
      </w:r>
      <w:r w:rsidR="005C5A94" w:rsidRPr="005175C4">
        <w:rPr>
          <w:b w:val="0"/>
        </w:rPr>
        <w:t xml:space="preserve">the online </w:t>
      </w:r>
      <w:r w:rsidR="005C5A94">
        <w:rPr>
          <w:b w:val="0"/>
        </w:rPr>
        <w:t>Resource Integration and Ongoing Operations (“RIOO”)</w:t>
      </w:r>
      <w:r w:rsidR="005C5A94" w:rsidRPr="005175C4">
        <w:rPr>
          <w:b w:val="0"/>
        </w:rPr>
        <w:t xml:space="preserve"> system, which does not require a Digital Certificate</w:t>
      </w:r>
      <w:r w:rsidR="005C5A94">
        <w:rPr>
          <w:b w:val="0"/>
        </w:rPr>
        <w:t xml:space="preserve">.  </w:t>
      </w:r>
      <w:r w:rsidR="005C5A94" w:rsidRPr="00F80DFA">
        <w:rPr>
          <w:b w:val="0"/>
        </w:rPr>
        <w:t>Each Market Participant</w:t>
      </w:r>
      <w:r w:rsidR="005C5A94">
        <w:rPr>
          <w:b w:val="0"/>
        </w:rPr>
        <w:t xml:space="preserve"> that will receive Digital Certificate(s)</w:t>
      </w:r>
      <w:r w:rsidR="005C5A94" w:rsidRPr="00F80DFA">
        <w:rPr>
          <w:b w:val="0"/>
        </w:rPr>
        <w:t xml:space="preserve"> must, as part of the application for registration with ERCOT, designate an individual employee or authorized agent as its USA, and optionally, a </w:t>
      </w:r>
      <w:r w:rsidR="005C5A94">
        <w:rPr>
          <w:b w:val="0"/>
        </w:rPr>
        <w:t>backup</w:t>
      </w:r>
      <w:r w:rsidR="005C5A94" w:rsidRPr="00F80DFA">
        <w:rPr>
          <w:b w:val="0"/>
        </w:rPr>
        <w:t xml:space="preserve"> USA.  If a Market Participant has designated a </w:t>
      </w:r>
      <w:r w:rsidR="005C5A94">
        <w:rPr>
          <w:b w:val="0"/>
        </w:rPr>
        <w:t>backup</w:t>
      </w:r>
      <w:r w:rsidR="005C5A94" w:rsidRPr="00F80DFA">
        <w:rPr>
          <w:b w:val="0"/>
        </w:rPr>
        <w:t xml:space="preserve"> USA</w:t>
      </w:r>
      <w:r w:rsidR="005C5A94">
        <w:rPr>
          <w:b w:val="0"/>
        </w:rPr>
        <w:t xml:space="preserve"> and </w:t>
      </w:r>
      <w:r w:rsidR="005C5A94" w:rsidRPr="00F80DFA">
        <w:rPr>
          <w:b w:val="0"/>
        </w:rPr>
        <w:t>the primary USA</w:t>
      </w:r>
      <w:r w:rsidR="005C5A94">
        <w:rPr>
          <w:b w:val="0"/>
        </w:rPr>
        <w:t xml:space="preserve"> fails to perform, or is unable to</w:t>
      </w:r>
      <w:r w:rsidR="005C5A94" w:rsidRPr="000B18AC">
        <w:rPr>
          <w:b w:val="0"/>
        </w:rPr>
        <w:t xml:space="preserve"> perf</w:t>
      </w:r>
      <w:r w:rsidR="005C5A94">
        <w:rPr>
          <w:b w:val="0"/>
        </w:rPr>
        <w:t>orm, the functions required of a USA, then the backup USA shall perform any and all functions required of the primary USA</w:t>
      </w:r>
      <w:r w:rsidR="005C5A94" w:rsidRPr="000B18AC">
        <w:rPr>
          <w:b w:val="0"/>
        </w:rPr>
        <w:t>.</w:t>
      </w:r>
      <w:r w:rsidR="005C5A94" w:rsidRPr="00F80DFA">
        <w:rPr>
          <w:b w:val="0"/>
        </w:rPr>
        <w:t xml:space="preserve">  The Market Participant is responsible for revising its USA list as the need arises.  The Market Participant’s USA is responsible for registering all Market Participant’s Digital Certificate holders (“Certificate Holders”) and administering the use of Digital Certificates on behalf of the Market Participant.  </w:t>
      </w:r>
      <w:r w:rsidR="005C5A94">
        <w:rPr>
          <w:b w:val="0"/>
        </w:rPr>
        <w:t xml:space="preserve">ERCOT Critical Energy Infrastructure Information (ECEII) posted on the Market Information System (MIS) Secure or Certified Area may be accessed only by those individuals that are issued ECEII-eligible Digital Certificates.  </w:t>
      </w:r>
      <w:r w:rsidR="005C5A94" w:rsidRPr="00276CA9">
        <w:rPr>
          <w:b w:val="0"/>
        </w:rPr>
        <w:t>Each</w:t>
      </w:r>
      <w:r w:rsidR="005C5A94" w:rsidRPr="00F80DFA">
        <w:rPr>
          <w:b w:val="0"/>
        </w:rPr>
        <w:t xml:space="preserve"> Market Participant </w:t>
      </w:r>
      <w:r w:rsidR="005C5A94">
        <w:rPr>
          <w:b w:val="0"/>
        </w:rPr>
        <w:t xml:space="preserve">that will receive Digital Certificates and </w:t>
      </w:r>
      <w:r w:rsidR="005C5A94" w:rsidRPr="00F80DFA">
        <w:rPr>
          <w:b w:val="0"/>
        </w:rPr>
        <w:t xml:space="preserve"> </w:t>
      </w:r>
      <w:r w:rsidR="005C5A94">
        <w:rPr>
          <w:b w:val="0"/>
        </w:rPr>
        <w:t>having</w:t>
      </w:r>
      <w:r w:rsidR="005C5A94" w:rsidRPr="00F80DFA">
        <w:rPr>
          <w:b w:val="0"/>
        </w:rPr>
        <w:t xml:space="preserve"> more than one ERCOT functional registration must designate a USA for each registration (which may be the same employee or authorized agent) and shall manage each registration separately for the purposes of this Section.  Once the Market Participant completes registration requirements, ERCOT shall send the USA a copy of</w:t>
      </w:r>
      <w:r w:rsidR="005C5A94">
        <w:rPr>
          <w:b w:val="0"/>
        </w:rPr>
        <w:t xml:space="preserve"> the Digital Certificate user guide.</w:t>
      </w:r>
      <w:r>
        <w:rPr>
          <w:b w:val="0"/>
        </w:rPr>
        <w:t xml:space="preserve"> </w:t>
      </w:r>
    </w:p>
    <w:p w14:paraId="6211EE29" w14:textId="7DE936D1" w:rsidR="00462B48" w:rsidRPr="00DB1C2A" w:rsidRDefault="00462B48" w:rsidP="00C2150F">
      <w:pPr>
        <w:pStyle w:val="H2"/>
        <w:tabs>
          <w:tab w:val="clear" w:pos="900"/>
        </w:tabs>
        <w:spacing w:before="0"/>
        <w:ind w:left="720" w:hanging="720"/>
        <w:outlineLvl w:val="9"/>
        <w:rPr>
          <w:b w:val="0"/>
        </w:rPr>
      </w:pPr>
      <w:r w:rsidRPr="00273115">
        <w:rPr>
          <w:b w:val="0"/>
        </w:rPr>
        <w:t>(</w:t>
      </w:r>
      <w:r>
        <w:rPr>
          <w:b w:val="0"/>
        </w:rPr>
        <w:t>3</w:t>
      </w:r>
      <w:r w:rsidRPr="00273115">
        <w:rPr>
          <w:b w:val="0"/>
        </w:rPr>
        <w:t>)</w:t>
      </w:r>
      <w:r w:rsidRPr="00273115">
        <w:rPr>
          <w:b w:val="0"/>
        </w:rPr>
        <w:tab/>
      </w:r>
      <w:r>
        <w:rPr>
          <w:b w:val="0"/>
        </w:rPr>
        <w:t>Only</w:t>
      </w:r>
      <w:r w:rsidRPr="00273115">
        <w:rPr>
          <w:b w:val="0"/>
        </w:rPr>
        <w:t xml:space="preserve"> Market Participant</w:t>
      </w:r>
      <w:r>
        <w:rPr>
          <w:b w:val="0"/>
        </w:rPr>
        <w:t>s</w:t>
      </w:r>
      <w:r w:rsidRPr="00273115">
        <w:rPr>
          <w:b w:val="0"/>
        </w:rPr>
        <w:t xml:space="preserve"> registered with ERCOT as </w:t>
      </w:r>
      <w:r>
        <w:rPr>
          <w:b w:val="0"/>
        </w:rPr>
        <w:t xml:space="preserve">either </w:t>
      </w:r>
      <w:r w:rsidRPr="00273115">
        <w:rPr>
          <w:b w:val="0"/>
        </w:rPr>
        <w:t>a Municipally Owned Utility (MOU) or an Electric Cooperative (EC), and</w:t>
      </w:r>
      <w:r>
        <w:rPr>
          <w:b w:val="0"/>
        </w:rPr>
        <w:t xml:space="preserve"> as</w:t>
      </w:r>
      <w:r w:rsidRPr="00273115">
        <w:rPr>
          <w:b w:val="0"/>
        </w:rPr>
        <w:t xml:space="preserve"> a Distribution Service Provider (DSP) and/or Load Serving Entity (LSE), </w:t>
      </w:r>
      <w:r w:rsidRPr="00315A2F">
        <w:rPr>
          <w:b w:val="0"/>
        </w:rPr>
        <w:t>may</w:t>
      </w:r>
      <w:r>
        <w:rPr>
          <w:b w:val="0"/>
        </w:rPr>
        <w:t xml:space="preserve"> be eligible to opt </w:t>
      </w:r>
      <w:r w:rsidRPr="00273115">
        <w:rPr>
          <w:b w:val="0"/>
        </w:rPr>
        <w:t xml:space="preserve">out of designating a USA and receiving Digital Certificates if the Market Participant demonstrates to ERCOT’s </w:t>
      </w:r>
      <w:r w:rsidRPr="00DB1C2A">
        <w:rPr>
          <w:b w:val="0"/>
        </w:rPr>
        <w:t xml:space="preserve">satisfaction that it does not need a Digital Certificate to perform its obligations under the ERCOT Protocols, market guides, or other applicable rules. </w:t>
      </w:r>
    </w:p>
    <w:p w14:paraId="64EA7721" w14:textId="77777777" w:rsidR="00462B48" w:rsidRPr="00DB1C2A" w:rsidRDefault="00462B48" w:rsidP="00462B48">
      <w:pPr>
        <w:pStyle w:val="H2"/>
        <w:tabs>
          <w:tab w:val="clear" w:pos="900"/>
        </w:tabs>
        <w:spacing w:before="0"/>
        <w:ind w:left="720" w:hanging="720"/>
        <w:outlineLvl w:val="9"/>
        <w:rPr>
          <w:b w:val="0"/>
        </w:rPr>
      </w:pPr>
      <w:r w:rsidRPr="00DB1C2A">
        <w:rPr>
          <w:b w:val="0"/>
        </w:rPr>
        <w:t xml:space="preserve">(4) </w:t>
      </w:r>
      <w:r w:rsidRPr="00DB1C2A">
        <w:rPr>
          <w:b w:val="0"/>
        </w:rPr>
        <w:tab/>
        <w:t>An eligible Market</w:t>
      </w:r>
      <w:r>
        <w:rPr>
          <w:b w:val="0"/>
        </w:rPr>
        <w:t xml:space="preserve"> Participant that wishes to opt </w:t>
      </w:r>
      <w:r w:rsidRPr="00DB1C2A">
        <w:rPr>
          <w:b w:val="0"/>
        </w:rPr>
        <w:t>out of designating a USA and receiving Digital Certificates shall submit a request form, found on the ERCOT websit</w:t>
      </w:r>
      <w:r>
        <w:rPr>
          <w:b w:val="0"/>
        </w:rPr>
        <w:t xml:space="preserve">e, confirming its desire to opt </w:t>
      </w:r>
      <w:r w:rsidRPr="00DB1C2A">
        <w:rPr>
          <w:b w:val="0"/>
        </w:rPr>
        <w:t>out subject to ERCOT’s review and approval.  ERCOT will notify the requesting Market Participant of its approval or disapproval of the request within 14 Business Days.  ERCOT may subsequently revoke, at its sole discretion, Market Participant’s election to opt</w:t>
      </w:r>
      <w:r>
        <w:rPr>
          <w:b w:val="0"/>
          <w:lang w:val="en-US"/>
        </w:rPr>
        <w:t xml:space="preserve"> </w:t>
      </w:r>
      <w:r w:rsidRPr="00DB1C2A">
        <w:rPr>
          <w:b w:val="0"/>
        </w:rPr>
        <w:t>out if the Market Participant’s lack of a Digital Certificate causes administrative burdens or reliability concerns.  ERCOT will send notice of revocation to the Market Participant who will have ten Business Days to fill out a Notice of Change of Information (NCI) form (</w:t>
      </w:r>
      <w:r w:rsidRPr="006F1E0B">
        <w:rPr>
          <w:b w:val="0"/>
        </w:rPr>
        <w:t>Section 23</w:t>
      </w:r>
      <w:r w:rsidRPr="00DB1C2A">
        <w:rPr>
          <w:b w:val="0"/>
        </w:rPr>
        <w:t xml:space="preserve">, Form E, Notice of Change of Information) and submit it to ERCOT.  Once the NCI is submitted, the request for a </w:t>
      </w:r>
      <w:r w:rsidRPr="00DB1C2A">
        <w:rPr>
          <w:b w:val="0"/>
        </w:rPr>
        <w:lastRenderedPageBreak/>
        <w:t xml:space="preserve">Digital Certificate will be subject to the same requirements applicable to the processing of an initial request by a new Market Participant. </w:t>
      </w:r>
    </w:p>
    <w:p w14:paraId="11E91DD5" w14:textId="77777777" w:rsidR="00462B48" w:rsidRPr="00DB1C2A" w:rsidRDefault="00462B48" w:rsidP="00462B48">
      <w:pPr>
        <w:pStyle w:val="H2"/>
        <w:tabs>
          <w:tab w:val="clear" w:pos="900"/>
        </w:tabs>
        <w:spacing w:before="0"/>
        <w:ind w:left="720" w:hanging="720"/>
        <w:outlineLvl w:val="9"/>
        <w:rPr>
          <w:b w:val="0"/>
        </w:rPr>
      </w:pPr>
      <w:r w:rsidRPr="00DB1C2A">
        <w:rPr>
          <w:b w:val="0"/>
        </w:rPr>
        <w:t>(5)</w:t>
      </w:r>
      <w:r w:rsidRPr="00DB1C2A">
        <w:rPr>
          <w:b w:val="0"/>
        </w:rPr>
        <w:tab/>
        <w:t>Market Participants that have received approval from ERCOT to opt</w:t>
      </w:r>
      <w:r>
        <w:rPr>
          <w:b w:val="0"/>
          <w:lang w:val="en-US"/>
        </w:rPr>
        <w:t xml:space="preserve"> </w:t>
      </w:r>
      <w:r w:rsidRPr="00DB1C2A">
        <w:rPr>
          <w:b w:val="0"/>
        </w:rPr>
        <w:t>out of designating a USA and receiving Digital Certificates are not excused from obligations under the ERCOT Protocols, other than the obligations required in this Section 16.12 regarding Digital Certificates.  Market Participants who opt</w:t>
      </w:r>
      <w:r w:rsidR="00DC3589" w:rsidRPr="00DB1C2A">
        <w:rPr>
          <w:b w:val="0"/>
        </w:rPr>
        <w:t xml:space="preserve"> </w:t>
      </w:r>
      <w:r w:rsidRPr="00DB1C2A">
        <w:rPr>
          <w:b w:val="0"/>
        </w:rPr>
        <w:t>out shall still be required to submit the Digital Certificate Audit Attestation (</w:t>
      </w:r>
      <w:r w:rsidRPr="00A675A9">
        <w:rPr>
          <w:b w:val="0"/>
        </w:rPr>
        <w:t>DCAA</w:t>
      </w:r>
      <w:r w:rsidRPr="00DB1C2A">
        <w:rPr>
          <w:b w:val="0"/>
        </w:rPr>
        <w:t xml:space="preserve">) required by paragraph (2) of </w:t>
      </w:r>
      <w:r w:rsidRPr="006F1E0B">
        <w:rPr>
          <w:b w:val="0"/>
        </w:rPr>
        <w:t>Section 16.12.3</w:t>
      </w:r>
      <w:r w:rsidRPr="00DB1C2A">
        <w:rPr>
          <w:b w:val="0"/>
        </w:rPr>
        <w:t>, Market Participant Audits of User Security Administrators and Digital Certificates, for the portion of the year, if any, during which they had a USA and Digital Certificate(s).</w:t>
      </w:r>
    </w:p>
    <w:p w14:paraId="372A3CFC" w14:textId="77777777" w:rsidR="00C2117B" w:rsidRPr="00F80DFA" w:rsidRDefault="00462B48" w:rsidP="00462B48">
      <w:pPr>
        <w:pStyle w:val="H2"/>
        <w:tabs>
          <w:tab w:val="clear" w:pos="900"/>
        </w:tabs>
        <w:spacing w:before="0"/>
        <w:ind w:left="720" w:hanging="720"/>
        <w:outlineLvl w:val="9"/>
        <w:rPr>
          <w:b w:val="0"/>
          <w:lang w:val="en-US"/>
        </w:rPr>
      </w:pPr>
      <w:r w:rsidRPr="00273115">
        <w:rPr>
          <w:b w:val="0"/>
        </w:rPr>
        <w:t>(</w:t>
      </w:r>
      <w:r>
        <w:rPr>
          <w:b w:val="0"/>
        </w:rPr>
        <w:t>6</w:t>
      </w:r>
      <w:r w:rsidRPr="00273115">
        <w:rPr>
          <w:b w:val="0"/>
        </w:rPr>
        <w:t>)</w:t>
      </w:r>
      <w:r w:rsidRPr="00273115">
        <w:rPr>
          <w:b w:val="0"/>
        </w:rPr>
        <w:tab/>
      </w:r>
      <w:r>
        <w:rPr>
          <w:b w:val="0"/>
        </w:rPr>
        <w:t xml:space="preserve">A </w:t>
      </w:r>
      <w:r w:rsidRPr="00414EA9">
        <w:rPr>
          <w:b w:val="0"/>
        </w:rPr>
        <w:t>Market Participant</w:t>
      </w:r>
      <w:r>
        <w:rPr>
          <w:b w:val="0"/>
        </w:rPr>
        <w:t xml:space="preserve"> </w:t>
      </w:r>
      <w:r w:rsidRPr="00273115">
        <w:rPr>
          <w:b w:val="0"/>
        </w:rPr>
        <w:t>that has been granted approval by ERCOT to opt</w:t>
      </w:r>
      <w:r>
        <w:rPr>
          <w:b w:val="0"/>
          <w:lang w:val="en-US"/>
        </w:rPr>
        <w:t xml:space="preserve"> </w:t>
      </w:r>
      <w:r w:rsidRPr="00273115">
        <w:rPr>
          <w:b w:val="0"/>
        </w:rPr>
        <w:t xml:space="preserve">out of designating a USA and receiving Digital Certificates </w:t>
      </w:r>
      <w:r>
        <w:rPr>
          <w:b w:val="0"/>
        </w:rPr>
        <w:t xml:space="preserve">will not have access to </w:t>
      </w:r>
      <w:r w:rsidRPr="00414EA9">
        <w:rPr>
          <w:b w:val="0"/>
        </w:rPr>
        <w:t xml:space="preserve">information </w:t>
      </w:r>
      <w:r>
        <w:rPr>
          <w:b w:val="0"/>
        </w:rPr>
        <w:t>that would ordinarily be retrievable with a</w:t>
      </w:r>
      <w:r w:rsidRPr="00414EA9">
        <w:rPr>
          <w:b w:val="0"/>
        </w:rPr>
        <w:t xml:space="preserve"> Digital Certificate.</w:t>
      </w:r>
      <w:r>
        <w:rPr>
          <w:b w:val="0"/>
        </w:rPr>
        <w:t xml:space="preserve">  </w:t>
      </w:r>
      <w:r w:rsidRPr="00273115">
        <w:rPr>
          <w:b w:val="0"/>
        </w:rPr>
        <w:t>A Market Participant that has been granted approval by ERCOT to opt</w:t>
      </w:r>
      <w:r>
        <w:rPr>
          <w:b w:val="0"/>
          <w:lang w:val="en-US"/>
        </w:rPr>
        <w:t xml:space="preserve"> </w:t>
      </w:r>
      <w:r w:rsidRPr="00273115">
        <w:rPr>
          <w:b w:val="0"/>
        </w:rPr>
        <w:t>out of designating a USA and receiving Digital Certificates may, at any time, cancel its opt-out status by submitting a</w:t>
      </w:r>
      <w:r>
        <w:rPr>
          <w:b w:val="0"/>
        </w:rPr>
        <w:t>n</w:t>
      </w:r>
      <w:r w:rsidRPr="00273115">
        <w:rPr>
          <w:b w:val="0"/>
        </w:rPr>
        <w:t xml:space="preserve"> NCI </w:t>
      </w:r>
      <w:r>
        <w:rPr>
          <w:b w:val="0"/>
        </w:rPr>
        <w:t>f</w:t>
      </w:r>
      <w:r w:rsidRPr="00273115">
        <w:rPr>
          <w:b w:val="0"/>
        </w:rPr>
        <w:t>orm (Section 23, Form E).</w:t>
      </w:r>
      <w:bookmarkEnd w:id="692"/>
    </w:p>
    <w:p w14:paraId="6A7269C2" w14:textId="77777777" w:rsidR="00FC1C5F" w:rsidRDefault="00727E32" w:rsidP="003E021A">
      <w:pPr>
        <w:pStyle w:val="H3"/>
      </w:pPr>
      <w:bookmarkStart w:id="693" w:name="_Toc390438995"/>
      <w:bookmarkStart w:id="694" w:name="_Toc405897706"/>
      <w:bookmarkStart w:id="695" w:name="_Toc415055798"/>
      <w:bookmarkStart w:id="696" w:name="_Toc415055924"/>
      <w:bookmarkStart w:id="697" w:name="_Toc415056023"/>
      <w:bookmarkStart w:id="698" w:name="_Toc415056123"/>
      <w:bookmarkStart w:id="699" w:name="_Toc148960904"/>
      <w:r>
        <w:t>16.12.1</w:t>
      </w:r>
      <w:r>
        <w:tab/>
        <w:t>USA Responsibilities and Qualifications for Digital Certificate Holders</w:t>
      </w:r>
      <w:bookmarkEnd w:id="693"/>
      <w:bookmarkEnd w:id="694"/>
      <w:bookmarkEnd w:id="695"/>
      <w:bookmarkEnd w:id="696"/>
      <w:bookmarkEnd w:id="697"/>
      <w:bookmarkEnd w:id="698"/>
      <w:bookmarkEnd w:id="699"/>
    </w:p>
    <w:p w14:paraId="42502BFE" w14:textId="77777777" w:rsidR="00FC1C5F" w:rsidRDefault="00853D39" w:rsidP="003E09AF">
      <w:pPr>
        <w:pStyle w:val="BodyText"/>
        <w:ind w:left="720" w:hanging="720"/>
      </w:pPr>
      <w:r>
        <w:t>(1)</w:t>
      </w:r>
      <w:r>
        <w:tab/>
      </w:r>
      <w:r w:rsidR="00727E32">
        <w:t>The USA and the Market Participant are responsible for the following:</w:t>
      </w:r>
    </w:p>
    <w:p w14:paraId="18B4740F" w14:textId="77777777" w:rsidR="00462B48" w:rsidRDefault="00462B48" w:rsidP="00462B48">
      <w:pPr>
        <w:pStyle w:val="List"/>
      </w:pPr>
      <w:r>
        <w:t>(a)</w:t>
      </w:r>
      <w:r>
        <w:tab/>
        <w:t>Requesting Digital Certificates for authorized Certificate Holders (either persons or programmatic interfaces) that the USA has qualified through an appropriate screening process requiring confirmation that the Certificate Holder is an employee or authorized agent (including third parties) of the Market Participant.  A Certificate Holder (including the USA) must be qualified as set forth below.  The Market Participant shall be liable for ensuring that each of its Certificate Holder(s) meets the requirements of (i) – (v) below.</w:t>
      </w:r>
    </w:p>
    <w:p w14:paraId="5DD5338C" w14:textId="77777777" w:rsidR="00462B48" w:rsidRDefault="00462B48" w:rsidP="00462B48">
      <w:pPr>
        <w:pStyle w:val="List2"/>
      </w:pPr>
      <w:r>
        <w:t>(i)</w:t>
      </w:r>
      <w:r>
        <w:tab/>
        <w:t xml:space="preserve">For any employee or authorized agent receiving a Digital Certificate, the Market Participant shall confirm that the employee or authorized agent satisfies reasonable background review sufficient for employment or contract with the Market Participant so as to reasonably limit threat(s) to ERCOT’s market or computer systems.  The Market Participant may not request that Digital Certificates be issued to any employee or authorized agent that it determines, after reasonable background review, poses a threat to ERCOT’s market or computer systems.  </w:t>
      </w:r>
    </w:p>
    <w:p w14:paraId="5727625E" w14:textId="77777777" w:rsidR="00462B48" w:rsidRDefault="00462B48" w:rsidP="00462B48">
      <w:pPr>
        <w:pStyle w:val="List2"/>
      </w:pPr>
      <w:r>
        <w:t>(ii)</w:t>
      </w:r>
      <w:r>
        <w:tab/>
        <w:t xml:space="preserve">The Certificate Holder is aware of the rules and restrictions relating to the use of Digital Certificates.  </w:t>
      </w:r>
    </w:p>
    <w:p w14:paraId="1CF58831" w14:textId="77777777" w:rsidR="00462B48" w:rsidRDefault="00462B48" w:rsidP="00462B48">
      <w:pPr>
        <w:pStyle w:val="List2"/>
        <w:rPr>
          <w:b/>
          <w:i/>
        </w:rPr>
      </w:pPr>
      <w:r>
        <w:t>(iii)</w:t>
      </w:r>
      <w:r>
        <w:tab/>
        <w:t xml:space="preserve">The Certificate Holder is eligible to review and receive technology and software under applicable export control laws and regulations.  ERCOT shall post links to such laws and regulations on the ERCOT website. </w:t>
      </w:r>
    </w:p>
    <w:p w14:paraId="127683B0" w14:textId="77777777" w:rsidR="00462B48" w:rsidRDefault="00462B48" w:rsidP="00462B48">
      <w:pPr>
        <w:pStyle w:val="List2"/>
      </w:pPr>
      <w:r>
        <w:lastRenderedPageBreak/>
        <w:t>(iv)</w:t>
      </w:r>
      <w:r>
        <w:tab/>
        <w:t xml:space="preserve">The Market Participant has conducted a reasonable review of the Certificate Holder and has confirmed that the Certificate Holder is not on any U.S. terrorist threat lists such as the Consolidated Screening List or the Federal Bureau of Investigation Most Wanted Terrorists List.  ERCOT will post links to relevant lists on the ERCOT website.  </w:t>
      </w:r>
    </w:p>
    <w:p w14:paraId="67A6C024" w14:textId="77777777" w:rsidR="00462B48" w:rsidRDefault="00462B48" w:rsidP="00462B48">
      <w:pPr>
        <w:pStyle w:val="List2"/>
      </w:pPr>
      <w:r>
        <w:t>(v)</w:t>
      </w:r>
      <w:r>
        <w:tab/>
        <w:t>The Certificate Holder does not violate the conditions of use specified by the software vendor that provides the Digital Certificates for the Market Participant’s use and provided to the Certificate Holder.  ERCOT will post links to relevant conditions of use on the ERCOT website</w:t>
      </w:r>
      <w:r w:rsidR="00DC3589">
        <w:t>.</w:t>
      </w:r>
    </w:p>
    <w:p w14:paraId="032610AE" w14:textId="77777777" w:rsidR="00462B48" w:rsidRDefault="00462B48" w:rsidP="00462B48">
      <w:pPr>
        <w:pStyle w:val="List"/>
      </w:pPr>
      <w:r>
        <w:t>(b)</w:t>
      </w:r>
      <w:r>
        <w:tab/>
        <w:t xml:space="preserve">Requesting revocation of Digital Certificates.  </w:t>
      </w:r>
      <w:r w:rsidRPr="00ED1058">
        <w:t xml:space="preserve">The Market Participant or USA shall request revocation </w:t>
      </w:r>
      <w:r>
        <w:t xml:space="preserve">of Digital Certificates </w:t>
      </w:r>
      <w:r w:rsidRPr="00ED1058">
        <w:t xml:space="preserve">by proceeding with the ERCOT </w:t>
      </w:r>
      <w:r>
        <w:t>Digital Certificate</w:t>
      </w:r>
      <w:r w:rsidRPr="00ED1058">
        <w:t xml:space="preserve"> revocation process</w:t>
      </w:r>
      <w:r>
        <w:t xml:space="preserve"> as described in the Digital Certificate User Guide</w:t>
      </w:r>
      <w:r w:rsidRPr="00ED1058">
        <w:t xml:space="preserve">. </w:t>
      </w:r>
      <w:r>
        <w:t xml:space="preserve"> The Market Participant or USA shall request revocation of a Digital Certificate under any of the following conditions:</w:t>
      </w:r>
    </w:p>
    <w:p w14:paraId="665A9064" w14:textId="77777777" w:rsidR="00462B48" w:rsidRDefault="00462B48" w:rsidP="00462B48">
      <w:pPr>
        <w:pStyle w:val="List2"/>
      </w:pPr>
      <w:r>
        <w:t>(i)</w:t>
      </w:r>
      <w:r>
        <w:tab/>
        <w:t>As soon as possible but no later than three Business Days after:</w:t>
      </w:r>
    </w:p>
    <w:p w14:paraId="3B623A7A" w14:textId="77777777" w:rsidR="00462B48" w:rsidRDefault="00462B48" w:rsidP="00462B48">
      <w:pPr>
        <w:pStyle w:val="List2"/>
        <w:ind w:left="2880"/>
      </w:pPr>
      <w:r>
        <w:t>(A)</w:t>
      </w:r>
      <w:r>
        <w:tab/>
        <w:t>A Certificate Holder ceases employment with the Market Participant; or</w:t>
      </w:r>
    </w:p>
    <w:p w14:paraId="426A2540" w14:textId="77777777" w:rsidR="00462B48" w:rsidRDefault="00462B48" w:rsidP="00462B48">
      <w:pPr>
        <w:pStyle w:val="List2"/>
        <w:ind w:left="2880"/>
      </w:pPr>
      <w:r>
        <w:t>(B)</w:t>
      </w:r>
      <w:r>
        <w:tab/>
        <w:t xml:space="preserve">The Market Participant becomes aware that a Certificate Holder is changing job functions (pursuant to a reasonable process for identifying when job function changes occur) so that the Certificate Holder no longer needs the Digital Certificate; </w:t>
      </w:r>
    </w:p>
    <w:p w14:paraId="7D23D44C" w14:textId="77777777" w:rsidR="00462B48" w:rsidRDefault="00462B48" w:rsidP="00462B48">
      <w:pPr>
        <w:pStyle w:val="List2"/>
      </w:pPr>
      <w:r>
        <w:t>(ii)</w:t>
      </w:r>
      <w:r>
        <w:tab/>
        <w:t xml:space="preserve">As soon as possible, but no later than five Business Days, after the Market Participant becomes aware (pursuant to a reasonable process for identifying violations) that the Certificate Holder has violated any of the following conditions of use of a Digital Certificate: </w:t>
      </w:r>
    </w:p>
    <w:p w14:paraId="629475D2" w14:textId="77777777" w:rsidR="00462B48" w:rsidRDefault="00462B48" w:rsidP="00462B48">
      <w:pPr>
        <w:pStyle w:val="List3"/>
      </w:pPr>
      <w:r>
        <w:t>(A)</w:t>
      </w:r>
      <w:r>
        <w:tab/>
        <w:t>Violating the requirements if any of paragraph (1)(a)(i) – (v) above;</w:t>
      </w:r>
    </w:p>
    <w:p w14:paraId="7478F033" w14:textId="77777777" w:rsidR="00462B48" w:rsidRDefault="00462B48" w:rsidP="00462B48">
      <w:pPr>
        <w:pStyle w:val="List3"/>
      </w:pPr>
      <w:r>
        <w:t>(B)</w:t>
      </w:r>
      <w:r>
        <w:tab/>
        <w:t xml:space="preserve">Using the Digital Certificate for any unauthorized purpose; or </w:t>
      </w:r>
    </w:p>
    <w:p w14:paraId="5EA3B87B" w14:textId="77777777" w:rsidR="00462B48" w:rsidRDefault="00462B48" w:rsidP="00462B48">
      <w:pPr>
        <w:pStyle w:val="List3"/>
      </w:pPr>
      <w:r>
        <w:t>(C)</w:t>
      </w:r>
      <w:r>
        <w:tab/>
        <w:t xml:space="preserve">Allowing any person other than the Certificate Holder to use the Digital Certificate. </w:t>
      </w:r>
    </w:p>
    <w:p w14:paraId="49E92C83" w14:textId="77777777" w:rsidR="00FC1C5F" w:rsidRDefault="00727E32" w:rsidP="003E021A">
      <w:pPr>
        <w:pStyle w:val="List"/>
      </w:pPr>
      <w:r>
        <w:t>(c)</w:t>
      </w:r>
      <w:r>
        <w:tab/>
        <w:t>Managing the level of access for each Certificate Holder by assigning and maintaining Digital Certificate roles for each authorized user in accordance with the process set forth in</w:t>
      </w:r>
      <w:r w:rsidR="00B96953">
        <w:t xml:space="preserve"> ERCOT’s Digital Certificate user guide.</w:t>
      </w:r>
    </w:p>
    <w:p w14:paraId="115D71AA" w14:textId="77777777" w:rsidR="00FC1C5F" w:rsidRDefault="00727E32">
      <w:pPr>
        <w:pStyle w:val="List"/>
        <w:tabs>
          <w:tab w:val="left" w:pos="720"/>
          <w:tab w:val="left" w:pos="1440"/>
          <w:tab w:val="left" w:pos="2160"/>
          <w:tab w:val="left" w:pos="2880"/>
          <w:tab w:val="left" w:pos="3600"/>
          <w:tab w:val="left" w:pos="4320"/>
          <w:tab w:val="left" w:pos="5040"/>
          <w:tab w:val="left" w:pos="5760"/>
          <w:tab w:val="left" w:pos="8112"/>
        </w:tabs>
      </w:pPr>
      <w:r>
        <w:t>(d)</w:t>
      </w:r>
      <w:r>
        <w:tab/>
        <w:t>Requesting annual renewal of Digital Certificates.</w:t>
      </w:r>
      <w:r>
        <w:tab/>
      </w:r>
    </w:p>
    <w:p w14:paraId="48DE3297" w14:textId="77777777" w:rsidR="00FC1C5F" w:rsidRDefault="00727E32">
      <w:pPr>
        <w:pStyle w:val="List"/>
      </w:pPr>
      <w:r>
        <w:t>(e)</w:t>
      </w:r>
      <w:r>
        <w:tab/>
        <w:t xml:space="preserve">If needed, issuing Digital Certificates for use by electronic systems not limited to servers. </w:t>
      </w:r>
    </w:p>
    <w:p w14:paraId="0F47AEAA" w14:textId="77777777" w:rsidR="00FC1C5F" w:rsidRDefault="00727E32">
      <w:pPr>
        <w:pStyle w:val="List"/>
        <w:numPr>
          <w:ilvl w:val="0"/>
          <w:numId w:val="6"/>
        </w:numPr>
        <w:tabs>
          <w:tab w:val="clear" w:pos="1080"/>
        </w:tabs>
        <w:ind w:left="1440" w:hanging="720"/>
      </w:pPr>
      <w:r>
        <w:lastRenderedPageBreak/>
        <w:t xml:space="preserve">Maintaining the integrity of the administration of Digital Certificates through consistent, sound and reasonable business practices. </w:t>
      </w:r>
    </w:p>
    <w:p w14:paraId="4C046123" w14:textId="77777777" w:rsidR="00FC1C5F" w:rsidRDefault="00727E32">
      <w:pPr>
        <w:pStyle w:val="H3"/>
      </w:pPr>
      <w:bookmarkStart w:id="700" w:name="_Toc390438996"/>
      <w:bookmarkStart w:id="701" w:name="_Toc405897707"/>
      <w:bookmarkStart w:id="702" w:name="_Toc415055799"/>
      <w:bookmarkStart w:id="703" w:name="_Toc415055925"/>
      <w:bookmarkStart w:id="704" w:name="_Toc415056024"/>
      <w:bookmarkStart w:id="705" w:name="_Toc415056124"/>
      <w:bookmarkStart w:id="706" w:name="_Toc148960905"/>
      <w:r>
        <w:t>16.12.2</w:t>
      </w:r>
      <w:r>
        <w:tab/>
        <w:t>Requirements for Use of Digital Certificates</w:t>
      </w:r>
      <w:bookmarkEnd w:id="700"/>
      <w:bookmarkEnd w:id="701"/>
      <w:bookmarkEnd w:id="702"/>
      <w:bookmarkEnd w:id="703"/>
      <w:bookmarkEnd w:id="704"/>
      <w:bookmarkEnd w:id="705"/>
      <w:bookmarkEnd w:id="706"/>
    </w:p>
    <w:p w14:paraId="5F0F4A17" w14:textId="77777777" w:rsidR="00FC1C5F" w:rsidRDefault="00853D39">
      <w:pPr>
        <w:pStyle w:val="List"/>
        <w:ind w:left="720"/>
      </w:pPr>
      <w:r>
        <w:t>(1)</w:t>
      </w:r>
      <w:r>
        <w:tab/>
      </w:r>
      <w:r w:rsidR="00727E32">
        <w:t>Use of Digital Certificates must comply with the following:</w:t>
      </w:r>
    </w:p>
    <w:p w14:paraId="689A2E0B" w14:textId="77777777" w:rsidR="00FC1C5F" w:rsidRDefault="00727E32">
      <w:pPr>
        <w:pStyle w:val="List"/>
      </w:pPr>
      <w:r>
        <w:t>(a)</w:t>
      </w:r>
      <w:r>
        <w:tab/>
        <w:t xml:space="preserve">A Digital Certificate shall be used by only one individual and may not be shared.  If multiple employees or authorized agents share a computer and each requires a Digital Certificate, the </w:t>
      </w:r>
      <w:smartTag w:uri="urn:schemas-microsoft-com:office:smarttags" w:element="country-region">
        <w:smartTag w:uri="urn:schemas-microsoft-com:office:smarttags" w:element="place">
          <w:r>
            <w:t>USA</w:t>
          </w:r>
        </w:smartTag>
      </w:smartTag>
      <w:r>
        <w:t xml:space="preserve"> shall request separate Digital Certificates for each. Multiple Digital Certificates may be installed and managed on a single computer.  ERCOT shall include instructions on how to manage multiple Digital Certificates in</w:t>
      </w:r>
      <w:r w:rsidR="00B96953">
        <w:t xml:space="preserve"> the Digital Certificate user guide.</w:t>
      </w:r>
    </w:p>
    <w:p w14:paraId="7DE54617" w14:textId="77777777" w:rsidR="00B96953" w:rsidRDefault="00727E32">
      <w:pPr>
        <w:pStyle w:val="List"/>
      </w:pPr>
      <w:r>
        <w:t>(b)</w:t>
      </w:r>
      <w:r>
        <w:tab/>
      </w:r>
      <w:r w:rsidR="00B96953">
        <w:t>A Digital Certificate may not be traded or sold.</w:t>
      </w:r>
    </w:p>
    <w:p w14:paraId="5FBEE859" w14:textId="77777777" w:rsidR="00FC1C5F" w:rsidRDefault="00B96953">
      <w:pPr>
        <w:pStyle w:val="List"/>
      </w:pPr>
      <w:r>
        <w:t>(c)</w:t>
      </w:r>
      <w:r>
        <w:tab/>
      </w:r>
      <w:r w:rsidR="00727E32">
        <w:t>Electronic equipment on which the Digital Certificate resides must be physically and electronically secured in a reasonable manner to prevent improper use of the Digital Certificate.</w:t>
      </w:r>
    </w:p>
    <w:p w14:paraId="39E4923F" w14:textId="77777777" w:rsidR="00FC1C5F" w:rsidRDefault="00727E32">
      <w:pPr>
        <w:pStyle w:val="List"/>
      </w:pPr>
      <w:r>
        <w:t>(</w:t>
      </w:r>
      <w:r w:rsidR="00B96953">
        <w:t>d</w:t>
      </w:r>
      <w:r>
        <w:t>)</w:t>
      </w:r>
      <w:r>
        <w:tab/>
        <w:t>The Market Participant is wholly responsible for any use of Digital Certificates issued by its USA.</w:t>
      </w:r>
    </w:p>
    <w:p w14:paraId="10CB54A7" w14:textId="77777777" w:rsidR="00FC1C5F" w:rsidRDefault="00727E32">
      <w:pPr>
        <w:pStyle w:val="H3"/>
      </w:pPr>
      <w:bookmarkStart w:id="707" w:name="_Toc390438997"/>
      <w:bookmarkStart w:id="708" w:name="_Toc405897708"/>
      <w:bookmarkStart w:id="709" w:name="_Toc415055800"/>
      <w:bookmarkStart w:id="710" w:name="_Toc415055926"/>
      <w:bookmarkStart w:id="711" w:name="_Toc415056025"/>
      <w:bookmarkStart w:id="712" w:name="_Toc415056125"/>
      <w:bookmarkStart w:id="713" w:name="_Toc148960906"/>
      <w:r>
        <w:t>16.12.3</w:t>
      </w:r>
      <w:r>
        <w:tab/>
        <w:t>Market Participant Audits of User Security Administrators and Digital Certificates</w:t>
      </w:r>
      <w:bookmarkEnd w:id="707"/>
      <w:bookmarkEnd w:id="708"/>
      <w:bookmarkEnd w:id="709"/>
      <w:bookmarkEnd w:id="710"/>
      <w:bookmarkEnd w:id="711"/>
      <w:bookmarkEnd w:id="712"/>
      <w:bookmarkEnd w:id="713"/>
    </w:p>
    <w:p w14:paraId="637B555F" w14:textId="77777777" w:rsidR="00462B48" w:rsidRDefault="00462B48" w:rsidP="00462B48">
      <w:pPr>
        <w:pStyle w:val="BodyText"/>
        <w:ind w:left="720" w:hanging="720"/>
      </w:pPr>
      <w:r>
        <w:t>(1)</w:t>
      </w:r>
      <w:r>
        <w:tab/>
        <w:t>During September of each year, each Market Participant that has been issued any Digital Certificates shall generate a list of its registered USA and Certificate Holders.  The Market Participant, through its USA or another authorized third party, shall perform an audit by reviewing the list and noting any inconsistencies or instances of non-compliance (including, for example, any Certificate Holder that may have changed job functions and no longer requires the Digital Certificate).  If the Market Participant or its USA or the authorized third party identifies discrepancies, the USA shall use the process for managing Digital Certificates as included in ERCOT’s Digital Certificate user guide to rectify the discrepancy. The audit must, at a minimum confirm that:</w:t>
      </w:r>
    </w:p>
    <w:p w14:paraId="0D86FB07" w14:textId="77777777" w:rsidR="00462B48" w:rsidRDefault="00462B48" w:rsidP="00462B48">
      <w:pPr>
        <w:pStyle w:val="List"/>
      </w:pPr>
      <w:r>
        <w:t>(a)</w:t>
      </w:r>
      <w:r>
        <w:tab/>
        <w:t xml:space="preserve">The Market Participant and each listed USA and Certificate Holder meet the applicable requirements of paragraph (1)(a) of </w:t>
      </w:r>
      <w:r w:rsidRPr="0085242C">
        <w:t>Section 16.12.1</w:t>
      </w:r>
      <w:r>
        <w:t>, USA Responsibilities and Qualifications for Digital Certificate Holders, and</w:t>
      </w:r>
      <w:r w:rsidRPr="00FD3C2B">
        <w:rPr>
          <w:szCs w:val="24"/>
        </w:rPr>
        <w:t xml:space="preserve"> </w:t>
      </w:r>
      <w:r>
        <w:rPr>
          <w:szCs w:val="24"/>
        </w:rPr>
        <w:t>are not subject to any of the conditions that would require revocation as described in paragraph (1)(b) of Section 16.12.1</w:t>
      </w:r>
      <w:r>
        <w:t xml:space="preserve">;  </w:t>
      </w:r>
    </w:p>
    <w:p w14:paraId="0E58E309" w14:textId="77777777" w:rsidR="00462B48" w:rsidRDefault="00462B48" w:rsidP="00462B48">
      <w:pPr>
        <w:pStyle w:val="List"/>
      </w:pPr>
      <w:r>
        <w:t>(b)</w:t>
      </w:r>
      <w:r>
        <w:tab/>
        <w:t xml:space="preserve">Each listed USA and Certificate Holder is currently employed by or is an authorized agent contracted with the Market Participant; </w:t>
      </w:r>
    </w:p>
    <w:p w14:paraId="030A792F" w14:textId="77777777" w:rsidR="00462B48" w:rsidRDefault="00462B48" w:rsidP="00462B48">
      <w:pPr>
        <w:pStyle w:val="List"/>
      </w:pPr>
      <w:r>
        <w:t>(c)</w:t>
      </w:r>
      <w:r>
        <w:tab/>
        <w:t xml:space="preserve">The Market Participant has verified that the listed USA is authorized to be the USA; </w:t>
      </w:r>
    </w:p>
    <w:p w14:paraId="43D7BA4B" w14:textId="77777777" w:rsidR="00462B48" w:rsidRDefault="00462B48" w:rsidP="00462B48">
      <w:pPr>
        <w:pStyle w:val="List"/>
      </w:pPr>
      <w:r>
        <w:lastRenderedPageBreak/>
        <w:t>(d)</w:t>
      </w:r>
      <w:r>
        <w:tab/>
        <w:t>Each Certificate Holder is authorized to retain and use the Digital Certificate; and</w:t>
      </w:r>
    </w:p>
    <w:p w14:paraId="4612AE42" w14:textId="77777777" w:rsidR="00462B48" w:rsidRDefault="00462B48" w:rsidP="00462B48">
      <w:pPr>
        <w:pStyle w:val="List"/>
      </w:pPr>
      <w:r>
        <w:t>(e)</w:t>
      </w:r>
      <w:r>
        <w:tab/>
        <w:t>Each listed Certificate Holder needs the Digital Certificate to perform his or her job functions.</w:t>
      </w:r>
    </w:p>
    <w:p w14:paraId="55B3F0BE" w14:textId="77777777" w:rsidR="00462B48" w:rsidRDefault="00462B48" w:rsidP="00462B48">
      <w:pPr>
        <w:pStyle w:val="ListIntroduction"/>
        <w:ind w:left="720" w:hanging="720"/>
      </w:pPr>
      <w:r>
        <w:t>(2)</w:t>
      </w:r>
      <w:r>
        <w:tab/>
        <w:t>By October 1 of each year, a Market Participant shall submit to ERCOT a DCAA</w:t>
      </w:r>
      <w:r w:rsidRPr="006D1846">
        <w:t xml:space="preserve"> </w:t>
      </w:r>
      <w:r>
        <w:t xml:space="preserve">(as provided for in </w:t>
      </w:r>
      <w:r w:rsidRPr="0085242C">
        <w:t>Section 23, Form L</w:t>
      </w:r>
      <w:r>
        <w:t>,</w:t>
      </w:r>
      <w:r w:rsidRPr="006D1846">
        <w:t xml:space="preserve"> </w:t>
      </w:r>
      <w:r>
        <w:t>Digital Certificate Audit Attestation</w:t>
      </w:r>
      <w:r w:rsidRPr="00F80DFA">
        <w:t>)</w:t>
      </w:r>
      <w:r>
        <w:t xml:space="preserve"> from </w:t>
      </w:r>
      <w:r>
        <w:rPr>
          <w:iCs w:val="0"/>
        </w:rPr>
        <w:t xml:space="preserve">an individual who: (a) is </w:t>
      </w:r>
      <w:r>
        <w:t xml:space="preserve">an officer, executive, or employee of the Market Participant or of an Affiliate of the Market Participant; and (b) has authority to bind the Market Participant.  The attestation shall certify that: </w:t>
      </w:r>
    </w:p>
    <w:p w14:paraId="73278FE6" w14:textId="77777777" w:rsidR="00462B48" w:rsidRDefault="00462B48" w:rsidP="00462B48">
      <w:pPr>
        <w:pStyle w:val="List"/>
      </w:pPr>
      <w:r>
        <w:t>(a)</w:t>
      </w:r>
      <w:r>
        <w:tab/>
        <w:t>The Market Participant has complied with the requirements of the audit;</w:t>
      </w:r>
    </w:p>
    <w:p w14:paraId="4FC85374" w14:textId="77777777" w:rsidR="00462B48" w:rsidRDefault="00462B48" w:rsidP="00462B48">
      <w:pPr>
        <w:pStyle w:val="List"/>
      </w:pPr>
      <w:r>
        <w:t>(b)</w:t>
      </w:r>
      <w:r>
        <w:tab/>
        <w:t xml:space="preserve">The Market Participant has verified that all assigned Digital Certificates belong to Certificate Holders authorized by the Market Participant’s USA.  If the Certificate Holders no longer meet the criteria in paragraph (1)(a) of </w:t>
      </w:r>
      <w:r w:rsidRPr="00ED741E">
        <w:t>Section 16.12.1</w:t>
      </w:r>
      <w:r>
        <w:t>, the USA shall inform ERCOT as described in paragraph (1)(b) of Section 16.12.1 and note the findings in the response; and</w:t>
      </w:r>
    </w:p>
    <w:p w14:paraId="53366E5E" w14:textId="77777777" w:rsidR="00462B48" w:rsidRDefault="00462B48" w:rsidP="00462B48">
      <w:pPr>
        <w:pStyle w:val="List"/>
      </w:pPr>
      <w:r>
        <w:t>(c)</w:t>
      </w:r>
      <w:r>
        <w:tab/>
        <w:t>The USA and all Certificate Holders have been qualified through a reasonable screening process and background review required by paragraph</w:t>
      </w:r>
      <w:r w:rsidR="00DC3589">
        <w:t>s</w:t>
      </w:r>
      <w:r>
        <w:t xml:space="preserve"> (1)(a)(i)-(v) of Section 16.12.1. </w:t>
      </w:r>
    </w:p>
    <w:p w14:paraId="6A34F532" w14:textId="77777777" w:rsidR="00FC1C5F" w:rsidRDefault="00727E32" w:rsidP="003E021A">
      <w:pPr>
        <w:pStyle w:val="List"/>
        <w:ind w:left="720"/>
      </w:pPr>
      <w:r>
        <w:t>(3)</w:t>
      </w:r>
      <w:r>
        <w:tab/>
        <w:t xml:space="preserve">If a Market Participant cannot comply with the October 1 deadline at the time this Section first applies to the Market Participant, the Market Participant shall request an extension of the deadline by providing ERCOT a written explanation of why it cannot meet the deadline.  The explanation must include a plan and timeline for compliance not to exceed six months from the original deadline. </w:t>
      </w:r>
      <w:r w:rsidR="004A65D8">
        <w:t xml:space="preserve"> </w:t>
      </w:r>
      <w:r>
        <w:t xml:space="preserve">ERCOT shall review that extension request and notify the Market Participant if the request is approved or denied.  ERCOT may approve no more than one extension request per Market Participant.  </w:t>
      </w:r>
    </w:p>
    <w:p w14:paraId="0CAF7255" w14:textId="77777777" w:rsidR="00FC1C5F" w:rsidRDefault="00727E32" w:rsidP="00355D7A">
      <w:pPr>
        <w:pStyle w:val="List"/>
        <w:ind w:left="720"/>
      </w:pPr>
      <w:r>
        <w:t>(4)</w:t>
      </w:r>
      <w:r>
        <w:tab/>
      </w:r>
      <w:r w:rsidR="00462B48" w:rsidRPr="00C92875">
        <w:t>By December 1 of each year, ERCOT shall acknowledge receipt of each DCAA audit received and indicate whether any required information is missing from the DCAA.</w:t>
      </w:r>
    </w:p>
    <w:p w14:paraId="41C1E153" w14:textId="77777777" w:rsidR="00FC1C5F" w:rsidRDefault="00727E32" w:rsidP="003E021A">
      <w:pPr>
        <w:pStyle w:val="BodyText"/>
        <w:spacing w:before="240"/>
        <w:rPr>
          <w:b/>
          <w:i/>
        </w:rPr>
      </w:pPr>
      <w:r>
        <w:rPr>
          <w:b/>
          <w:i/>
        </w:rPr>
        <w:t>16.12.4</w:t>
      </w:r>
      <w:r>
        <w:rPr>
          <w:b/>
          <w:i/>
        </w:rPr>
        <w:tab/>
        <w:t>ERCOT Audit - Consequences of Non-compliance</w:t>
      </w:r>
    </w:p>
    <w:p w14:paraId="45EDFAB4" w14:textId="77777777" w:rsidR="00462B48" w:rsidRDefault="00462B48" w:rsidP="00462B48">
      <w:pPr>
        <w:spacing w:after="240"/>
        <w:ind w:left="720" w:hanging="720"/>
      </w:pPr>
      <w:r>
        <w:t>(1)</w:t>
      </w:r>
      <w:r>
        <w:tab/>
        <w:t xml:space="preserve">ERCOT, or its designee, shall review the DCAA submitted under </w:t>
      </w:r>
      <w:r w:rsidRPr="0085242C">
        <w:t>Section 16.12.3</w:t>
      </w:r>
      <w:r>
        <w:t xml:space="preserve">, Market Participant Audits of User Security </w:t>
      </w:r>
      <w:r w:rsidR="00DC3589">
        <w:t>Administrators</w:t>
      </w:r>
      <w:r>
        <w:t xml:space="preserve"> and Digital Certificates, and may audit the Market Participant for compliance with the provisions of this </w:t>
      </w:r>
      <w:r w:rsidRPr="00ED741E">
        <w:t>Section 16.12</w:t>
      </w:r>
      <w:r>
        <w:t xml:space="preserve">, User Security Administrator and Digital Certificates. The Market Participant shall cooperate fully with ERCOT in such audits.  </w:t>
      </w:r>
    </w:p>
    <w:p w14:paraId="55B7A527" w14:textId="77777777" w:rsidR="00462B48" w:rsidRDefault="00462B48" w:rsidP="00462B48">
      <w:pPr>
        <w:spacing w:after="240"/>
        <w:ind w:left="720" w:hanging="720"/>
      </w:pPr>
      <w:r>
        <w:t>(2)</w:t>
      </w:r>
      <w:r>
        <w:tab/>
        <w:t xml:space="preserve">On or about December 15 of each year, ERCOT shall report to the Public Utility Commission of Texas (PUCT) all Market Participants failing to properly perform and/or submit complete DCAA(s) as described in Section 16.12.3 or non-compliance with Section 16.12.3.  </w:t>
      </w:r>
    </w:p>
    <w:p w14:paraId="0147BA3D" w14:textId="77777777" w:rsidR="00462B48" w:rsidRDefault="00462B48" w:rsidP="00462B48">
      <w:pPr>
        <w:spacing w:after="240"/>
        <w:ind w:left="720" w:hanging="720"/>
      </w:pPr>
      <w:r>
        <w:lastRenderedPageBreak/>
        <w:t>(3)</w:t>
      </w:r>
      <w:r>
        <w:tab/>
        <w:t>ERCOT, after providing notice to the Market Participant and PUCT Staff, may disqualify the Market Participant’s USA and/or revoke any or all Digital Certificates assigned to the Market Participant if:</w:t>
      </w:r>
    </w:p>
    <w:p w14:paraId="37C06D4F" w14:textId="77777777" w:rsidR="00462B48" w:rsidRDefault="00462B48" w:rsidP="00462B48">
      <w:pPr>
        <w:pStyle w:val="List"/>
      </w:pPr>
      <w:r>
        <w:t>(a)</w:t>
      </w:r>
      <w:r>
        <w:tab/>
        <w:t xml:space="preserve">The Market Participant does not properly and timely perform the audit; </w:t>
      </w:r>
    </w:p>
    <w:p w14:paraId="6C2E3D8C" w14:textId="77777777" w:rsidR="00462B48" w:rsidRDefault="00462B48" w:rsidP="00462B48">
      <w:pPr>
        <w:pStyle w:val="List"/>
      </w:pPr>
      <w:r>
        <w:t>(b)</w:t>
      </w:r>
      <w:r>
        <w:tab/>
        <w:t xml:space="preserve">ERCOT discovers non-compliance; or </w:t>
      </w:r>
    </w:p>
    <w:p w14:paraId="44FC24F6" w14:textId="77777777" w:rsidR="00462B48" w:rsidRDefault="00462B48" w:rsidP="00462B48">
      <w:pPr>
        <w:pStyle w:val="List"/>
      </w:pPr>
      <w:r>
        <w:t>(c)</w:t>
      </w:r>
      <w:r>
        <w:tab/>
        <w:t xml:space="preserve">The Market Participant does not timely request revocation of its Digital Certificates for unauthorized Certificate Holders. </w:t>
      </w:r>
    </w:p>
    <w:p w14:paraId="1822CA03" w14:textId="77777777" w:rsidR="00462B48" w:rsidRDefault="00462B48" w:rsidP="00462B48">
      <w:pPr>
        <w:pStyle w:val="ListIntroduction"/>
        <w:ind w:left="720" w:hanging="720"/>
      </w:pPr>
      <w:r>
        <w:t>(4)</w:t>
      </w:r>
      <w:r>
        <w:tab/>
        <w:t>ERCOT’s decision to disqualify a Market Participant’s USA or revoke a Market Participant’s Digital Certificates as described above is subject to the following:</w:t>
      </w:r>
    </w:p>
    <w:p w14:paraId="09AC8400" w14:textId="77777777" w:rsidR="00462B48" w:rsidRDefault="00462B48" w:rsidP="00462B48">
      <w:pPr>
        <w:pStyle w:val="List"/>
      </w:pPr>
      <w:r>
        <w:t xml:space="preserve">(a) </w:t>
      </w:r>
      <w:r>
        <w:tab/>
        <w:t>A Market Participant’s Digital Certificates may not be revoked unless the Market Participant is given a reasonable opportunity to work with ERCOT to resolve the reason for revocation;</w:t>
      </w:r>
    </w:p>
    <w:p w14:paraId="3A509C3D" w14:textId="77777777" w:rsidR="00462B48" w:rsidRDefault="00462B48" w:rsidP="00462B48">
      <w:pPr>
        <w:spacing w:after="240"/>
        <w:ind w:left="1440" w:hanging="720"/>
      </w:pPr>
      <w:r>
        <w:t xml:space="preserve">(b) </w:t>
      </w:r>
      <w:r>
        <w:tab/>
        <w:t>A Market Participant’s USA may not be disqualified unless it is given a reasonable opportunity to authorize a new USA and assign new Digital Certificates as necessary to prevent disruption of the Market Participant’s business; and</w:t>
      </w:r>
    </w:p>
    <w:p w14:paraId="41869864" w14:textId="77777777" w:rsidR="00462B48" w:rsidRDefault="00462B48" w:rsidP="00462B48">
      <w:pPr>
        <w:spacing w:after="240"/>
        <w:ind w:left="1440" w:hanging="720"/>
      </w:pPr>
      <w:r>
        <w:t xml:space="preserve">(c) </w:t>
      </w:r>
      <w:r>
        <w:tab/>
        <w:t>A Market Participant may dispute ERCOT’s decision to disqualify the Market Participant’s USA and/or revoke its Digital Certificates</w:t>
      </w:r>
      <w:r w:rsidRPr="00AA58F9">
        <w:t xml:space="preserve"> </w:t>
      </w:r>
      <w:r>
        <w:t>through the Alternative Dispute Resolution (</w:t>
      </w:r>
      <w:r w:rsidRPr="00A65B06">
        <w:t>ADR</w:t>
      </w:r>
      <w:r>
        <w:t xml:space="preserve">) Procedure in accordance with </w:t>
      </w:r>
      <w:r w:rsidRPr="0085242C">
        <w:t>Section 20</w:t>
      </w:r>
      <w:r>
        <w:t xml:space="preserve">, Alternative Dispute Resolution Procedure, and may appeal the result of the ADR process to the PUCT as provided in Section 20. </w:t>
      </w:r>
    </w:p>
    <w:p w14:paraId="63911210" w14:textId="77777777" w:rsidR="008B5EFD" w:rsidRPr="00C83EFD" w:rsidRDefault="008B5EFD" w:rsidP="003E021A">
      <w:pPr>
        <w:keepNext/>
        <w:tabs>
          <w:tab w:val="left" w:pos="900"/>
        </w:tabs>
        <w:spacing w:before="240" w:after="240"/>
        <w:ind w:left="900" w:hanging="900"/>
        <w:outlineLvl w:val="1"/>
        <w:rPr>
          <w:b/>
        </w:rPr>
      </w:pPr>
      <w:bookmarkStart w:id="714" w:name="_Toc390438998"/>
      <w:bookmarkStart w:id="715" w:name="_Toc405897709"/>
      <w:bookmarkStart w:id="716" w:name="_Toc415055801"/>
      <w:bookmarkStart w:id="717" w:name="_Toc415055927"/>
      <w:bookmarkStart w:id="718" w:name="_Toc415056026"/>
      <w:bookmarkStart w:id="719" w:name="_Toc415056126"/>
      <w:bookmarkStart w:id="720" w:name="_Toc148960907"/>
      <w:r w:rsidRPr="00C83EFD">
        <w:rPr>
          <w:b/>
        </w:rPr>
        <w:t>16.13</w:t>
      </w:r>
      <w:r w:rsidRPr="00C83EFD">
        <w:rPr>
          <w:b/>
        </w:rPr>
        <w:tab/>
        <w:t>Registration of Emergency Response Service Resources</w:t>
      </w:r>
      <w:bookmarkEnd w:id="714"/>
      <w:bookmarkEnd w:id="715"/>
      <w:bookmarkEnd w:id="716"/>
      <w:bookmarkEnd w:id="717"/>
      <w:bookmarkEnd w:id="718"/>
      <w:bookmarkEnd w:id="719"/>
      <w:bookmarkEnd w:id="720"/>
    </w:p>
    <w:p w14:paraId="4F6ED291" w14:textId="77777777" w:rsidR="00FC1C5F" w:rsidRDefault="00D20B3F" w:rsidP="003E09AF">
      <w:pPr>
        <w:pStyle w:val="BodyText"/>
        <w:ind w:left="720" w:hanging="720"/>
      </w:pPr>
      <w:r>
        <w:t>(1)</w:t>
      </w:r>
      <w:r>
        <w:tab/>
      </w:r>
      <w:r w:rsidR="008B5EFD" w:rsidRPr="008B5EFD">
        <w:t>An Emergency Response Service (ERS) Resource shall be deemed to have registered with ERCOT when its duly authorized Qualified Scheduling Entity (QSE) submits an offer on behalf of the Resource in accordance with Section 3.14.3.1, Emergency Response Service Procurement.</w:t>
      </w:r>
    </w:p>
    <w:p w14:paraId="6990EDF3" w14:textId="77777777" w:rsidR="008C0A8E" w:rsidRDefault="002B3DDF" w:rsidP="008B5EFD">
      <w:pPr>
        <w:pStyle w:val="H2"/>
        <w:ind w:left="907" w:hanging="907"/>
      </w:pPr>
      <w:bookmarkStart w:id="721" w:name="_Toc390438999"/>
      <w:bookmarkStart w:id="722" w:name="_Toc405897710"/>
      <w:bookmarkStart w:id="723" w:name="_Toc415055802"/>
      <w:bookmarkStart w:id="724" w:name="_Toc415055928"/>
      <w:bookmarkStart w:id="725" w:name="_Toc415056027"/>
      <w:bookmarkStart w:id="726" w:name="_Toc415056127"/>
      <w:bookmarkStart w:id="727" w:name="_Toc148960908"/>
      <w:r>
        <w:t>16.14</w:t>
      </w:r>
      <w:r>
        <w:tab/>
        <w:t>Termination of Access Privileges to Restricted Computer Systems and Control Systems</w:t>
      </w:r>
      <w:bookmarkEnd w:id="721"/>
      <w:bookmarkEnd w:id="722"/>
      <w:bookmarkEnd w:id="723"/>
      <w:bookmarkEnd w:id="724"/>
      <w:bookmarkEnd w:id="725"/>
      <w:bookmarkEnd w:id="726"/>
      <w:bookmarkEnd w:id="727"/>
    </w:p>
    <w:p w14:paraId="780564FB" w14:textId="77777777" w:rsidR="00D629DE" w:rsidRDefault="002B3DDF">
      <w:pPr>
        <w:pStyle w:val="List"/>
        <w:ind w:left="720"/>
      </w:pPr>
      <w:r>
        <w:t>(1)</w:t>
      </w:r>
      <w:r>
        <w:tab/>
      </w:r>
      <w:r w:rsidRPr="006C61CC">
        <w:t xml:space="preserve">All </w:t>
      </w:r>
      <w:r>
        <w:t>M</w:t>
      </w:r>
      <w:r w:rsidRPr="006C61CC">
        <w:t>arket</w:t>
      </w:r>
      <w:r>
        <w:t xml:space="preserve"> Participants and ERCOT </w:t>
      </w:r>
      <w:r w:rsidRPr="006C61CC">
        <w:t xml:space="preserve">are required to have processes in place to </w:t>
      </w:r>
      <w:r>
        <w:t>terminate a</w:t>
      </w:r>
      <w:r w:rsidRPr="006C61CC">
        <w:t>ccess</w:t>
      </w:r>
      <w:r>
        <w:t xml:space="preserve"> privileges, as soon as practicable, </w:t>
      </w:r>
      <w:r w:rsidRPr="006C61CC">
        <w:t xml:space="preserve">to </w:t>
      </w:r>
      <w:r>
        <w:t>R</w:t>
      </w:r>
      <w:r w:rsidRPr="006C61CC">
        <w:t xml:space="preserve">estricted </w:t>
      </w:r>
      <w:r>
        <w:t>S</w:t>
      </w:r>
      <w:r w:rsidRPr="006C61CC">
        <w:t xml:space="preserve">ystems </w:t>
      </w:r>
      <w:r>
        <w:t>for</w:t>
      </w:r>
      <w:r w:rsidRPr="006C61CC">
        <w:t xml:space="preserve"> any employee</w:t>
      </w:r>
      <w:r>
        <w:t>, consultant, or contractor, upon t</w:t>
      </w:r>
      <w:r w:rsidRPr="006C61CC">
        <w:t>ermination</w:t>
      </w:r>
      <w:r>
        <w:t xml:space="preserve"> of employment or where access is no longer required. </w:t>
      </w:r>
    </w:p>
    <w:p w14:paraId="01FFEBFF" w14:textId="77777777" w:rsidR="00D629DE" w:rsidRDefault="002B3DDF">
      <w:pPr>
        <w:pStyle w:val="List"/>
        <w:ind w:left="720"/>
      </w:pPr>
      <w:r>
        <w:t>(2)</w:t>
      </w:r>
      <w:r>
        <w:tab/>
        <w:t>“</w:t>
      </w:r>
      <w:r w:rsidRPr="006C61CC">
        <w:t xml:space="preserve">Restricted </w:t>
      </w:r>
      <w:r>
        <w:t>S</w:t>
      </w:r>
      <w:r w:rsidRPr="006C61CC">
        <w:t>ystems</w:t>
      </w:r>
      <w:r>
        <w:t>”</w:t>
      </w:r>
      <w:r w:rsidRPr="006C61CC">
        <w:t xml:space="preserve"> </w:t>
      </w:r>
      <w:r w:rsidRPr="004F4418">
        <w:t xml:space="preserve">include </w:t>
      </w:r>
      <w:r w:rsidRPr="006C61CC">
        <w:t>computer or control systems that</w:t>
      </w:r>
      <w:r>
        <w:t xml:space="preserve"> are essential to the operation of Restricted Facilities.</w:t>
      </w:r>
      <w:r w:rsidRPr="004E6F7D">
        <w:t xml:space="preserve"> </w:t>
      </w:r>
      <w:r>
        <w:t xml:space="preserve"> </w:t>
      </w:r>
    </w:p>
    <w:p w14:paraId="520D3E06" w14:textId="77777777" w:rsidR="00D629DE" w:rsidRDefault="002B3DDF">
      <w:pPr>
        <w:pStyle w:val="List"/>
        <w:ind w:left="720"/>
      </w:pPr>
      <w:r>
        <w:lastRenderedPageBreak/>
        <w:t>(3)</w:t>
      </w:r>
      <w:r>
        <w:tab/>
        <w:t>“</w:t>
      </w:r>
      <w:r w:rsidRPr="006C61CC">
        <w:t xml:space="preserve">Restricted </w:t>
      </w:r>
      <w:r>
        <w:t>F</w:t>
      </w:r>
      <w:r w:rsidRPr="006C61CC">
        <w:t>acilities</w:t>
      </w:r>
      <w:r>
        <w:t>”</w:t>
      </w:r>
      <w:r w:rsidRPr="006C61CC">
        <w:t xml:space="preserve"> include </w:t>
      </w:r>
      <w:r>
        <w:t>F</w:t>
      </w:r>
      <w:r w:rsidRPr="006C61CC">
        <w:t>acilities and assets that support the reliable operation of the</w:t>
      </w:r>
      <w:r>
        <w:t xml:space="preserve"> bulk</w:t>
      </w:r>
      <w:r w:rsidRPr="006C61CC">
        <w:t xml:space="preserve"> ERCOT </w:t>
      </w:r>
      <w:r>
        <w:t>System (100 kV and above)</w:t>
      </w:r>
      <w:r w:rsidRPr="006C61CC">
        <w:t>,</w:t>
      </w:r>
      <w:r>
        <w:t xml:space="preserve"> such as </w:t>
      </w:r>
      <w:r w:rsidRPr="006C61CC">
        <w:t>but</w:t>
      </w:r>
      <w:r>
        <w:t xml:space="preserve"> </w:t>
      </w:r>
      <w:r w:rsidRPr="006C61CC">
        <w:t>not limited to</w:t>
      </w:r>
      <w:r>
        <w:t>:</w:t>
      </w:r>
    </w:p>
    <w:p w14:paraId="61114259" w14:textId="77777777" w:rsidR="00D629DE" w:rsidRDefault="002B3DDF">
      <w:pPr>
        <w:pStyle w:val="List2"/>
        <w:tabs>
          <w:tab w:val="num" w:pos="1620"/>
        </w:tabs>
        <w:ind w:left="1440"/>
      </w:pPr>
      <w:r>
        <w:t>(a)</w:t>
      </w:r>
      <w:r>
        <w:tab/>
        <w:t>G</w:t>
      </w:r>
      <w:r w:rsidRPr="006C61CC">
        <w:t xml:space="preserve">eneration </w:t>
      </w:r>
      <w:r>
        <w:t>R</w:t>
      </w:r>
      <w:r w:rsidRPr="006C61CC">
        <w:t xml:space="preserve">esources; </w:t>
      </w:r>
    </w:p>
    <w:p w14:paraId="6E2B3CD3" w14:textId="77777777" w:rsidR="00D629DE" w:rsidRDefault="002B3DDF">
      <w:pPr>
        <w:pStyle w:val="List2"/>
        <w:tabs>
          <w:tab w:val="num" w:pos="1620"/>
        </w:tabs>
        <w:ind w:left="1440"/>
      </w:pPr>
      <w:r>
        <w:t>(b)</w:t>
      </w:r>
      <w:r>
        <w:tab/>
        <w:t>T</w:t>
      </w:r>
      <w:r w:rsidRPr="006C61CC">
        <w:t xml:space="preserve">ransmission substations; </w:t>
      </w:r>
    </w:p>
    <w:p w14:paraId="0BC96B75" w14:textId="77777777" w:rsidR="00D629DE" w:rsidRDefault="002B3DDF">
      <w:pPr>
        <w:pStyle w:val="List2"/>
        <w:tabs>
          <w:tab w:val="num" w:pos="1620"/>
        </w:tabs>
        <w:ind w:left="1440"/>
      </w:pPr>
      <w:r>
        <w:t>(c)</w:t>
      </w:r>
      <w:r>
        <w:tab/>
        <w:t>C</w:t>
      </w:r>
      <w:r w:rsidRPr="006C61CC">
        <w:t xml:space="preserve">ontrol/dispatch centers and backup control/dispatch </w:t>
      </w:r>
      <w:r>
        <w:t>centers related to items (a) and (b) above</w:t>
      </w:r>
      <w:r w:rsidRPr="006C61CC">
        <w:t xml:space="preserve">; </w:t>
      </w:r>
    </w:p>
    <w:p w14:paraId="492C2445" w14:textId="77777777" w:rsidR="00D629DE" w:rsidRDefault="002B3DDF">
      <w:pPr>
        <w:pStyle w:val="List2"/>
        <w:tabs>
          <w:tab w:val="num" w:pos="1620"/>
        </w:tabs>
        <w:ind w:left="1440"/>
      </w:pPr>
      <w:r>
        <w:t>(d)</w:t>
      </w:r>
      <w:r>
        <w:tab/>
        <w:t>S</w:t>
      </w:r>
      <w:r w:rsidRPr="006C61CC">
        <w:t xml:space="preserve">ystems and </w:t>
      </w:r>
      <w:r>
        <w:t>F</w:t>
      </w:r>
      <w:r w:rsidRPr="006C61CC">
        <w:t xml:space="preserve">acilities critical to system restoration (including but not limited to </w:t>
      </w:r>
      <w:r>
        <w:t>B</w:t>
      </w:r>
      <w:r w:rsidRPr="006C61CC">
        <w:t>lack</w:t>
      </w:r>
      <w:r>
        <w:t xml:space="preserve"> S</w:t>
      </w:r>
      <w:r w:rsidRPr="006C61CC">
        <w:t xml:space="preserve">tart generators and substations); </w:t>
      </w:r>
      <w:r>
        <w:t>and</w:t>
      </w:r>
    </w:p>
    <w:p w14:paraId="3D7850D2" w14:textId="77777777" w:rsidR="00DB7FFB" w:rsidRDefault="002B3DDF">
      <w:pPr>
        <w:pStyle w:val="List"/>
      </w:pPr>
      <w:r>
        <w:t>(e)</w:t>
      </w:r>
      <w:r>
        <w:tab/>
        <w:t>S</w:t>
      </w:r>
      <w:r w:rsidRPr="006C61CC">
        <w:t xml:space="preserve">ystems and </w:t>
      </w:r>
      <w:r>
        <w:t>F</w:t>
      </w:r>
      <w:r w:rsidRPr="006C61CC">
        <w:t xml:space="preserve">acilities critical to automatic </w:t>
      </w:r>
      <w:r>
        <w:t xml:space="preserve">firm </w:t>
      </w:r>
      <w:r w:rsidRPr="006C61CC">
        <w:t>load shedding</w:t>
      </w:r>
      <w:r>
        <w:t>.</w:t>
      </w:r>
    </w:p>
    <w:p w14:paraId="4BC15564" w14:textId="77777777" w:rsidR="00D629DE" w:rsidRDefault="002B3DDF">
      <w:pPr>
        <w:pStyle w:val="List"/>
        <w:ind w:left="720"/>
      </w:pPr>
      <w:r>
        <w:t>(4)</w:t>
      </w:r>
      <w:r>
        <w:tab/>
        <w:t>Access privilege is defined to include computer and</w:t>
      </w:r>
      <w:r w:rsidRPr="00DE251E">
        <w:t xml:space="preserve"> electronic access.</w:t>
      </w:r>
    </w:p>
    <w:p w14:paraId="52F5B3A5" w14:textId="77777777" w:rsidR="00D629DE" w:rsidRDefault="002B3DDF">
      <w:pPr>
        <w:pStyle w:val="List"/>
        <w:ind w:left="720"/>
      </w:pPr>
      <w:r>
        <w:t>(5)</w:t>
      </w:r>
      <w:r>
        <w:tab/>
        <w:t>Each</w:t>
      </w:r>
      <w:r w:rsidRPr="00DE251E">
        <w:t xml:space="preserve"> Market </w:t>
      </w:r>
      <w:r>
        <w:t>Participant and ERCOT</w:t>
      </w:r>
      <w:r w:rsidRPr="00DE251E">
        <w:t xml:space="preserve"> </w:t>
      </w:r>
      <w:r>
        <w:t>shall have internal controls in place to ensure these processes are reviewed at least on an annual basis.</w:t>
      </w:r>
    </w:p>
    <w:p w14:paraId="36F9A45F" w14:textId="77777777" w:rsidR="00D629DE" w:rsidRDefault="002B3DDF">
      <w:pPr>
        <w:pStyle w:val="List"/>
        <w:ind w:left="720"/>
      </w:pPr>
      <w:r>
        <w:t>(6)</w:t>
      </w:r>
      <w:r>
        <w:tab/>
      </w:r>
      <w:r w:rsidRPr="00797F52">
        <w:t xml:space="preserve">Each Market </w:t>
      </w:r>
      <w:r>
        <w:t xml:space="preserve">Participant and ERCOT are required to notify the compliance monitoring authority within two Business Days after the discovery </w:t>
      </w:r>
      <w:r w:rsidRPr="00797F52">
        <w:t>of any incident where a terminated employee, contractor or</w:t>
      </w:r>
      <w:r>
        <w:t xml:space="preserve"> employee of a contractor</w:t>
      </w:r>
      <w:r w:rsidRPr="00797F52">
        <w:t xml:space="preserve"> has accessed a </w:t>
      </w:r>
      <w:r>
        <w:t>R</w:t>
      </w:r>
      <w:r w:rsidRPr="00797F52">
        <w:t xml:space="preserve">estricted </w:t>
      </w:r>
      <w:r>
        <w:t>S</w:t>
      </w:r>
      <w:r w:rsidRPr="00797F52">
        <w:t xml:space="preserve">ystem </w:t>
      </w:r>
      <w:r>
        <w:t>when access privileges have been or should have been revoked.</w:t>
      </w:r>
    </w:p>
    <w:p w14:paraId="2223ABC7" w14:textId="77777777" w:rsidR="00D629DE" w:rsidRDefault="002B3DDF">
      <w:pPr>
        <w:pStyle w:val="List"/>
        <w:ind w:left="720"/>
      </w:pPr>
      <w:r>
        <w:t>(7)</w:t>
      </w:r>
      <w:r>
        <w:tab/>
        <w:t>Failure by a Market Participant or ERCOT to follow its processes that results in a</w:t>
      </w:r>
      <w:r w:rsidRPr="00797F52">
        <w:t xml:space="preserve">ccess to any </w:t>
      </w:r>
      <w:r>
        <w:t>Restricted Systems</w:t>
      </w:r>
      <w:r w:rsidRPr="00797F52">
        <w:t xml:space="preserve"> by any</w:t>
      </w:r>
      <w:r w:rsidRPr="006C61CC">
        <w:t xml:space="preserve"> </w:t>
      </w:r>
      <w:r w:rsidRPr="00797F52">
        <w:t xml:space="preserve">employee, consultant, contractor or affiliate after his or her termination will be considered a violation of </w:t>
      </w:r>
      <w:r>
        <w:t>these</w:t>
      </w:r>
      <w:r w:rsidRPr="00797F52">
        <w:t xml:space="preserve"> </w:t>
      </w:r>
      <w:r>
        <w:t>P</w:t>
      </w:r>
      <w:r w:rsidRPr="00797F52">
        <w:t>rotocol</w:t>
      </w:r>
      <w:r>
        <w:t>s.</w:t>
      </w:r>
    </w:p>
    <w:p w14:paraId="4D81ADE9" w14:textId="77777777" w:rsidR="00C2117B" w:rsidRPr="002631D7" w:rsidRDefault="00C2117B" w:rsidP="00C2117B">
      <w:pPr>
        <w:pStyle w:val="H2"/>
        <w:rPr>
          <w:lang w:val="en-US" w:eastAsia="en-US"/>
        </w:rPr>
      </w:pPr>
      <w:bookmarkStart w:id="728" w:name="_Toc390439000"/>
      <w:bookmarkStart w:id="729" w:name="_Toc405897711"/>
      <w:bookmarkStart w:id="730" w:name="_Toc415055803"/>
      <w:bookmarkStart w:id="731" w:name="_Toc415055929"/>
      <w:bookmarkStart w:id="732" w:name="_Toc415056028"/>
      <w:bookmarkStart w:id="733" w:name="_Toc415056128"/>
      <w:bookmarkStart w:id="734" w:name="_Toc148960909"/>
      <w:r w:rsidRPr="002631D7">
        <w:rPr>
          <w:lang w:val="en-US" w:eastAsia="en-US"/>
        </w:rPr>
        <w:t>16.15</w:t>
      </w:r>
      <w:r w:rsidRPr="002631D7">
        <w:rPr>
          <w:lang w:val="en-US" w:eastAsia="en-US"/>
        </w:rPr>
        <w:tab/>
        <w:t>Registration of Independent Market Information System Registered Entity</w:t>
      </w:r>
      <w:bookmarkEnd w:id="728"/>
      <w:bookmarkEnd w:id="729"/>
      <w:bookmarkEnd w:id="730"/>
      <w:bookmarkEnd w:id="731"/>
      <w:bookmarkEnd w:id="732"/>
      <w:bookmarkEnd w:id="733"/>
      <w:bookmarkEnd w:id="734"/>
    </w:p>
    <w:p w14:paraId="02F99B77" w14:textId="77777777" w:rsidR="00C2117B" w:rsidRDefault="00C2117B" w:rsidP="00D56FC4">
      <w:pPr>
        <w:pStyle w:val="List"/>
        <w:ind w:left="720"/>
      </w:pPr>
      <w:r>
        <w:t>(1)</w:t>
      </w:r>
      <w:r>
        <w:tab/>
        <w:t>Each Entity intending to qualify to access ERCOT’s Market Information System (MIS) Secure Area, independent of any other Market Participant role, shall register with ERCOT, including any applicable fees, designating Authorized Representatives, contacts, and a User Security Administrator (USA) (per the Application for Registration as an Independent Market Information System Registered Entity (IMRE)), and execute a Standard Form Market Participant Agreement (as provided in Section 22, Attachment A, Standard Form Market Participant Agreement) prior to receiving a USA Digital Certificate for setting access to ERCOT’s MIS Secure Area.</w:t>
      </w:r>
    </w:p>
    <w:p w14:paraId="67D3BC1D" w14:textId="4D352B97" w:rsidR="00B22CBC" w:rsidRDefault="00B22CBC" w:rsidP="00B22CBC">
      <w:pPr>
        <w:spacing w:after="240"/>
        <w:ind w:left="720" w:hanging="720"/>
      </w:pPr>
      <w:r w:rsidRPr="003A2715">
        <w:t>(2)</w:t>
      </w:r>
      <w:r w:rsidRPr="003A2715">
        <w:tab/>
      </w:r>
      <w:r>
        <w:t>An Entity must have a genuine professional or business purpose for obtaining access to the MIS Secure Area to</w:t>
      </w:r>
      <w:r w:rsidRPr="009717E8">
        <w:t xml:space="preserve"> </w:t>
      </w:r>
      <w:r>
        <w:t>qualify for registration as an IMRE.  ERCOT may determine, in its sole discretion, whether the Entity’s purpose qualifies for registration.</w:t>
      </w:r>
    </w:p>
    <w:p w14:paraId="3CCDD336" w14:textId="6D357BF0" w:rsidR="00C2117B" w:rsidRDefault="00C2117B" w:rsidP="00C2117B">
      <w:pPr>
        <w:pStyle w:val="List"/>
        <w:ind w:left="720"/>
      </w:pPr>
      <w:r>
        <w:t>(</w:t>
      </w:r>
      <w:r w:rsidR="00B22CBC">
        <w:t>3</w:t>
      </w:r>
      <w:r>
        <w:t>)</w:t>
      </w:r>
      <w:r>
        <w:tab/>
        <w:t>Continued status as an IMRE is contingent upon compliance with all applicable requirements in these Protocols.  ERCOT may suspend a</w:t>
      </w:r>
      <w:r w:rsidRPr="00205BF3">
        <w:t>n</w:t>
      </w:r>
      <w:r>
        <w:t xml:space="preserve"> IMRE</w:t>
      </w:r>
      <w:r w:rsidRPr="00205BF3">
        <w:t>’s</w:t>
      </w:r>
      <w:r>
        <w:t xml:space="preserve"> rights as a Market </w:t>
      </w:r>
      <w:r>
        <w:lastRenderedPageBreak/>
        <w:t>Participant when ERCOT reasonably determines that it is an appropriate remedy for the Entity’s failure to satisfy any applicable requirement.</w:t>
      </w:r>
    </w:p>
    <w:p w14:paraId="3F2C9430" w14:textId="77777777" w:rsidR="00770ABB" w:rsidRPr="002631D7" w:rsidRDefault="00770ABB" w:rsidP="00F80DFA">
      <w:pPr>
        <w:pStyle w:val="H2"/>
        <w:ind w:left="907" w:hanging="907"/>
        <w:rPr>
          <w:szCs w:val="24"/>
          <w:lang w:val="en-US" w:eastAsia="en-US"/>
        </w:rPr>
      </w:pPr>
      <w:bookmarkStart w:id="735" w:name="_Toc390439001"/>
      <w:bookmarkStart w:id="736" w:name="_Toc405897712"/>
      <w:bookmarkStart w:id="737" w:name="_Toc415055804"/>
      <w:bookmarkStart w:id="738" w:name="_Toc415055930"/>
      <w:bookmarkStart w:id="739" w:name="_Toc415056029"/>
      <w:bookmarkStart w:id="740" w:name="_Toc415056129"/>
      <w:bookmarkStart w:id="741" w:name="_Toc148960910"/>
      <w:r w:rsidRPr="002631D7">
        <w:rPr>
          <w:szCs w:val="24"/>
          <w:lang w:val="en-US" w:eastAsia="en-US"/>
        </w:rPr>
        <w:t>16.16</w:t>
      </w:r>
      <w:r w:rsidRPr="002631D7">
        <w:rPr>
          <w:szCs w:val="24"/>
          <w:lang w:val="en-US" w:eastAsia="en-US"/>
        </w:rPr>
        <w:tab/>
        <w:t>Additional Counter-Party Qualification Requirements</w:t>
      </w:r>
      <w:bookmarkEnd w:id="735"/>
      <w:bookmarkEnd w:id="736"/>
      <w:bookmarkEnd w:id="737"/>
      <w:bookmarkEnd w:id="738"/>
      <w:bookmarkEnd w:id="739"/>
      <w:bookmarkEnd w:id="740"/>
      <w:bookmarkEnd w:id="741"/>
      <w:r w:rsidRPr="002631D7">
        <w:rPr>
          <w:szCs w:val="24"/>
          <w:lang w:val="en-US" w:eastAsia="en-US"/>
        </w:rPr>
        <w:t xml:space="preserve"> </w:t>
      </w:r>
    </w:p>
    <w:p w14:paraId="2C3DD08D" w14:textId="77777777" w:rsidR="00770ABB" w:rsidRDefault="00770ABB" w:rsidP="00770ABB">
      <w:pPr>
        <w:pStyle w:val="H3"/>
      </w:pPr>
      <w:bookmarkStart w:id="742" w:name="_Toc390439002"/>
      <w:bookmarkStart w:id="743" w:name="_Toc405897713"/>
      <w:bookmarkStart w:id="744" w:name="_Toc415055805"/>
      <w:bookmarkStart w:id="745" w:name="_Toc415055931"/>
      <w:bookmarkStart w:id="746" w:name="_Toc415056030"/>
      <w:bookmarkStart w:id="747" w:name="_Toc415056130"/>
      <w:bookmarkStart w:id="748" w:name="_Toc148960911"/>
      <w:r>
        <w:t>16.16.1</w:t>
      </w:r>
      <w:r>
        <w:tab/>
      </w:r>
      <w:r>
        <w:rPr>
          <w:szCs w:val="24"/>
        </w:rPr>
        <w:t>Counter-Party Criteria</w:t>
      </w:r>
      <w:bookmarkEnd w:id="742"/>
      <w:bookmarkEnd w:id="743"/>
      <w:bookmarkEnd w:id="744"/>
      <w:bookmarkEnd w:id="745"/>
      <w:bookmarkEnd w:id="746"/>
      <w:bookmarkEnd w:id="747"/>
      <w:bookmarkEnd w:id="748"/>
    </w:p>
    <w:p w14:paraId="5A768644" w14:textId="77777777" w:rsidR="00770ABB" w:rsidRDefault="00770ABB" w:rsidP="00770ABB">
      <w:pPr>
        <w:pStyle w:val="List"/>
        <w:ind w:left="720"/>
      </w:pPr>
      <w:r w:rsidRPr="002C3290">
        <w:t>(1)</w:t>
      </w:r>
      <w:r w:rsidRPr="002C3290">
        <w:tab/>
        <w:t xml:space="preserve">In order to participate in the ERCOT Real-Time, Day-Ahead and Congestion Revenue Right (CRR) markets, in addition to satisfying any other eligibility requirements set forth in the ERCOT Protocols, each Counter-Party must satisfy, and at all times remain in compliance with, the following requirements: </w:t>
      </w:r>
    </w:p>
    <w:p w14:paraId="1009BEC4" w14:textId="77777777" w:rsidR="00770ABB" w:rsidRPr="000F17D7" w:rsidRDefault="00770ABB" w:rsidP="000F17D7">
      <w:pPr>
        <w:pStyle w:val="List"/>
      </w:pPr>
      <w:r w:rsidRPr="000F17D7">
        <w:t>(a)</w:t>
      </w:r>
      <w:r w:rsidRPr="000F17D7">
        <w:tab/>
      </w:r>
      <w:r w:rsidRPr="000F17D7">
        <w:rPr>
          <w:b/>
          <w:u w:val="single"/>
        </w:rPr>
        <w:t>Expertise in Markets</w:t>
      </w:r>
      <w:r w:rsidRPr="000F17D7">
        <w:t>.  All employees or agents transacting in ERCOT markets pursuant to the ERCOT Protocols have had appropriate training and/or experience and are qualified and authorized to transact on behalf of the Counter-Party.</w:t>
      </w:r>
    </w:p>
    <w:p w14:paraId="60E8136F" w14:textId="77777777" w:rsidR="00A71039" w:rsidRPr="000F17D7" w:rsidRDefault="00770ABB" w:rsidP="000F17D7">
      <w:pPr>
        <w:pStyle w:val="List"/>
      </w:pPr>
      <w:r w:rsidRPr="000F17D7">
        <w:t>(b)</w:t>
      </w:r>
      <w:r w:rsidRPr="000F17D7">
        <w:tab/>
      </w:r>
      <w:r w:rsidRPr="000F17D7">
        <w:rPr>
          <w:b/>
          <w:u w:val="single"/>
        </w:rPr>
        <w:t>Market Operational Capabilities</w:t>
      </w:r>
      <w:r w:rsidRPr="000F17D7">
        <w:t>.  Counter-Party has appropriate market operating procedures and technical abilities to promptly and effectively respond to all ERCOT market communications.</w:t>
      </w:r>
    </w:p>
    <w:p w14:paraId="423E65F0" w14:textId="77777777" w:rsidR="00A71039" w:rsidRDefault="00A71039" w:rsidP="000F17D7">
      <w:pPr>
        <w:pStyle w:val="List"/>
        <w:rPr>
          <w:szCs w:val="24"/>
        </w:rPr>
      </w:pPr>
      <w:r>
        <w:rPr>
          <w:szCs w:val="24"/>
        </w:rPr>
        <w:t>(c)</w:t>
      </w:r>
      <w:r>
        <w:rPr>
          <w:szCs w:val="24"/>
        </w:rPr>
        <w:tab/>
      </w:r>
      <w:r w:rsidRPr="000F17D7">
        <w:rPr>
          <w:b/>
          <w:u w:val="single"/>
        </w:rPr>
        <w:t>Allowable</w:t>
      </w:r>
      <w:r w:rsidRPr="000F17D7">
        <w:rPr>
          <w:b/>
          <w:szCs w:val="24"/>
          <w:u w:val="single"/>
        </w:rPr>
        <w:t xml:space="preserve"> Contract Participants</w:t>
      </w:r>
      <w:r w:rsidRPr="000F17D7">
        <w:rPr>
          <w:szCs w:val="24"/>
        </w:rPr>
        <w:t>.</w:t>
      </w:r>
      <w:r>
        <w:rPr>
          <w:szCs w:val="24"/>
        </w:rPr>
        <w:t xml:space="preserve">  Each Counter-Party must be one of the following: </w:t>
      </w:r>
    </w:p>
    <w:p w14:paraId="6ED96F24" w14:textId="78336607" w:rsidR="00A71039" w:rsidRPr="000F17D7" w:rsidRDefault="00A71039" w:rsidP="000F17D7">
      <w:pPr>
        <w:pStyle w:val="List"/>
        <w:ind w:left="2160"/>
      </w:pPr>
      <w:r>
        <w:rPr>
          <w:szCs w:val="24"/>
        </w:rPr>
        <w:t>(i</w:t>
      </w:r>
      <w:r w:rsidRPr="00AC31BC">
        <w:rPr>
          <w:szCs w:val="24"/>
        </w:rPr>
        <w:t>)</w:t>
      </w:r>
      <w:r>
        <w:rPr>
          <w:szCs w:val="24"/>
        </w:rPr>
        <w:tab/>
      </w:r>
      <w:r w:rsidRPr="000F17D7">
        <w:t xml:space="preserve">An “Appropriate Person” as defined in sections 4(c)(3)(A) through (J) of the Commodity Exchange Act (7 U.S.C. § 6(c)(3)(A)-(J)); </w:t>
      </w:r>
    </w:p>
    <w:p w14:paraId="2689B8CF" w14:textId="397B86F7" w:rsidR="00A71039" w:rsidRPr="000F17D7" w:rsidRDefault="00A71039" w:rsidP="000F17D7">
      <w:pPr>
        <w:pStyle w:val="List"/>
        <w:ind w:left="2160"/>
      </w:pPr>
      <w:r w:rsidRPr="000F17D7">
        <w:t>(ii)</w:t>
      </w:r>
      <w:r w:rsidRPr="000F17D7">
        <w:tab/>
        <w:t xml:space="preserve">An “Eligible Contract Participant,” as defined in section 1a(18)(A) of the Commodity Exchange Act (7 U.S.C. § 1a(18)(A)) and in Commodity Futures Trading Commission (CFTC) regulation 1.3(m) (17 C.F.R. § 1.3(m)); or </w:t>
      </w:r>
    </w:p>
    <w:p w14:paraId="0C839313" w14:textId="64938F7E" w:rsidR="00A71039" w:rsidRPr="000F17D7" w:rsidRDefault="00A71039" w:rsidP="000F17D7">
      <w:pPr>
        <w:pStyle w:val="List"/>
        <w:ind w:left="2160"/>
      </w:pPr>
      <w:r w:rsidRPr="000F17D7">
        <w:t>(iii)</w:t>
      </w:r>
      <w:r w:rsidRPr="000F17D7">
        <w:tab/>
        <w:t>A “person who actively participates in the generation, transmission, or distribution of electric energy,” as that term is defined in the CFTC’s final exemption order (78 Fed. Reg. 19,879).</w:t>
      </w:r>
    </w:p>
    <w:p w14:paraId="2EAE0A62" w14:textId="77777777" w:rsidR="00770ABB" w:rsidRPr="000F17D7" w:rsidRDefault="00A71039" w:rsidP="000F17D7">
      <w:pPr>
        <w:pStyle w:val="List"/>
      </w:pPr>
      <w:r w:rsidRPr="000F17D7">
        <w:tab/>
        <w:t>ERCOT may request necessary information to verify compliance with this requirement.</w:t>
      </w:r>
    </w:p>
    <w:p w14:paraId="6448828F" w14:textId="77777777" w:rsidR="00B55C27" w:rsidRPr="00723BC4" w:rsidRDefault="00B55C27" w:rsidP="00B55C27">
      <w:pPr>
        <w:spacing w:after="240"/>
        <w:ind w:left="1440" w:hanging="720"/>
      </w:pPr>
      <w:r w:rsidRPr="00723BC4">
        <w:t>(d)</w:t>
      </w:r>
      <w:r w:rsidRPr="00723BC4">
        <w:tab/>
      </w:r>
      <w:r w:rsidRPr="00723BC4">
        <w:rPr>
          <w:b/>
          <w:u w:val="single"/>
        </w:rPr>
        <w:t>Independent Amount</w:t>
      </w:r>
      <w:r w:rsidRPr="00723BC4">
        <w:t>.  Counter-Party shall provide an Independent Amount as follows:</w:t>
      </w:r>
    </w:p>
    <w:p w14:paraId="4CC59784" w14:textId="77777777" w:rsidR="00B55C27" w:rsidRPr="00723BC4" w:rsidRDefault="00B55C27" w:rsidP="00B55C27">
      <w:pPr>
        <w:spacing w:after="240"/>
        <w:ind w:left="2160" w:hanging="720"/>
      </w:pPr>
      <w:r w:rsidRPr="00723BC4">
        <w:t>(i)</w:t>
      </w:r>
      <w:r w:rsidRPr="00723BC4">
        <w:tab/>
        <w:t>For a Counter-Party seeking authorization to participate or participating in all ERCOT markets, $500,000 Independent Amount.</w:t>
      </w:r>
    </w:p>
    <w:p w14:paraId="53528E8D" w14:textId="77777777" w:rsidR="00B55C27" w:rsidRPr="00723BC4" w:rsidRDefault="00B55C27" w:rsidP="00B55C27">
      <w:pPr>
        <w:spacing w:after="240"/>
        <w:ind w:left="2160" w:hanging="720"/>
      </w:pPr>
      <w:r w:rsidRPr="00723BC4">
        <w:lastRenderedPageBreak/>
        <w:t>(ii)</w:t>
      </w:r>
      <w:r w:rsidRPr="00723BC4">
        <w:tab/>
        <w:t xml:space="preserve">For a Counter-Party seeking authorization to participate or participating in all ERCOT markets except for the CRR market, $200,000 Independent Amount.  </w:t>
      </w:r>
    </w:p>
    <w:p w14:paraId="21338AC5" w14:textId="77777777" w:rsidR="00B55C27" w:rsidRPr="00723BC4" w:rsidRDefault="00B55C27" w:rsidP="00B55C27">
      <w:pPr>
        <w:spacing w:after="240"/>
        <w:ind w:left="2160" w:hanging="720"/>
        <w:rPr>
          <w:i/>
          <w:iCs/>
        </w:rPr>
      </w:pPr>
      <w:r w:rsidRPr="00723BC4">
        <w:t>(iii)</w:t>
      </w:r>
      <w:r w:rsidRPr="00723BC4">
        <w:tab/>
        <w:t xml:space="preserve">For purposes of assessment of the Independent Amount, ERCOT will deem a Counter-Party that is or is applying to be a CRR Account Holder as having a desire to participate in all ERCOT markets. </w:t>
      </w:r>
    </w:p>
    <w:p w14:paraId="515F6F59" w14:textId="77777777" w:rsidR="00B55C27" w:rsidRPr="00723BC4" w:rsidRDefault="00B55C27" w:rsidP="00B55C27">
      <w:pPr>
        <w:spacing w:after="240"/>
        <w:ind w:left="2160" w:hanging="720"/>
        <w:rPr>
          <w:i/>
          <w:iCs/>
        </w:rPr>
      </w:pPr>
      <w:r w:rsidRPr="00723BC4">
        <w:t>(iv)</w:t>
      </w:r>
      <w:r w:rsidRPr="00723BC4">
        <w:tab/>
        <w:t xml:space="preserve">Financial Security posted pursuant to this section is fully available to ERCOT in the event of the Counter-Party’s Payment Breach.  </w:t>
      </w:r>
    </w:p>
    <w:p w14:paraId="553F839F" w14:textId="77777777" w:rsidR="00B55C27" w:rsidRPr="00723BC4" w:rsidRDefault="00B55C27" w:rsidP="00B55C27">
      <w:pPr>
        <w:spacing w:after="240"/>
        <w:ind w:left="2160" w:hanging="720"/>
        <w:rPr>
          <w:i/>
          <w:iCs/>
        </w:rPr>
      </w:pPr>
      <w:r w:rsidRPr="00723BC4">
        <w:t>(v)</w:t>
      </w:r>
      <w:r w:rsidRPr="00723BC4">
        <w:tab/>
        <w:t>ERCOT shall add the Independent Amount to that Counter-Party’s Total Potential Exposure Secured (TPES) pursuant to Section 16.11 and designate it as the Independent Amount.  ERCOT will require Financial Security for the Independent Amount in the same way as it does for other TPES elements.</w:t>
      </w:r>
      <w:r w:rsidRPr="00723BC4" w:rsidDel="00425237">
        <w:t xml:space="preserve"> </w:t>
      </w:r>
    </w:p>
    <w:p w14:paraId="61F901F0" w14:textId="1B575B0F" w:rsidR="00770ABB" w:rsidRDefault="00B55C27" w:rsidP="00D9080F">
      <w:pPr>
        <w:pStyle w:val="List"/>
        <w:ind w:left="2160"/>
        <w:rPr>
          <w:i/>
          <w:iCs/>
          <w:szCs w:val="24"/>
        </w:rPr>
      </w:pPr>
      <w:r w:rsidRPr="00723BC4">
        <w:t>(vi)</w:t>
      </w:r>
      <w:r w:rsidRPr="00723BC4">
        <w:tab/>
        <w:t>Any non-payment of the Independent Amount is considered a Payment Breach pursuant to Section 16.11.6, Payment Breach and Late Payments by Market Participants.  ERCOT may use any of the remedies provided in Section 16.11.6 to collect the Independent Amount for each Counter-Party</w:t>
      </w:r>
    </w:p>
    <w:p w14:paraId="28CC3F43" w14:textId="6E5AF107" w:rsidR="00770ABB" w:rsidRDefault="00770ABB" w:rsidP="00D9080F">
      <w:pPr>
        <w:pStyle w:val="ListParagraph"/>
        <w:spacing w:after="240" w:line="240" w:lineRule="auto"/>
        <w:ind w:left="1440" w:hanging="720"/>
        <w:rPr>
          <w:rFonts w:ascii="Times New Roman" w:hAnsi="Times New Roman"/>
          <w:i/>
          <w:iCs/>
          <w:sz w:val="24"/>
          <w:szCs w:val="24"/>
        </w:rPr>
      </w:pPr>
      <w:r w:rsidRPr="00893FB4">
        <w:rPr>
          <w:rFonts w:ascii="Times New Roman" w:hAnsi="Times New Roman"/>
          <w:sz w:val="24"/>
          <w:szCs w:val="24"/>
        </w:rPr>
        <w:t>(</w:t>
      </w:r>
      <w:r w:rsidR="00A71039">
        <w:rPr>
          <w:rFonts w:ascii="Times New Roman" w:hAnsi="Times New Roman"/>
          <w:sz w:val="24"/>
          <w:szCs w:val="24"/>
        </w:rPr>
        <w:t>e</w:t>
      </w:r>
      <w:r w:rsidRPr="00893FB4">
        <w:rPr>
          <w:rFonts w:ascii="Times New Roman" w:hAnsi="Times New Roman"/>
          <w:sz w:val="24"/>
          <w:szCs w:val="24"/>
        </w:rPr>
        <w:t>)</w:t>
      </w:r>
      <w:r w:rsidRPr="00893FB4">
        <w:rPr>
          <w:rFonts w:ascii="Times New Roman" w:hAnsi="Times New Roman"/>
          <w:sz w:val="24"/>
          <w:szCs w:val="24"/>
        </w:rPr>
        <w:tab/>
      </w:r>
      <w:r w:rsidRPr="00C92A67">
        <w:rPr>
          <w:rFonts w:ascii="Times New Roman" w:hAnsi="Times New Roman"/>
          <w:b/>
          <w:sz w:val="24"/>
          <w:szCs w:val="24"/>
          <w:u w:val="single"/>
        </w:rPr>
        <w:t>Risk Management Capabilities</w:t>
      </w:r>
      <w:r w:rsidRPr="00AC734B">
        <w:rPr>
          <w:rFonts w:ascii="Times New Roman" w:hAnsi="Times New Roman"/>
          <w:sz w:val="24"/>
          <w:szCs w:val="24"/>
        </w:rPr>
        <w:t>.</w:t>
      </w:r>
      <w:r w:rsidRPr="00893FB4">
        <w:rPr>
          <w:rFonts w:ascii="Times New Roman" w:hAnsi="Times New Roman"/>
          <w:sz w:val="24"/>
          <w:szCs w:val="24"/>
        </w:rPr>
        <w:t xml:space="preserve">  </w:t>
      </w:r>
      <w:r w:rsidRPr="00AC734B">
        <w:rPr>
          <w:rFonts w:ascii="Times New Roman" w:hAnsi="Times New Roman"/>
          <w:sz w:val="24"/>
          <w:szCs w:val="24"/>
        </w:rPr>
        <w:t xml:space="preserve">Each Counter-Party shall maintain appropriate, comprehensive risk management </w:t>
      </w:r>
      <w:r>
        <w:rPr>
          <w:rFonts w:ascii="Times New Roman" w:hAnsi="Times New Roman"/>
          <w:sz w:val="24"/>
          <w:szCs w:val="24"/>
        </w:rPr>
        <w:t>capabilities</w:t>
      </w:r>
      <w:r w:rsidRPr="00AC734B">
        <w:rPr>
          <w:rFonts w:ascii="Times New Roman" w:hAnsi="Times New Roman"/>
          <w:sz w:val="24"/>
          <w:szCs w:val="24"/>
        </w:rPr>
        <w:t xml:space="preserve"> with respect to the ERCOT markets in which the Counter-Party transacts or wishes to transact.  </w:t>
      </w:r>
      <w:r w:rsidRPr="00C924B3">
        <w:rPr>
          <w:rFonts w:ascii="Times New Roman" w:hAnsi="Times New Roman"/>
          <w:sz w:val="24"/>
          <w:szCs w:val="24"/>
        </w:rPr>
        <w:t xml:space="preserve">ERCOT may review documentation supporting </w:t>
      </w:r>
      <w:r>
        <w:rPr>
          <w:rFonts w:ascii="Times New Roman" w:hAnsi="Times New Roman"/>
          <w:sz w:val="24"/>
          <w:szCs w:val="24"/>
        </w:rPr>
        <w:t xml:space="preserve">a </w:t>
      </w:r>
      <w:r w:rsidRPr="00C924B3">
        <w:rPr>
          <w:rFonts w:ascii="Times New Roman" w:hAnsi="Times New Roman"/>
          <w:sz w:val="24"/>
          <w:szCs w:val="24"/>
        </w:rPr>
        <w:t xml:space="preserve">Counter-Party’s risk management </w:t>
      </w:r>
      <w:r>
        <w:rPr>
          <w:rFonts w:ascii="Times New Roman" w:hAnsi="Times New Roman"/>
          <w:sz w:val="24"/>
          <w:szCs w:val="24"/>
        </w:rPr>
        <w:t>framework</w:t>
      </w:r>
      <w:r w:rsidRPr="00C924B3">
        <w:rPr>
          <w:rFonts w:ascii="Times New Roman" w:hAnsi="Times New Roman"/>
          <w:sz w:val="24"/>
          <w:szCs w:val="24"/>
        </w:rPr>
        <w:t xml:space="preserve"> as part of its processes for verifying the implementation of a Counter-Party</w:t>
      </w:r>
      <w:r>
        <w:rPr>
          <w:rFonts w:ascii="Times New Roman" w:hAnsi="Times New Roman"/>
          <w:sz w:val="24"/>
          <w:szCs w:val="24"/>
        </w:rPr>
        <w:t>’s</w:t>
      </w:r>
      <w:r w:rsidRPr="00C924B3">
        <w:rPr>
          <w:rFonts w:ascii="Times New Roman" w:hAnsi="Times New Roman"/>
          <w:sz w:val="24"/>
          <w:szCs w:val="24"/>
        </w:rPr>
        <w:t xml:space="preserve"> risk management framework as described</w:t>
      </w:r>
      <w:r>
        <w:rPr>
          <w:rFonts w:ascii="Times New Roman" w:hAnsi="Times New Roman"/>
          <w:sz w:val="24"/>
          <w:szCs w:val="24"/>
        </w:rPr>
        <w:t xml:space="preserve"> in Section 16.16.3, Verification of Risk Management Framework.</w:t>
      </w:r>
      <w:r w:rsidRPr="00C924B3">
        <w:rPr>
          <w:rFonts w:ascii="Times New Roman" w:hAnsi="Times New Roman"/>
          <w:sz w:val="24"/>
          <w:szCs w:val="24"/>
        </w:rPr>
        <w:t xml:space="preserve">   </w:t>
      </w:r>
    </w:p>
    <w:p w14:paraId="3EA3B678" w14:textId="77777777" w:rsidR="00770ABB" w:rsidRDefault="00770ABB" w:rsidP="00F80DFA">
      <w:pPr>
        <w:pStyle w:val="H3"/>
      </w:pPr>
      <w:bookmarkStart w:id="749" w:name="_Toc390439003"/>
      <w:bookmarkStart w:id="750" w:name="_Toc405897714"/>
      <w:bookmarkStart w:id="751" w:name="_Toc415055806"/>
      <w:bookmarkStart w:id="752" w:name="_Toc415055932"/>
      <w:bookmarkStart w:id="753" w:name="_Toc415056031"/>
      <w:bookmarkStart w:id="754" w:name="_Toc415056131"/>
      <w:bookmarkStart w:id="755" w:name="_Toc148960912"/>
      <w:r>
        <w:t>16.16.2</w:t>
      </w:r>
      <w:r>
        <w:tab/>
        <w:t>Annual Certification</w:t>
      </w:r>
      <w:bookmarkEnd w:id="749"/>
      <w:bookmarkEnd w:id="750"/>
      <w:bookmarkEnd w:id="751"/>
      <w:bookmarkEnd w:id="752"/>
      <w:bookmarkEnd w:id="753"/>
      <w:bookmarkEnd w:id="754"/>
      <w:bookmarkEnd w:id="755"/>
      <w:r w:rsidRPr="00137DB4">
        <w:rPr>
          <w:szCs w:val="24"/>
        </w:rPr>
        <w:t xml:space="preserve">  </w:t>
      </w:r>
    </w:p>
    <w:p w14:paraId="299BFE39" w14:textId="77777777" w:rsidR="00770ABB" w:rsidRPr="002C3290" w:rsidRDefault="00770ABB" w:rsidP="00770ABB">
      <w:pPr>
        <w:pStyle w:val="List"/>
        <w:ind w:left="720"/>
      </w:pPr>
      <w:r w:rsidRPr="002C3290">
        <w:t>(1)</w:t>
      </w:r>
      <w:r w:rsidRPr="002C3290">
        <w:tab/>
        <w:t>Each Counter-Party must submit to ERCOT annually a notarized certificate, signed by an officer or executive with authority to bind the Counter-Party, in the form of Section 22, Attachment J, Annual Certification Form to Meet ERCOT Additional Minimum Participation Requirement</w:t>
      </w:r>
      <w:r>
        <w:t>s</w:t>
      </w:r>
      <w:r w:rsidRPr="002C3290">
        <w:t xml:space="preserve">, certifying that the Counter-Party is in compliance with each of the Counter-Party criteria and agrees to procedures for verification of its risk management framework as described in Section 16.16.3, Verification of Risk Management Framework.  </w:t>
      </w:r>
    </w:p>
    <w:p w14:paraId="6074A85F" w14:textId="4CD9B7CC" w:rsidR="00770ABB" w:rsidRPr="002C3290" w:rsidRDefault="00770ABB" w:rsidP="00770ABB">
      <w:pPr>
        <w:pStyle w:val="List"/>
        <w:ind w:left="720"/>
      </w:pPr>
      <w:r w:rsidRPr="002C3290">
        <w:t>(2)</w:t>
      </w:r>
      <w:r w:rsidRPr="002C3290">
        <w:tab/>
      </w:r>
      <w:r w:rsidR="00B55C27" w:rsidRPr="002C3290">
        <w:t xml:space="preserve">The certificate must be received by ERCOT no later than 120 days after the close of the fiscal year of the Counter-Party or its </w:t>
      </w:r>
      <w:r w:rsidR="00B55C27">
        <w:t>parent</w:t>
      </w:r>
      <w:r w:rsidR="00B55C27" w:rsidRPr="002C3290">
        <w:t>.  ERCOT may extend the period for providing the certificate on a case-by-case basis.</w:t>
      </w:r>
    </w:p>
    <w:p w14:paraId="766C3247" w14:textId="3228FE87" w:rsidR="00770ABB" w:rsidRPr="002C3290" w:rsidRDefault="00770ABB" w:rsidP="00D9080F">
      <w:pPr>
        <w:pStyle w:val="List"/>
        <w:ind w:left="720"/>
      </w:pPr>
      <w:r w:rsidRPr="002C3290">
        <w:t>(3)</w:t>
      </w:r>
      <w:r w:rsidRPr="002C3290">
        <w:tab/>
        <w:t>For new entry Counter-Parties, the certificate must be received by ERCOT prior to participation in any ERCOT markets.</w:t>
      </w:r>
    </w:p>
    <w:p w14:paraId="2FD1D1F8" w14:textId="77777777" w:rsidR="00770ABB" w:rsidRDefault="00770ABB" w:rsidP="00770ABB">
      <w:pPr>
        <w:pStyle w:val="List"/>
        <w:ind w:left="720"/>
      </w:pPr>
      <w:r>
        <w:lastRenderedPageBreak/>
        <w:t>(4)</w:t>
      </w:r>
      <w:r>
        <w:tab/>
      </w:r>
      <w:r w:rsidRPr="00137DB4">
        <w:t xml:space="preserve">A Counter-Party shall </w:t>
      </w:r>
      <w:r>
        <w:t xml:space="preserve">notify </w:t>
      </w:r>
      <w:r w:rsidRPr="00137DB4">
        <w:t xml:space="preserve">ERCOT within one </w:t>
      </w:r>
      <w:r>
        <w:t>d</w:t>
      </w:r>
      <w:r w:rsidRPr="00137DB4">
        <w:t xml:space="preserve">ay if it has experienced a material adverse change that would make its most recent </w:t>
      </w:r>
      <w:r>
        <w:t>a</w:t>
      </w:r>
      <w:r w:rsidRPr="00137DB4">
        <w:t xml:space="preserve">nnual </w:t>
      </w:r>
      <w:r>
        <w:t>c</w:t>
      </w:r>
      <w:r w:rsidRPr="00137DB4">
        <w:t>ertifica</w:t>
      </w:r>
      <w:r>
        <w:t>te</w:t>
      </w:r>
      <w:r w:rsidRPr="00137DB4">
        <w:t xml:space="preserve"> inaccurate. </w:t>
      </w:r>
    </w:p>
    <w:p w14:paraId="1F70DA75" w14:textId="77777777" w:rsidR="00770ABB" w:rsidRPr="00951B55" w:rsidRDefault="00770ABB" w:rsidP="00770ABB">
      <w:pPr>
        <w:pStyle w:val="H3"/>
        <w:rPr>
          <w:b w:val="0"/>
        </w:rPr>
      </w:pPr>
      <w:bookmarkStart w:id="756" w:name="_Toc390439004"/>
      <w:bookmarkStart w:id="757" w:name="_Toc405897715"/>
      <w:bookmarkStart w:id="758" w:name="_Toc415055807"/>
      <w:bookmarkStart w:id="759" w:name="_Toc415055933"/>
      <w:bookmarkStart w:id="760" w:name="_Toc415056032"/>
      <w:bookmarkStart w:id="761" w:name="_Toc415056132"/>
      <w:bookmarkStart w:id="762" w:name="_Toc148960913"/>
      <w:r>
        <w:t>16.16.3</w:t>
      </w:r>
      <w:r>
        <w:tab/>
      </w:r>
      <w:r w:rsidRPr="00945FF8">
        <w:rPr>
          <w:szCs w:val="24"/>
        </w:rPr>
        <w:t>Verification of Risk Management Framework</w:t>
      </w:r>
      <w:bookmarkEnd w:id="756"/>
      <w:bookmarkEnd w:id="757"/>
      <w:bookmarkEnd w:id="758"/>
      <w:bookmarkEnd w:id="759"/>
      <w:bookmarkEnd w:id="760"/>
      <w:bookmarkEnd w:id="761"/>
      <w:bookmarkEnd w:id="762"/>
      <w:r w:rsidRPr="00137DB4">
        <w:rPr>
          <w:szCs w:val="24"/>
        </w:rPr>
        <w:t xml:space="preserve"> </w:t>
      </w:r>
    </w:p>
    <w:p w14:paraId="4779794B" w14:textId="77777777" w:rsidR="00770ABB" w:rsidRPr="00951B55" w:rsidRDefault="00770ABB" w:rsidP="00770ABB">
      <w:pPr>
        <w:pStyle w:val="List"/>
        <w:ind w:left="720"/>
      </w:pPr>
      <w:r w:rsidRPr="002C3290">
        <w:t>(1)</w:t>
      </w:r>
      <w:r w:rsidRPr="002C3290">
        <w:tab/>
        <w:t xml:space="preserve">ERCOT will periodically perform or cause to be performed procedures to assess the risk management framework of Counter-Parties, including its implementation.  </w:t>
      </w:r>
    </w:p>
    <w:p w14:paraId="1A2F1454" w14:textId="77777777" w:rsidR="00770ABB" w:rsidRPr="002C3290" w:rsidRDefault="00770ABB" w:rsidP="00770ABB">
      <w:pPr>
        <w:pStyle w:val="List"/>
        <w:ind w:left="720"/>
      </w:pPr>
      <w:r w:rsidRPr="002C3290">
        <w:t>(2)</w:t>
      </w:r>
      <w:r w:rsidRPr="002C3290">
        <w:tab/>
        <w:t xml:space="preserve">ERCOT may retain a third party either to assess the sufficiency of the Counter-Party’s risk management framework or to provide guidance and advice as to what constitutes appropriate content with respect to generally accepted risk management practices in their respective markets, commensurate and proportional in sophistication, scope and frequency to the volume of transactions and the nature and extent of risk taken by the Counter-Party.  </w:t>
      </w:r>
    </w:p>
    <w:p w14:paraId="1B2BAB71" w14:textId="77777777" w:rsidR="00770ABB" w:rsidRPr="002C3290" w:rsidRDefault="00770ABB" w:rsidP="00770ABB">
      <w:pPr>
        <w:pStyle w:val="List"/>
        <w:ind w:left="720"/>
      </w:pPr>
      <w:r w:rsidRPr="002C3290">
        <w:t>(3)</w:t>
      </w:r>
      <w:r w:rsidRPr="002C3290">
        <w:tab/>
        <w:t>ERCOT shall, identify the nature and scope of generally accepted risk management practices in their respective markets by which Counter-Party risk management frameworks will be assessed.  Key elements will include:</w:t>
      </w:r>
    </w:p>
    <w:p w14:paraId="755CC81E" w14:textId="77777777" w:rsidR="00770ABB" w:rsidRPr="007A2A43" w:rsidRDefault="00770ABB" w:rsidP="00770ABB">
      <w:pPr>
        <w:pStyle w:val="List2"/>
        <w:tabs>
          <w:tab w:val="num" w:pos="1620"/>
        </w:tabs>
        <w:ind w:left="1440"/>
      </w:pPr>
      <w:r w:rsidRPr="007A2A43">
        <w:t>(a)</w:t>
      </w:r>
      <w:r>
        <w:tab/>
      </w:r>
      <w:r w:rsidRPr="007A2A43">
        <w:t>The risk management framework is documented in a risk policy addressing market and credit risks that has been approved by a Counter-Party’s risk management function which includes appropriate corporate persons or bodies that are independent of the Counter-Party’s trading functions, such as a risk management committee, a designated risk officer, participant Counter-Party’s board or board committee, or, if applicable, a board or committee of the Counter-Party’s parent company.</w:t>
      </w:r>
    </w:p>
    <w:p w14:paraId="03761E57" w14:textId="77777777" w:rsidR="00770ABB" w:rsidRPr="007A2A43" w:rsidRDefault="00770ABB" w:rsidP="00770ABB">
      <w:pPr>
        <w:pStyle w:val="List2"/>
        <w:tabs>
          <w:tab w:val="num" w:pos="1620"/>
        </w:tabs>
        <w:ind w:left="1440"/>
      </w:pPr>
      <w:r>
        <w:t>(b)</w:t>
      </w:r>
      <w:r>
        <w:tab/>
      </w:r>
      <w:r w:rsidRPr="007A2A43">
        <w:t xml:space="preserve">A Counter-Party maintains an organizational structure with clearly defined roles and responsibilities that clearly segregate trading and risk control functions. </w:t>
      </w:r>
    </w:p>
    <w:p w14:paraId="65769165" w14:textId="77777777" w:rsidR="00770ABB" w:rsidRPr="007A2A43" w:rsidRDefault="00770ABB" w:rsidP="00770ABB">
      <w:pPr>
        <w:pStyle w:val="List2"/>
        <w:tabs>
          <w:tab w:val="num" w:pos="1620"/>
        </w:tabs>
        <w:ind w:left="1440"/>
      </w:pPr>
      <w:r>
        <w:t>(c)</w:t>
      </w:r>
      <w:r>
        <w:tab/>
      </w:r>
      <w:r w:rsidRPr="007A2A43">
        <w:t>There is clarity of authority specifying the transactions into which traders are allowed to enter.</w:t>
      </w:r>
    </w:p>
    <w:p w14:paraId="10B4CCD3" w14:textId="77777777" w:rsidR="00770ABB" w:rsidRPr="007A2A43" w:rsidRDefault="00770ABB" w:rsidP="00770ABB">
      <w:pPr>
        <w:pStyle w:val="List2"/>
        <w:tabs>
          <w:tab w:val="num" w:pos="1620"/>
        </w:tabs>
        <w:ind w:left="1440"/>
      </w:pPr>
      <w:r>
        <w:t>(d)</w:t>
      </w:r>
      <w:r>
        <w:tab/>
      </w:r>
      <w:r w:rsidRPr="007A2A43">
        <w:t>A Counter-Party ensures that traders have adequate training and/or experience relative to their delegations of authority in systems and the markets in which they transact.</w:t>
      </w:r>
    </w:p>
    <w:p w14:paraId="03227B2B" w14:textId="77777777" w:rsidR="00770ABB" w:rsidRPr="007A2A43" w:rsidRDefault="00770ABB" w:rsidP="00770ABB">
      <w:pPr>
        <w:pStyle w:val="List2"/>
        <w:tabs>
          <w:tab w:val="num" w:pos="1620"/>
        </w:tabs>
        <w:ind w:left="1440"/>
      </w:pPr>
      <w:r>
        <w:t>(e)</w:t>
      </w:r>
      <w:r>
        <w:tab/>
      </w:r>
      <w:r w:rsidRPr="007A2A43">
        <w:t>As appropriate, a Counter-Party has risk limits in place to control risk exposures.</w:t>
      </w:r>
    </w:p>
    <w:p w14:paraId="5CDBE328" w14:textId="77777777" w:rsidR="00770ABB" w:rsidRPr="007A2A43" w:rsidRDefault="00770ABB" w:rsidP="00770ABB">
      <w:pPr>
        <w:pStyle w:val="List2"/>
        <w:tabs>
          <w:tab w:val="num" w:pos="1620"/>
        </w:tabs>
        <w:ind w:left="1440"/>
      </w:pPr>
      <w:r>
        <w:t>(f)</w:t>
      </w:r>
      <w:r>
        <w:tab/>
      </w:r>
      <w:r w:rsidRPr="007A2A43">
        <w:t>A Counter-Party has reporting in place to ensure risks are adequately communicated throughout the organization.</w:t>
      </w:r>
    </w:p>
    <w:p w14:paraId="7AA65AC2" w14:textId="77777777" w:rsidR="00770ABB" w:rsidRPr="007A2A43" w:rsidRDefault="00770ABB" w:rsidP="00770ABB">
      <w:pPr>
        <w:pStyle w:val="List2"/>
        <w:tabs>
          <w:tab w:val="num" w:pos="1620"/>
        </w:tabs>
        <w:ind w:left="1440"/>
      </w:pPr>
      <w:r>
        <w:t>(g)</w:t>
      </w:r>
      <w:r>
        <w:tab/>
      </w:r>
      <w:r w:rsidRPr="007A2A43">
        <w:t>A Counter-Party has processes in place for independent confirmation of executed transactions.</w:t>
      </w:r>
    </w:p>
    <w:p w14:paraId="5AF4C487" w14:textId="77777777" w:rsidR="00770ABB" w:rsidRPr="007A2A43" w:rsidRDefault="00770ABB" w:rsidP="00770ABB">
      <w:pPr>
        <w:pStyle w:val="List2"/>
        <w:tabs>
          <w:tab w:val="num" w:pos="1620"/>
        </w:tabs>
        <w:ind w:left="1440"/>
      </w:pPr>
      <w:r w:rsidRPr="007A2A43">
        <w:t>(h)</w:t>
      </w:r>
      <w:r w:rsidRPr="007A2A43">
        <w:tab/>
        <w:t>A Counter-Party performs a periodic valuation or mark-to-market of risk positions, as appropriate.</w:t>
      </w:r>
    </w:p>
    <w:p w14:paraId="7B245937" w14:textId="0429BDF8" w:rsidR="00770ABB" w:rsidRDefault="00770ABB" w:rsidP="0034759E">
      <w:pPr>
        <w:pStyle w:val="List"/>
        <w:ind w:left="720"/>
      </w:pPr>
      <w:r w:rsidRPr="00FB4E57">
        <w:lastRenderedPageBreak/>
        <w:t>(</w:t>
      </w:r>
      <w:r w:rsidR="00554675">
        <w:t>4</w:t>
      </w:r>
      <w:r w:rsidRPr="00FB4E57">
        <w:t>)</w:t>
      </w:r>
      <w:r>
        <w:tab/>
        <w:t xml:space="preserve">The ERCOT Board may approve minimum standards under an Other Binding Document. </w:t>
      </w:r>
    </w:p>
    <w:p w14:paraId="3C7F7B95" w14:textId="50697962" w:rsidR="00770ABB" w:rsidRPr="008E27A2" w:rsidRDefault="00770ABB" w:rsidP="00770ABB">
      <w:pPr>
        <w:pStyle w:val="List"/>
        <w:ind w:left="720"/>
      </w:pPr>
      <w:r>
        <w:t>(</w:t>
      </w:r>
      <w:r w:rsidR="00554675">
        <w:t>5</w:t>
      </w:r>
      <w:r>
        <w:t>)</w:t>
      </w:r>
      <w:r>
        <w:tab/>
      </w:r>
      <w:r w:rsidRPr="002C3290">
        <w:t>Upon notice of being selected for verification, a Counter-Party will make available or submit to ERCOT, or a third party acting on ERCOT’s behalf, such documentation as is necessary to provide evidence of the sufficiency and implementation of its risk management framework.  Such information may include, but not be limited to, documents of the following nature:  risk policies, organizational charts, Delegations of Authority, training records, risk limit structure, reporting frameworks, and relevant procedures, all in a level of detail acceptable to ERCOT.  Along with such documentation, a Counter-Party will provide a written explanation to ERCOT or its agent of how its risk management framework conforms to the risk management standards noted above.  Requested information and documents must be made available for review by ERCOT, or a third party acting on ERCOT’s behalf, 30 days after Notice of the request.  ERCOT will provide Counter-Party Notice of inadequate documentation and will give Counter-Party ten Business Days to correct the inadequacy.  At ERCOT’s sole discretion, these deadlines may be extended on a case-by-case basis.</w:t>
      </w:r>
    </w:p>
    <w:p w14:paraId="01B4CC7D" w14:textId="79627778" w:rsidR="00770ABB" w:rsidRPr="002C3290" w:rsidRDefault="00770ABB" w:rsidP="00770ABB">
      <w:pPr>
        <w:pStyle w:val="List"/>
        <w:ind w:left="720"/>
      </w:pPr>
      <w:r w:rsidRPr="002C3290">
        <w:t>(</w:t>
      </w:r>
      <w:r w:rsidR="00554675">
        <w:t>6</w:t>
      </w:r>
      <w:r w:rsidRPr="002C3290">
        <w:t>)</w:t>
      </w:r>
      <w:r w:rsidRPr="002C3290">
        <w:tab/>
        <w:t xml:space="preserve">If necessary, Counter-Parties will support the verification process by, among other things, making appropriate personnel available for interviews, permitting on-site observation of credit and risk management processes and procedures, and providing written responses to written inquiries on a timely basis.  A Counter-Party may request that ERCOT or a third party performing verification on ERCOT’s behalf perform the review on-site at the Counter-Party’s location.  Any resulting additional expenses will in this case be the sole responsibility of the Counter-Party making the request.   </w:t>
      </w:r>
    </w:p>
    <w:p w14:paraId="10158438" w14:textId="62A0AD03" w:rsidR="00770ABB" w:rsidRPr="002C3290" w:rsidRDefault="00770ABB" w:rsidP="00770ABB">
      <w:pPr>
        <w:pStyle w:val="List"/>
        <w:ind w:left="720"/>
      </w:pPr>
      <w:r w:rsidRPr="002C3290">
        <w:t>(</w:t>
      </w:r>
      <w:r w:rsidR="00554675">
        <w:t>7</w:t>
      </w:r>
      <w:r w:rsidRPr="002C3290">
        <w:t>)</w:t>
      </w:r>
      <w:r w:rsidRPr="002C3290">
        <w:tab/>
      </w:r>
      <w:r w:rsidR="00B55C27" w:rsidRPr="00723BC4">
        <w:t>ERCOT will perform procedures to verify the risk management framework at least annually for any Counter-Party if that Counter-Party or its parent:</w:t>
      </w:r>
    </w:p>
    <w:p w14:paraId="247E23A7" w14:textId="18BA793A" w:rsidR="00770ABB" w:rsidRDefault="00770ABB" w:rsidP="00D9080F">
      <w:pPr>
        <w:pStyle w:val="ListParagraph"/>
        <w:spacing w:after="240" w:line="240" w:lineRule="auto"/>
        <w:ind w:left="1440" w:hanging="720"/>
        <w:contextualSpacing w:val="0"/>
        <w:rPr>
          <w:rFonts w:ascii="Times New Roman" w:hAnsi="Times New Roman"/>
          <w:sz w:val="24"/>
          <w:szCs w:val="24"/>
        </w:rPr>
      </w:pPr>
      <w:r>
        <w:rPr>
          <w:rFonts w:ascii="Times New Roman" w:hAnsi="Times New Roman"/>
          <w:sz w:val="24"/>
          <w:szCs w:val="24"/>
        </w:rPr>
        <w:t>(a</w:t>
      </w:r>
      <w:r w:rsidRPr="00C37DC7">
        <w:rPr>
          <w:rFonts w:ascii="Times New Roman" w:hAnsi="Times New Roman"/>
          <w:sz w:val="24"/>
          <w:szCs w:val="24"/>
        </w:rPr>
        <w:t>)</w:t>
      </w:r>
      <w:r>
        <w:rPr>
          <w:rFonts w:ascii="Times New Roman" w:hAnsi="Times New Roman"/>
          <w:sz w:val="24"/>
          <w:szCs w:val="24"/>
        </w:rPr>
        <w:tab/>
      </w:r>
      <w:r w:rsidR="005C04D0" w:rsidRPr="00F40D99">
        <w:rPr>
          <w:rFonts w:ascii="Times New Roman" w:hAnsi="Times New Roman"/>
          <w:sz w:val="24"/>
          <w:szCs w:val="24"/>
        </w:rPr>
        <w:t xml:space="preserve">Has had one or more late payments or represents a </w:t>
      </w:r>
      <w:r w:rsidR="005C04D0">
        <w:rPr>
          <w:rFonts w:ascii="Times New Roman" w:hAnsi="Times New Roman"/>
          <w:sz w:val="24"/>
          <w:szCs w:val="24"/>
        </w:rPr>
        <w:t>Qualified Scheduling Entity (</w:t>
      </w:r>
      <w:r w:rsidR="005C04D0" w:rsidRPr="00F40D99">
        <w:rPr>
          <w:rFonts w:ascii="Times New Roman" w:hAnsi="Times New Roman"/>
          <w:sz w:val="24"/>
          <w:szCs w:val="24"/>
        </w:rPr>
        <w:t>QSE</w:t>
      </w:r>
      <w:r w:rsidR="005C04D0">
        <w:rPr>
          <w:rFonts w:ascii="Times New Roman" w:hAnsi="Times New Roman"/>
          <w:sz w:val="24"/>
          <w:szCs w:val="24"/>
        </w:rPr>
        <w:t>)</w:t>
      </w:r>
      <w:r w:rsidR="005C04D0" w:rsidRPr="00F40D99">
        <w:rPr>
          <w:rFonts w:ascii="Times New Roman" w:hAnsi="Times New Roman"/>
          <w:sz w:val="24"/>
          <w:szCs w:val="24"/>
        </w:rPr>
        <w:t xml:space="preserve"> or CRR</w:t>
      </w:r>
      <w:r w:rsidR="005C04D0">
        <w:rPr>
          <w:rFonts w:ascii="Times New Roman" w:hAnsi="Times New Roman"/>
          <w:sz w:val="24"/>
          <w:szCs w:val="24"/>
        </w:rPr>
        <w:t xml:space="preserve"> </w:t>
      </w:r>
      <w:r w:rsidR="005C04D0" w:rsidRPr="00F40D99">
        <w:rPr>
          <w:rFonts w:ascii="Times New Roman" w:hAnsi="Times New Roman"/>
          <w:sz w:val="24"/>
          <w:szCs w:val="24"/>
        </w:rPr>
        <w:t>A</w:t>
      </w:r>
      <w:r w:rsidR="005C04D0">
        <w:rPr>
          <w:rFonts w:ascii="Times New Roman" w:hAnsi="Times New Roman"/>
          <w:sz w:val="24"/>
          <w:szCs w:val="24"/>
        </w:rPr>
        <w:t xml:space="preserve">ccount </w:t>
      </w:r>
      <w:r w:rsidR="005C04D0" w:rsidRPr="00F40D99">
        <w:rPr>
          <w:rFonts w:ascii="Times New Roman" w:hAnsi="Times New Roman"/>
          <w:sz w:val="24"/>
          <w:szCs w:val="24"/>
        </w:rPr>
        <w:t>H</w:t>
      </w:r>
      <w:r w:rsidR="005C04D0">
        <w:rPr>
          <w:rFonts w:ascii="Times New Roman" w:hAnsi="Times New Roman"/>
          <w:sz w:val="24"/>
          <w:szCs w:val="24"/>
        </w:rPr>
        <w:t>older</w:t>
      </w:r>
      <w:r w:rsidR="005C04D0" w:rsidRPr="00F40D99">
        <w:rPr>
          <w:rFonts w:ascii="Times New Roman" w:hAnsi="Times New Roman"/>
          <w:sz w:val="24"/>
          <w:szCs w:val="24"/>
        </w:rPr>
        <w:t xml:space="preserve"> that has short-paid Settlement Invoices in the year preceding the date of the annual certificate</w:t>
      </w:r>
      <w:r w:rsidR="005C04D0">
        <w:rPr>
          <w:rFonts w:ascii="Times New Roman" w:hAnsi="Times New Roman"/>
          <w:sz w:val="24"/>
          <w:szCs w:val="24"/>
        </w:rPr>
        <w:t xml:space="preserve">; </w:t>
      </w:r>
      <w:r w:rsidR="005C04D0" w:rsidRPr="00C37DC7">
        <w:rPr>
          <w:rFonts w:ascii="Times New Roman" w:hAnsi="Times New Roman"/>
          <w:sz w:val="24"/>
          <w:szCs w:val="24"/>
        </w:rPr>
        <w:t>and</w:t>
      </w:r>
    </w:p>
    <w:p w14:paraId="162A76D7" w14:textId="48493383" w:rsidR="00770ABB" w:rsidRDefault="00770ABB" w:rsidP="00FB1643">
      <w:pPr>
        <w:pStyle w:val="ListParagraph"/>
        <w:spacing w:after="240" w:line="240" w:lineRule="auto"/>
        <w:ind w:left="1440" w:hanging="720"/>
        <w:contextualSpacing w:val="0"/>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H</w:t>
      </w:r>
      <w:r w:rsidRPr="00C37DC7">
        <w:rPr>
          <w:rFonts w:ascii="Times New Roman" w:hAnsi="Times New Roman"/>
          <w:sz w:val="24"/>
          <w:szCs w:val="24"/>
        </w:rPr>
        <w:t xml:space="preserve">as had exposure in CRR Obligations in </w:t>
      </w:r>
      <w:r>
        <w:rPr>
          <w:rFonts w:ascii="Times New Roman" w:hAnsi="Times New Roman"/>
          <w:sz w:val="24"/>
          <w:szCs w:val="24"/>
        </w:rPr>
        <w:t xml:space="preserve">the </w:t>
      </w:r>
      <w:r w:rsidRPr="00C37DC7">
        <w:rPr>
          <w:rFonts w:ascii="Times New Roman" w:hAnsi="Times New Roman"/>
          <w:sz w:val="24"/>
          <w:szCs w:val="24"/>
        </w:rPr>
        <w:t xml:space="preserve">ERCOT CRR market during the year preceding the date of the </w:t>
      </w:r>
      <w:r>
        <w:rPr>
          <w:rFonts w:ascii="Times New Roman" w:hAnsi="Times New Roman"/>
          <w:sz w:val="24"/>
          <w:szCs w:val="24"/>
        </w:rPr>
        <w:t>a</w:t>
      </w:r>
      <w:r w:rsidRPr="00C37DC7">
        <w:rPr>
          <w:rFonts w:ascii="Times New Roman" w:hAnsi="Times New Roman"/>
          <w:sz w:val="24"/>
          <w:szCs w:val="24"/>
        </w:rPr>
        <w:t xml:space="preserve">nnual </w:t>
      </w:r>
      <w:r>
        <w:rPr>
          <w:rFonts w:ascii="Times New Roman" w:hAnsi="Times New Roman"/>
          <w:sz w:val="24"/>
          <w:szCs w:val="24"/>
        </w:rPr>
        <w:t>c</w:t>
      </w:r>
      <w:r w:rsidRPr="00C37DC7">
        <w:rPr>
          <w:rFonts w:ascii="Times New Roman" w:hAnsi="Times New Roman"/>
          <w:sz w:val="24"/>
          <w:szCs w:val="24"/>
        </w:rPr>
        <w:t>ertificat</w:t>
      </w:r>
      <w:r>
        <w:rPr>
          <w:rFonts w:ascii="Times New Roman" w:hAnsi="Times New Roman"/>
          <w:sz w:val="24"/>
          <w:szCs w:val="24"/>
        </w:rPr>
        <w:t>e</w:t>
      </w:r>
      <w:r w:rsidRPr="00C37DC7">
        <w:rPr>
          <w:rFonts w:ascii="Times New Roman" w:hAnsi="Times New Roman"/>
          <w:sz w:val="24"/>
          <w:szCs w:val="24"/>
        </w:rPr>
        <w:t xml:space="preserve">. </w:t>
      </w:r>
    </w:p>
    <w:p w14:paraId="761DE048" w14:textId="77777777" w:rsidR="00770ABB" w:rsidRDefault="00770ABB" w:rsidP="00770ABB">
      <w:pPr>
        <w:pStyle w:val="ListParagraph"/>
        <w:spacing w:after="240" w:line="240" w:lineRule="auto"/>
        <w:ind w:left="2160" w:hanging="720"/>
        <w:contextualSpacing w:val="0"/>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r>
      <w:r w:rsidRPr="00C37DC7">
        <w:rPr>
          <w:rFonts w:ascii="Times New Roman" w:hAnsi="Times New Roman"/>
          <w:sz w:val="24"/>
          <w:szCs w:val="24"/>
        </w:rPr>
        <w:t xml:space="preserve">Notwithstanding the above, ERCOT will perform risk management </w:t>
      </w:r>
      <w:r>
        <w:rPr>
          <w:rFonts w:ascii="Times New Roman" w:hAnsi="Times New Roman"/>
          <w:sz w:val="24"/>
          <w:szCs w:val="24"/>
        </w:rPr>
        <w:t xml:space="preserve">framework </w:t>
      </w:r>
      <w:r w:rsidRPr="00C37DC7">
        <w:rPr>
          <w:rFonts w:ascii="Times New Roman" w:hAnsi="Times New Roman"/>
          <w:sz w:val="24"/>
          <w:szCs w:val="24"/>
        </w:rPr>
        <w:t xml:space="preserve">verification procedures on other Counter-Parties at its sole discretion. </w:t>
      </w:r>
    </w:p>
    <w:p w14:paraId="7332239D" w14:textId="7F152C86" w:rsidR="00770ABB" w:rsidRDefault="00770ABB" w:rsidP="00770ABB">
      <w:pPr>
        <w:pStyle w:val="ListParagraph"/>
        <w:spacing w:after="240" w:line="240" w:lineRule="auto"/>
        <w:ind w:hanging="720"/>
        <w:contextualSpacing w:val="0"/>
        <w:rPr>
          <w:rFonts w:ascii="Times New Roman" w:hAnsi="Times New Roman"/>
          <w:sz w:val="24"/>
          <w:szCs w:val="24"/>
        </w:rPr>
      </w:pPr>
      <w:r>
        <w:rPr>
          <w:rFonts w:ascii="Times New Roman" w:hAnsi="Times New Roman"/>
          <w:sz w:val="24"/>
          <w:szCs w:val="24"/>
        </w:rPr>
        <w:t>(</w:t>
      </w:r>
      <w:r w:rsidR="00554675">
        <w:rPr>
          <w:rFonts w:ascii="Times New Roman" w:hAnsi="Times New Roman"/>
          <w:sz w:val="24"/>
          <w:szCs w:val="24"/>
        </w:rPr>
        <w:t>8</w:t>
      </w:r>
      <w:r>
        <w:rPr>
          <w:rFonts w:ascii="Times New Roman" w:hAnsi="Times New Roman"/>
          <w:sz w:val="24"/>
          <w:szCs w:val="24"/>
        </w:rPr>
        <w:t>)</w:t>
      </w:r>
      <w:r>
        <w:rPr>
          <w:rFonts w:ascii="Times New Roman" w:hAnsi="Times New Roman"/>
          <w:sz w:val="24"/>
          <w:szCs w:val="24"/>
        </w:rPr>
        <w:tab/>
      </w:r>
      <w:r w:rsidRPr="00C37DC7">
        <w:rPr>
          <w:rFonts w:ascii="Times New Roman" w:hAnsi="Times New Roman"/>
          <w:sz w:val="24"/>
          <w:szCs w:val="24"/>
        </w:rPr>
        <w:t xml:space="preserve">Upon completion of </w:t>
      </w:r>
      <w:r>
        <w:rPr>
          <w:rFonts w:ascii="Times New Roman" w:hAnsi="Times New Roman"/>
          <w:sz w:val="24"/>
          <w:szCs w:val="24"/>
        </w:rPr>
        <w:t xml:space="preserve">its </w:t>
      </w:r>
      <w:r w:rsidRPr="00C37DC7">
        <w:rPr>
          <w:rFonts w:ascii="Times New Roman" w:hAnsi="Times New Roman"/>
          <w:sz w:val="24"/>
          <w:szCs w:val="24"/>
        </w:rPr>
        <w:t xml:space="preserve">review, ERCOT will notify </w:t>
      </w:r>
      <w:r>
        <w:rPr>
          <w:rFonts w:ascii="Times New Roman" w:hAnsi="Times New Roman"/>
          <w:sz w:val="24"/>
          <w:szCs w:val="24"/>
        </w:rPr>
        <w:t xml:space="preserve">the </w:t>
      </w:r>
      <w:r w:rsidRPr="00C37DC7">
        <w:rPr>
          <w:rFonts w:ascii="Times New Roman" w:hAnsi="Times New Roman"/>
          <w:sz w:val="24"/>
          <w:szCs w:val="24"/>
        </w:rPr>
        <w:t>Counter-Party whether or not any material deficiencies were noted.  If material deficiencies exist, ERCOT may, in its sole discretion, establish in consultation with the Counter-Party, a remediation plan for any deficiencies.  The remediation period allowed for specific deficiencies should be consistent with the severity of those deficiencies and may have incremental deadlines.  The total remediation period will not exceed 90 days</w:t>
      </w:r>
      <w:r>
        <w:rPr>
          <w:rFonts w:ascii="Times New Roman" w:hAnsi="Times New Roman"/>
          <w:sz w:val="24"/>
          <w:szCs w:val="24"/>
        </w:rPr>
        <w:t>, unless extended, at ERCOT’s sole discretion, on a case-by-case basis</w:t>
      </w:r>
      <w:r w:rsidRPr="00C37DC7">
        <w:rPr>
          <w:rFonts w:ascii="Times New Roman" w:hAnsi="Times New Roman"/>
          <w:sz w:val="24"/>
          <w:szCs w:val="24"/>
        </w:rPr>
        <w:t xml:space="preserve">.    </w:t>
      </w:r>
    </w:p>
    <w:p w14:paraId="658D28CE" w14:textId="6A5A0198" w:rsidR="00770ABB" w:rsidRDefault="00770ABB" w:rsidP="00770ABB">
      <w:pPr>
        <w:pStyle w:val="ListParagraph"/>
        <w:spacing w:after="240" w:line="240" w:lineRule="auto"/>
        <w:ind w:hanging="720"/>
        <w:contextualSpacing w:val="0"/>
        <w:rPr>
          <w:rFonts w:ascii="Times New Roman" w:hAnsi="Times New Roman"/>
          <w:sz w:val="24"/>
          <w:szCs w:val="24"/>
        </w:rPr>
      </w:pPr>
      <w:r>
        <w:rPr>
          <w:rFonts w:ascii="Times New Roman" w:hAnsi="Times New Roman"/>
          <w:sz w:val="24"/>
          <w:szCs w:val="24"/>
        </w:rPr>
        <w:lastRenderedPageBreak/>
        <w:t>(</w:t>
      </w:r>
      <w:r w:rsidR="00554675">
        <w:rPr>
          <w:rFonts w:ascii="Times New Roman" w:hAnsi="Times New Roman"/>
          <w:sz w:val="24"/>
          <w:szCs w:val="24"/>
        </w:rPr>
        <w:t>9</w:t>
      </w:r>
      <w:r>
        <w:rPr>
          <w:rFonts w:ascii="Times New Roman" w:hAnsi="Times New Roman"/>
          <w:sz w:val="24"/>
          <w:szCs w:val="24"/>
        </w:rPr>
        <w:t>)</w:t>
      </w:r>
      <w:r>
        <w:rPr>
          <w:rFonts w:ascii="Times New Roman" w:hAnsi="Times New Roman"/>
          <w:sz w:val="24"/>
          <w:szCs w:val="24"/>
        </w:rPr>
        <w:tab/>
      </w:r>
      <w:r w:rsidRPr="00C37DC7">
        <w:rPr>
          <w:rFonts w:ascii="Times New Roman" w:hAnsi="Times New Roman"/>
          <w:sz w:val="24"/>
          <w:szCs w:val="24"/>
        </w:rPr>
        <w:t xml:space="preserve">Risk management deficiencies remaining beyond the ERCOT-defined remediation periods constitute a material </w:t>
      </w:r>
      <w:r>
        <w:rPr>
          <w:rFonts w:ascii="Times New Roman" w:hAnsi="Times New Roman"/>
          <w:sz w:val="24"/>
          <w:szCs w:val="24"/>
        </w:rPr>
        <w:t>b</w:t>
      </w:r>
      <w:r w:rsidRPr="00C37DC7">
        <w:rPr>
          <w:rFonts w:ascii="Times New Roman" w:hAnsi="Times New Roman"/>
          <w:sz w:val="24"/>
          <w:szCs w:val="24"/>
        </w:rPr>
        <w:t>reach under the Counter-Party’s Standard Form Market Participant Agreement</w:t>
      </w:r>
      <w:r>
        <w:rPr>
          <w:rFonts w:ascii="Times New Roman" w:hAnsi="Times New Roman"/>
          <w:sz w:val="24"/>
          <w:szCs w:val="24"/>
        </w:rPr>
        <w:t xml:space="preserve"> as provided for in Section 22, Attachment A, Standard Form Market Participant Agreement</w:t>
      </w:r>
      <w:r w:rsidRPr="00C37DC7">
        <w:rPr>
          <w:rFonts w:ascii="Times New Roman" w:hAnsi="Times New Roman"/>
          <w:sz w:val="24"/>
          <w:szCs w:val="24"/>
        </w:rPr>
        <w:t xml:space="preserve">.  Upon a material </w:t>
      </w:r>
      <w:r>
        <w:rPr>
          <w:rFonts w:ascii="Times New Roman" w:hAnsi="Times New Roman"/>
          <w:sz w:val="24"/>
          <w:szCs w:val="24"/>
        </w:rPr>
        <w:t>b</w:t>
      </w:r>
      <w:r w:rsidRPr="00C37DC7">
        <w:rPr>
          <w:rFonts w:ascii="Times New Roman" w:hAnsi="Times New Roman"/>
          <w:sz w:val="24"/>
          <w:szCs w:val="24"/>
        </w:rPr>
        <w:t>reach, ERCOT may, in addition to any other rights or remedies ERCOT has under any agreement, these Protocols or at common law, suspend any or all future activities in the ERCOT market, pending remediation of deficiencies.</w:t>
      </w:r>
      <w:r>
        <w:rPr>
          <w:rFonts w:ascii="Times New Roman" w:hAnsi="Times New Roman"/>
          <w:sz w:val="24"/>
          <w:szCs w:val="24"/>
        </w:rPr>
        <w:t xml:space="preserve">  An action by ERCOT to suspend activities in the ERCOT market is subject to the provisions of Section 20, Alternative Dispute Resolution Process.  </w:t>
      </w:r>
    </w:p>
    <w:p w14:paraId="736360E4" w14:textId="19FC1A3C" w:rsidR="00770ABB" w:rsidRDefault="00770ABB" w:rsidP="00770ABB">
      <w:pPr>
        <w:pStyle w:val="ListParagraph"/>
        <w:spacing w:after="240" w:line="240" w:lineRule="auto"/>
        <w:ind w:hanging="720"/>
        <w:contextualSpacing w:val="0"/>
        <w:rPr>
          <w:rFonts w:ascii="Times New Roman" w:hAnsi="Times New Roman"/>
          <w:sz w:val="24"/>
          <w:szCs w:val="24"/>
        </w:rPr>
      </w:pPr>
      <w:r>
        <w:rPr>
          <w:rFonts w:ascii="Times New Roman" w:hAnsi="Times New Roman"/>
          <w:sz w:val="24"/>
          <w:szCs w:val="24"/>
        </w:rPr>
        <w:t>(</w:t>
      </w:r>
      <w:r w:rsidR="00554675">
        <w:rPr>
          <w:rFonts w:ascii="Times New Roman" w:hAnsi="Times New Roman"/>
          <w:sz w:val="24"/>
          <w:szCs w:val="24"/>
        </w:rPr>
        <w:t>10</w:t>
      </w:r>
      <w:r>
        <w:rPr>
          <w:rFonts w:ascii="Times New Roman" w:hAnsi="Times New Roman"/>
          <w:sz w:val="24"/>
          <w:szCs w:val="24"/>
        </w:rPr>
        <w:t>)</w:t>
      </w:r>
      <w:r>
        <w:rPr>
          <w:rFonts w:ascii="Times New Roman" w:hAnsi="Times New Roman"/>
          <w:sz w:val="24"/>
          <w:szCs w:val="24"/>
        </w:rPr>
        <w:tab/>
      </w:r>
      <w:r w:rsidRPr="00C37DC7">
        <w:rPr>
          <w:rFonts w:ascii="Times New Roman" w:hAnsi="Times New Roman"/>
          <w:sz w:val="24"/>
          <w:szCs w:val="24"/>
        </w:rPr>
        <w:t xml:space="preserve">Participation in ERCOT markets is contingent on verification by </w:t>
      </w:r>
      <w:r w:rsidRPr="00431601">
        <w:rPr>
          <w:rFonts w:ascii="Times New Roman" w:hAnsi="Times New Roman"/>
          <w:sz w:val="24"/>
          <w:szCs w:val="24"/>
        </w:rPr>
        <w:t xml:space="preserve">ERCOT, or by a third party acting on ERCOT’s behalf, that the proposed measures have been implemented.  </w:t>
      </w:r>
    </w:p>
    <w:p w14:paraId="468906E9" w14:textId="7787267E" w:rsidR="00770ABB" w:rsidRDefault="00770ABB" w:rsidP="00770ABB">
      <w:pPr>
        <w:pStyle w:val="ListParagraph"/>
        <w:spacing w:after="240" w:line="240" w:lineRule="auto"/>
        <w:ind w:hanging="720"/>
        <w:contextualSpacing w:val="0"/>
        <w:rPr>
          <w:rFonts w:ascii="Times New Roman" w:hAnsi="Times New Roman"/>
          <w:sz w:val="24"/>
          <w:szCs w:val="24"/>
        </w:rPr>
      </w:pPr>
      <w:r>
        <w:rPr>
          <w:rFonts w:ascii="Times New Roman" w:hAnsi="Times New Roman"/>
          <w:sz w:val="24"/>
          <w:szCs w:val="24"/>
        </w:rPr>
        <w:t>(1</w:t>
      </w:r>
      <w:r w:rsidR="00554675">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ab/>
      </w:r>
      <w:r w:rsidRPr="00431601">
        <w:rPr>
          <w:rFonts w:ascii="Times New Roman" w:hAnsi="Times New Roman"/>
          <w:sz w:val="24"/>
          <w:szCs w:val="24"/>
        </w:rPr>
        <w:t>If a Counter-Party provides evidence that its risk management framework has been deemed sufficient for transacting in another R</w:t>
      </w:r>
      <w:r>
        <w:rPr>
          <w:rFonts w:ascii="Times New Roman" w:hAnsi="Times New Roman"/>
          <w:sz w:val="24"/>
          <w:szCs w:val="24"/>
        </w:rPr>
        <w:t xml:space="preserve">egional </w:t>
      </w:r>
      <w:r w:rsidRPr="00431601">
        <w:rPr>
          <w:rFonts w:ascii="Times New Roman" w:hAnsi="Times New Roman"/>
          <w:sz w:val="24"/>
          <w:szCs w:val="24"/>
        </w:rPr>
        <w:t>T</w:t>
      </w:r>
      <w:r>
        <w:rPr>
          <w:rFonts w:ascii="Times New Roman" w:hAnsi="Times New Roman"/>
          <w:sz w:val="24"/>
          <w:szCs w:val="24"/>
        </w:rPr>
        <w:t xml:space="preserve">ransmission </w:t>
      </w:r>
      <w:r w:rsidRPr="00431601">
        <w:rPr>
          <w:rFonts w:ascii="Times New Roman" w:hAnsi="Times New Roman"/>
          <w:sz w:val="24"/>
          <w:szCs w:val="24"/>
        </w:rPr>
        <w:t>O</w:t>
      </w:r>
      <w:r>
        <w:rPr>
          <w:rFonts w:ascii="Times New Roman" w:hAnsi="Times New Roman"/>
          <w:sz w:val="24"/>
          <w:szCs w:val="24"/>
        </w:rPr>
        <w:t>perator</w:t>
      </w:r>
      <w:r w:rsidRPr="00431601">
        <w:rPr>
          <w:rFonts w:ascii="Times New Roman" w:hAnsi="Times New Roman"/>
          <w:sz w:val="24"/>
          <w:szCs w:val="24"/>
        </w:rPr>
        <w:t>/I</w:t>
      </w:r>
      <w:r>
        <w:rPr>
          <w:rFonts w:ascii="Times New Roman" w:hAnsi="Times New Roman"/>
          <w:sz w:val="24"/>
          <w:szCs w:val="24"/>
        </w:rPr>
        <w:t xml:space="preserve">ndependent </w:t>
      </w:r>
      <w:r w:rsidRPr="00431601">
        <w:rPr>
          <w:rFonts w:ascii="Times New Roman" w:hAnsi="Times New Roman"/>
          <w:sz w:val="24"/>
          <w:szCs w:val="24"/>
        </w:rPr>
        <w:t>S</w:t>
      </w:r>
      <w:r>
        <w:rPr>
          <w:rFonts w:ascii="Times New Roman" w:hAnsi="Times New Roman"/>
          <w:sz w:val="24"/>
          <w:szCs w:val="24"/>
        </w:rPr>
        <w:t xml:space="preserve">ystem </w:t>
      </w:r>
      <w:r w:rsidRPr="00431601">
        <w:rPr>
          <w:rFonts w:ascii="Times New Roman" w:hAnsi="Times New Roman"/>
          <w:sz w:val="24"/>
          <w:szCs w:val="24"/>
        </w:rPr>
        <w:t>O</w:t>
      </w:r>
      <w:r>
        <w:rPr>
          <w:rFonts w:ascii="Times New Roman" w:hAnsi="Times New Roman"/>
          <w:sz w:val="24"/>
          <w:szCs w:val="24"/>
        </w:rPr>
        <w:t>perator</w:t>
      </w:r>
      <w:r w:rsidRPr="00431601">
        <w:rPr>
          <w:rFonts w:ascii="Times New Roman" w:hAnsi="Times New Roman"/>
          <w:sz w:val="24"/>
          <w:szCs w:val="24"/>
        </w:rPr>
        <w:t xml:space="preserve"> market</w:t>
      </w:r>
      <w:r>
        <w:rPr>
          <w:rFonts w:ascii="Times New Roman" w:hAnsi="Times New Roman"/>
          <w:sz w:val="24"/>
          <w:szCs w:val="24"/>
        </w:rPr>
        <w:t xml:space="preserve"> in the United States</w:t>
      </w:r>
      <w:r w:rsidRPr="00431601">
        <w:rPr>
          <w:rFonts w:ascii="Times New Roman" w:hAnsi="Times New Roman"/>
          <w:sz w:val="24"/>
          <w:szCs w:val="24"/>
        </w:rPr>
        <w:t xml:space="preserve">, ERCOT may </w:t>
      </w:r>
      <w:r>
        <w:rPr>
          <w:rFonts w:ascii="Times New Roman" w:hAnsi="Times New Roman"/>
          <w:sz w:val="24"/>
          <w:szCs w:val="24"/>
        </w:rPr>
        <w:t xml:space="preserve">elect to forego </w:t>
      </w:r>
      <w:r w:rsidRPr="00431601">
        <w:rPr>
          <w:rFonts w:ascii="Times New Roman" w:hAnsi="Times New Roman"/>
          <w:sz w:val="24"/>
          <w:szCs w:val="24"/>
        </w:rPr>
        <w:t>verification processes</w:t>
      </w:r>
      <w:r>
        <w:rPr>
          <w:rFonts w:ascii="Times New Roman" w:hAnsi="Times New Roman"/>
          <w:sz w:val="24"/>
          <w:szCs w:val="24"/>
        </w:rPr>
        <w:t>.</w:t>
      </w:r>
    </w:p>
    <w:p w14:paraId="11DAEAB2" w14:textId="16DCA08B" w:rsidR="00770ABB" w:rsidRDefault="00770ABB" w:rsidP="00770ABB">
      <w:pPr>
        <w:pStyle w:val="ListParagraph"/>
        <w:spacing w:after="240" w:line="240" w:lineRule="auto"/>
        <w:ind w:hanging="720"/>
        <w:contextualSpacing w:val="0"/>
        <w:rPr>
          <w:rFonts w:ascii="Times New Roman" w:hAnsi="Times New Roman"/>
          <w:sz w:val="24"/>
          <w:szCs w:val="24"/>
        </w:rPr>
      </w:pPr>
      <w:r>
        <w:rPr>
          <w:rFonts w:ascii="Times New Roman" w:hAnsi="Times New Roman"/>
          <w:sz w:val="24"/>
          <w:szCs w:val="24"/>
        </w:rPr>
        <w:t>(1</w:t>
      </w:r>
      <w:r w:rsidR="00554675">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ab/>
        <w:t xml:space="preserve">In conjunction with providing its annual certificate, if a Counter-Party certifies that there has been no material change in its risk management capabilities since the framework was last verified, ERCOT may elect to forego verification.  ERCOT may not forego verification more than once in any </w:t>
      </w:r>
      <w:r w:rsidR="005839D0">
        <w:rPr>
          <w:rFonts w:ascii="Times New Roman" w:hAnsi="Times New Roman"/>
          <w:sz w:val="24"/>
          <w:szCs w:val="24"/>
        </w:rPr>
        <w:t>24-</w:t>
      </w:r>
      <w:r>
        <w:rPr>
          <w:rFonts w:ascii="Times New Roman" w:hAnsi="Times New Roman"/>
          <w:sz w:val="24"/>
          <w:szCs w:val="24"/>
        </w:rPr>
        <w:t>month period.</w:t>
      </w:r>
    </w:p>
    <w:p w14:paraId="166A5E2C" w14:textId="203F7473" w:rsidR="00233DE1" w:rsidRPr="00233DE1" w:rsidRDefault="00233DE1" w:rsidP="00233DE1">
      <w:pPr>
        <w:pStyle w:val="H2"/>
        <w:ind w:left="907" w:hanging="907"/>
        <w:rPr>
          <w:szCs w:val="24"/>
          <w:lang w:val="en-US" w:eastAsia="en-US"/>
        </w:rPr>
      </w:pPr>
      <w:bookmarkStart w:id="763" w:name="_Toc148960914"/>
      <w:r w:rsidRPr="00233DE1">
        <w:rPr>
          <w:szCs w:val="24"/>
          <w:lang w:val="en-US" w:eastAsia="en-US"/>
        </w:rPr>
        <w:t>16.17</w:t>
      </w:r>
      <w:r w:rsidRPr="00233DE1">
        <w:rPr>
          <w:szCs w:val="24"/>
          <w:lang w:val="en-US" w:eastAsia="en-US"/>
        </w:rPr>
        <w:tab/>
        <w:t>Exemption for Qualified Scheduling Entities Participating Only in Emergency Response Service</w:t>
      </w:r>
      <w:bookmarkEnd w:id="763"/>
    </w:p>
    <w:p w14:paraId="09AB779C" w14:textId="77777777" w:rsidR="00233DE1" w:rsidRPr="00233DE1" w:rsidRDefault="00233DE1" w:rsidP="00233DE1">
      <w:pPr>
        <w:pStyle w:val="BodyTextNumbered"/>
        <w:rPr>
          <w:szCs w:val="24"/>
        </w:rPr>
      </w:pPr>
      <w:r w:rsidRPr="00233DE1">
        <w:rPr>
          <w:szCs w:val="24"/>
        </w:rPr>
        <w:t>(1)</w:t>
      </w:r>
      <w:r w:rsidRPr="00233DE1">
        <w:rPr>
          <w:szCs w:val="24"/>
        </w:rPr>
        <w:tab/>
        <w:t xml:space="preserve">A Qualified Scheduling Entity (QSE) that is not also registered as a Congestion Revenue Rights (CRR) Account Holder, that does not participate in the Day-Ahead Market (DAM) or Real-Time Market (RTM), that represents only Emergency Response Service (ERS) Resources, and whose Total Potential Exposure (TPE) (as calculated in Section 16.11.4.1, Determination of Total Potential Exposure for a Counter-Party) is zero may request designation as an ERS-only QSE.  </w:t>
      </w:r>
    </w:p>
    <w:p w14:paraId="121842F0" w14:textId="77777777" w:rsidR="00233DE1" w:rsidRPr="00233DE1" w:rsidRDefault="00233DE1" w:rsidP="00233DE1">
      <w:pPr>
        <w:pStyle w:val="BodyTextNumbered"/>
        <w:rPr>
          <w:szCs w:val="24"/>
        </w:rPr>
      </w:pPr>
      <w:r w:rsidRPr="00233DE1">
        <w:rPr>
          <w:szCs w:val="24"/>
        </w:rPr>
        <w:t>(2)</w:t>
      </w:r>
      <w:r w:rsidRPr="00233DE1">
        <w:rPr>
          <w:szCs w:val="24"/>
        </w:rPr>
        <w:tab/>
        <w:t xml:space="preserve">A QSE must submit a written request for designation as an ERS-only QSE at least five Business Days before the desired effective date of the designation.  </w:t>
      </w:r>
    </w:p>
    <w:p w14:paraId="47CCAB8E" w14:textId="77777777" w:rsidR="00233DE1" w:rsidRPr="00233DE1" w:rsidRDefault="00233DE1" w:rsidP="00233DE1">
      <w:pPr>
        <w:pStyle w:val="BodyTextNumbered"/>
        <w:rPr>
          <w:szCs w:val="24"/>
        </w:rPr>
      </w:pPr>
      <w:r w:rsidRPr="00233DE1">
        <w:rPr>
          <w:szCs w:val="24"/>
        </w:rPr>
        <w:t>(3)</w:t>
      </w:r>
      <w:r w:rsidRPr="00233DE1">
        <w:rPr>
          <w:szCs w:val="24"/>
        </w:rPr>
        <w:tab/>
        <w:t>Upon determining that the QSE has addressed all financial risk to ERCOT’s satisfaction, ERCOT shall designate the QSE as an ERS-only QSE, and shall notify the QSE of that designation in writing.</w:t>
      </w:r>
    </w:p>
    <w:p w14:paraId="11DE5389" w14:textId="77777777" w:rsidR="00233DE1" w:rsidRPr="00233DE1" w:rsidRDefault="00233DE1" w:rsidP="00233DE1">
      <w:pPr>
        <w:pStyle w:val="BodyTextNumbered"/>
        <w:rPr>
          <w:szCs w:val="24"/>
        </w:rPr>
      </w:pPr>
      <w:r w:rsidRPr="00233DE1">
        <w:rPr>
          <w:szCs w:val="24"/>
        </w:rPr>
        <w:t>(4)</w:t>
      </w:r>
      <w:r w:rsidRPr="00233DE1">
        <w:rPr>
          <w:szCs w:val="24"/>
        </w:rPr>
        <w:tab/>
        <w:t xml:space="preserve">Except as provided in paragraph (5) below, an ERS-only QSE is exempt from the following requirements: </w:t>
      </w:r>
    </w:p>
    <w:p w14:paraId="1937664B" w14:textId="77777777" w:rsidR="00233DE1" w:rsidRPr="00233DE1" w:rsidRDefault="00233DE1" w:rsidP="00233DE1">
      <w:pPr>
        <w:pStyle w:val="List"/>
        <w:rPr>
          <w:szCs w:val="24"/>
        </w:rPr>
      </w:pPr>
      <w:r w:rsidRPr="00233DE1">
        <w:rPr>
          <w:szCs w:val="24"/>
        </w:rPr>
        <w:t>(a)</w:t>
      </w:r>
      <w:r w:rsidRPr="00233DE1">
        <w:rPr>
          <w:szCs w:val="24"/>
        </w:rPr>
        <w:tab/>
        <w:t>The requirement to maintain sufficient collateral under Sections 16.11.1, ERCOT Creditworthiness Requirements for Counter-Parties, and 16.11.5, Monitoring of a Counter-Party’s Creditworthiness and Credit Exposure by ERCOT;</w:t>
      </w:r>
    </w:p>
    <w:p w14:paraId="7D5C1592" w14:textId="77777777" w:rsidR="00233DE1" w:rsidRPr="00233DE1" w:rsidRDefault="00233DE1" w:rsidP="00233DE1">
      <w:pPr>
        <w:pStyle w:val="List"/>
        <w:rPr>
          <w:szCs w:val="24"/>
        </w:rPr>
      </w:pPr>
      <w:r w:rsidRPr="00233DE1">
        <w:rPr>
          <w:szCs w:val="24"/>
        </w:rPr>
        <w:lastRenderedPageBreak/>
        <w:t>(b)</w:t>
      </w:r>
      <w:r w:rsidRPr="00233DE1">
        <w:rPr>
          <w:szCs w:val="24"/>
        </w:rPr>
        <w:tab/>
        <w:t>The requirement to submit financial statements and any notice of material changes under paragraph (1) of Section 16.11.5; and</w:t>
      </w:r>
    </w:p>
    <w:p w14:paraId="50B4896F" w14:textId="77777777" w:rsidR="00233DE1" w:rsidRPr="00233DE1" w:rsidRDefault="00233DE1" w:rsidP="00233DE1">
      <w:pPr>
        <w:pStyle w:val="List"/>
        <w:rPr>
          <w:szCs w:val="24"/>
        </w:rPr>
      </w:pPr>
      <w:r w:rsidRPr="00233DE1">
        <w:rPr>
          <w:szCs w:val="24"/>
        </w:rPr>
        <w:t>(c)</w:t>
      </w:r>
      <w:r w:rsidRPr="00233DE1">
        <w:rPr>
          <w:szCs w:val="24"/>
        </w:rPr>
        <w:tab/>
        <w:t>All requirements under Section 16.16, Additional Counter-Party Qualification Requirements.</w:t>
      </w:r>
    </w:p>
    <w:p w14:paraId="390949DB" w14:textId="77777777" w:rsidR="00233DE1" w:rsidRPr="00233DE1" w:rsidRDefault="00233DE1" w:rsidP="00233DE1">
      <w:pPr>
        <w:pStyle w:val="List"/>
        <w:ind w:left="720"/>
        <w:rPr>
          <w:szCs w:val="24"/>
        </w:rPr>
      </w:pPr>
      <w:r w:rsidRPr="00233DE1">
        <w:rPr>
          <w:szCs w:val="24"/>
        </w:rPr>
        <w:t>(5)</w:t>
      </w:r>
      <w:r w:rsidRPr="00233DE1">
        <w:rPr>
          <w:szCs w:val="24"/>
        </w:rPr>
        <w:tab/>
        <w:t>If ERCOT posts an RTM True-Up Statement or RTM Resettlement Statement providing for a resettlement of any ERS Time Period, and as a result of that resettlement alone, ERCOT determines that an ERS-only QSE has a positive TPE as calculated in Section 16.11.4.1, ERCOT will require that QSE to comply with Section 16.11.5, excluding paragraph (1), until its TPE again equals zero.  If the QSE fails to pay when due any payment or Financial Security obligation owed to ERCOT, ERCOT may terminate the QSE’s ERS-only status.</w:t>
      </w:r>
    </w:p>
    <w:p w14:paraId="34632AEE" w14:textId="77777777" w:rsidR="00233DE1" w:rsidRPr="00233DE1" w:rsidRDefault="00233DE1" w:rsidP="00233DE1">
      <w:pPr>
        <w:pStyle w:val="List"/>
        <w:ind w:left="720"/>
        <w:rPr>
          <w:szCs w:val="24"/>
        </w:rPr>
      </w:pPr>
      <w:r w:rsidRPr="00233DE1">
        <w:rPr>
          <w:szCs w:val="24"/>
        </w:rPr>
        <w:t>(6)</w:t>
      </w:r>
      <w:r w:rsidRPr="00233DE1">
        <w:rPr>
          <w:szCs w:val="24"/>
        </w:rPr>
        <w:tab/>
        <w:t>ERCOT shall ensure that its systems prevent participation by ERS-only QSEs in the DAM and RTM.</w:t>
      </w:r>
    </w:p>
    <w:p w14:paraId="5B72B42A" w14:textId="563F1865" w:rsidR="00233DE1" w:rsidRPr="00233DE1" w:rsidRDefault="00233DE1" w:rsidP="00233DE1">
      <w:pPr>
        <w:pStyle w:val="List"/>
        <w:ind w:left="720"/>
        <w:rPr>
          <w:szCs w:val="24"/>
        </w:rPr>
      </w:pPr>
      <w:r w:rsidRPr="00233DE1">
        <w:rPr>
          <w:szCs w:val="24"/>
        </w:rPr>
        <w:t>(7)</w:t>
      </w:r>
      <w:r w:rsidRPr="00233DE1">
        <w:rPr>
          <w:szCs w:val="24"/>
        </w:rPr>
        <w:tab/>
      </w:r>
      <w:r w:rsidR="00B55C27" w:rsidRPr="00233DE1">
        <w:rPr>
          <w:szCs w:val="24"/>
        </w:rPr>
        <w:t>A QSE must request termination of its ERS-only status in writing.  Termination of ERS-only status will be effective only upon ERCOT’s written confirmation that the QSE has satisfied all creditworthiness requirements applicable to QSEs.</w:t>
      </w:r>
    </w:p>
    <w:p w14:paraId="5A76A8F1" w14:textId="105521EC" w:rsidR="00233DE1" w:rsidRPr="00233DE1" w:rsidRDefault="00233DE1" w:rsidP="00D9080F">
      <w:pPr>
        <w:pStyle w:val="ListParagraph"/>
        <w:spacing w:after="240" w:line="240" w:lineRule="auto"/>
        <w:ind w:hanging="720"/>
        <w:contextualSpacing w:val="0"/>
        <w:rPr>
          <w:rFonts w:ascii="Times New Roman" w:hAnsi="Times New Roman"/>
          <w:sz w:val="24"/>
          <w:szCs w:val="24"/>
        </w:rPr>
      </w:pPr>
      <w:r w:rsidRPr="00233DE1">
        <w:rPr>
          <w:rFonts w:ascii="Times New Roman" w:hAnsi="Times New Roman"/>
          <w:sz w:val="24"/>
          <w:szCs w:val="24"/>
        </w:rPr>
        <w:t>(8)</w:t>
      </w:r>
      <w:r w:rsidRPr="00233DE1">
        <w:rPr>
          <w:rFonts w:ascii="Times New Roman" w:hAnsi="Times New Roman"/>
          <w:sz w:val="24"/>
          <w:szCs w:val="24"/>
        </w:rPr>
        <w:tab/>
        <w:t xml:space="preserve">Nothing in this </w:t>
      </w:r>
      <w:r w:rsidR="00A01AC4">
        <w:rPr>
          <w:rFonts w:ascii="Times New Roman" w:hAnsi="Times New Roman"/>
          <w:sz w:val="24"/>
          <w:szCs w:val="24"/>
        </w:rPr>
        <w:t>S</w:t>
      </w:r>
      <w:r w:rsidRPr="00233DE1">
        <w:rPr>
          <w:rFonts w:ascii="Times New Roman" w:hAnsi="Times New Roman"/>
          <w:sz w:val="24"/>
          <w:szCs w:val="24"/>
        </w:rPr>
        <w:t>ection affects an ERS-only QSE’s obligation under paragraph (</w:t>
      </w:r>
      <w:r w:rsidR="000475FE">
        <w:rPr>
          <w:rFonts w:ascii="Times New Roman" w:hAnsi="Times New Roman"/>
          <w:sz w:val="24"/>
          <w:szCs w:val="24"/>
        </w:rPr>
        <w:t>6</w:t>
      </w:r>
      <w:r w:rsidRPr="00233DE1">
        <w:rPr>
          <w:rFonts w:ascii="Times New Roman" w:hAnsi="Times New Roman"/>
          <w:sz w:val="24"/>
          <w:szCs w:val="24"/>
        </w:rPr>
        <w:t>) of Section 16.2.1, Criteria for Qualification as a Qualified Scheduling Entity, to provide ERCOT notice of any material change that could adversely affect the reliability or safety of the ERCOT System.  Additionally, ERCOT may at any time require any ERS-only QSE to demonstrate that its risk management policies and practices are sufficient to ensure that it will be capable of meeting its ERS performance requirements during any ERS Standard Contract Term for which it has submitted an offer or for which it is committed to provide ERS.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3B7BC8" w14:paraId="34E8D6EF" w14:textId="77777777" w:rsidTr="005716FA">
        <w:tc>
          <w:tcPr>
            <w:tcW w:w="9332" w:type="dxa"/>
            <w:shd w:val="pct12" w:color="auto" w:fill="auto"/>
          </w:tcPr>
          <w:p w14:paraId="153BFECB" w14:textId="22591FFA" w:rsidR="003B7BC8" w:rsidRPr="0002450E" w:rsidRDefault="003B7BC8" w:rsidP="001D1B26">
            <w:pPr>
              <w:pStyle w:val="Instructions"/>
              <w:spacing w:before="120"/>
              <w:rPr>
                <w:iCs/>
              </w:rPr>
            </w:pPr>
            <w:r w:rsidRPr="0002450E">
              <w:rPr>
                <w:iCs/>
              </w:rPr>
              <w:t>[NPRR</w:t>
            </w:r>
            <w:r>
              <w:rPr>
                <w:iCs/>
              </w:rPr>
              <w:t>857</w:t>
            </w:r>
            <w:r w:rsidRPr="0002450E">
              <w:rPr>
                <w:iCs/>
              </w:rPr>
              <w:t xml:space="preserve">:  </w:t>
            </w:r>
            <w:r>
              <w:rPr>
                <w:iCs/>
              </w:rPr>
              <w:t>Insert Section 16.18 below</w:t>
            </w:r>
            <w:r w:rsidRPr="0002450E">
              <w:rPr>
                <w:iCs/>
              </w:rPr>
              <w:t xml:space="preserve"> upon system implementation</w:t>
            </w:r>
            <w:r w:rsidR="00D611BB">
              <w:rPr>
                <w:iCs/>
              </w:rPr>
              <w:t xml:space="preserve"> </w:t>
            </w:r>
            <w:r w:rsidR="002C3748">
              <w:rPr>
                <w:iCs/>
              </w:rPr>
              <w:t xml:space="preserve">and </w:t>
            </w:r>
            <w:r w:rsidR="002C3748" w:rsidRPr="00060F77">
              <w:rPr>
                <w:iCs/>
              </w:rPr>
              <w:t xml:space="preserve">satisfying the following conditions: </w:t>
            </w:r>
            <w:r w:rsidR="002C3748">
              <w:rPr>
                <w:iCs/>
              </w:rPr>
              <w:t xml:space="preserve"> </w:t>
            </w:r>
            <w:r w:rsidR="002C3748" w:rsidRPr="00060F77">
              <w:rPr>
                <w:iCs/>
              </w:rPr>
              <w:t>(1)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sidR="002C3748">
              <w:rPr>
                <w:iCs/>
              </w:rPr>
              <w:t xml:space="preserve">; </w:t>
            </w:r>
            <w:r w:rsidR="00D611BB">
              <w:rPr>
                <w:iCs/>
              </w:rPr>
              <w:t>and renumber accordingly</w:t>
            </w:r>
            <w:r w:rsidRPr="0002450E">
              <w:rPr>
                <w:iCs/>
              </w:rPr>
              <w:t xml:space="preserve">:] </w:t>
            </w:r>
          </w:p>
          <w:p w14:paraId="39AA7209" w14:textId="77777777" w:rsidR="003B7BC8" w:rsidRPr="00E55E72" w:rsidRDefault="003B7BC8" w:rsidP="003B7BC8">
            <w:pPr>
              <w:keepNext/>
              <w:tabs>
                <w:tab w:val="left" w:pos="900"/>
              </w:tabs>
              <w:spacing w:before="240" w:after="240"/>
              <w:ind w:left="900" w:hanging="900"/>
              <w:outlineLvl w:val="1"/>
              <w:rPr>
                <w:b/>
              </w:rPr>
            </w:pPr>
            <w:bookmarkStart w:id="764" w:name="_Toc10024122"/>
            <w:bookmarkStart w:id="765" w:name="_Toc11053083"/>
            <w:bookmarkStart w:id="766" w:name="_Toc34728550"/>
            <w:bookmarkStart w:id="767" w:name="_Toc44403983"/>
            <w:bookmarkStart w:id="768" w:name="_Toc54882179"/>
            <w:bookmarkStart w:id="769" w:name="_Toc54882284"/>
            <w:bookmarkStart w:id="770" w:name="_Toc85094726"/>
            <w:bookmarkStart w:id="771" w:name="_Toc91061042"/>
            <w:bookmarkStart w:id="772" w:name="_Toc134442892"/>
            <w:bookmarkStart w:id="773" w:name="_Toc146274833"/>
            <w:bookmarkStart w:id="774" w:name="_Toc148960915"/>
            <w:r w:rsidRPr="00E55E72">
              <w:rPr>
                <w:b/>
              </w:rPr>
              <w:t>16.1</w:t>
            </w:r>
            <w:r>
              <w:rPr>
                <w:b/>
              </w:rPr>
              <w:t>8</w:t>
            </w:r>
            <w:r w:rsidRPr="003B7BC8">
              <w:rPr>
                <w:b/>
              </w:rPr>
              <w:tab/>
            </w:r>
            <w:r w:rsidRPr="00E55E72">
              <w:rPr>
                <w:b/>
              </w:rPr>
              <w:t>Registration of a Direct Current Tie Operator</w:t>
            </w:r>
            <w:bookmarkEnd w:id="764"/>
            <w:bookmarkEnd w:id="765"/>
            <w:bookmarkEnd w:id="766"/>
            <w:bookmarkEnd w:id="767"/>
            <w:bookmarkEnd w:id="768"/>
            <w:bookmarkEnd w:id="769"/>
            <w:bookmarkEnd w:id="770"/>
            <w:bookmarkEnd w:id="771"/>
            <w:bookmarkEnd w:id="772"/>
            <w:bookmarkEnd w:id="773"/>
            <w:bookmarkEnd w:id="774"/>
          </w:p>
          <w:p w14:paraId="5AE59743" w14:textId="77777777" w:rsidR="003B7BC8" w:rsidRPr="008C7774" w:rsidRDefault="003B7BC8" w:rsidP="003B7BC8">
            <w:pPr>
              <w:spacing w:after="240"/>
              <w:ind w:left="720" w:hanging="720"/>
            </w:pPr>
            <w:r w:rsidRPr="00E55E72">
              <w:t>(1)</w:t>
            </w:r>
            <w:r w:rsidRPr="00E55E72">
              <w:tab/>
              <w:t xml:space="preserve">Each Entity that operates a Direct Current Tie </w:t>
            </w:r>
            <w:r>
              <w:t xml:space="preserve">(DC Tie) </w:t>
            </w:r>
            <w:r w:rsidRPr="00E55E72">
              <w:t xml:space="preserve">shall register as a Direct Current Tie Operator (DCTO) with ERCOT.  To register as a DCTO, an Entity must execute a Standard Form Market Participant Agreement (using the form provided in Section 22, Attachment A, Standard Form Market Participant Agreement), designate a DCTO Authorized Representative and contacts, confirm </w:t>
            </w:r>
            <w:r>
              <w:t>that it is either registered with ERCOT as a Transmission Service Provider (TSP) that is subject</w:t>
            </w:r>
            <w:r w:rsidRPr="00E55E72">
              <w:t xml:space="preserve"> to a Public Utility </w:t>
            </w:r>
            <w:r w:rsidRPr="00E55E72">
              <w:lastRenderedPageBreak/>
              <w:t>Commission of Texas (PUCT)-approved code of conduct or</w:t>
            </w:r>
            <w:r>
              <w:t xml:space="preserve"> is subject to</w:t>
            </w:r>
            <w:r w:rsidRPr="00E55E72">
              <w:t xml:space="preserve"> Federal Energy Regulatory Commission (FERC)-approved standards of conduct, and be capable of performing the functions of a DCTO, as applicable, as described in these Protocols.</w:t>
            </w:r>
          </w:p>
        </w:tc>
      </w:tr>
    </w:tbl>
    <w:p w14:paraId="7D0BC41E" w14:textId="7038486D" w:rsidR="005716FA" w:rsidRPr="009A08C4" w:rsidRDefault="005716FA" w:rsidP="00D611BB">
      <w:pPr>
        <w:pStyle w:val="H2"/>
        <w:spacing w:before="480"/>
      </w:pPr>
      <w:bookmarkStart w:id="775" w:name="_Toc70591679"/>
      <w:bookmarkStart w:id="776" w:name="_Toc148960916"/>
      <w:r w:rsidRPr="009A08C4">
        <w:lastRenderedPageBreak/>
        <w:t>16.1</w:t>
      </w:r>
      <w:r w:rsidR="00D611BB">
        <w:rPr>
          <w:lang w:val="en-US"/>
        </w:rPr>
        <w:t>8</w:t>
      </w:r>
      <w:r w:rsidRPr="009A08C4">
        <w:tab/>
        <w:t>Cybersecurity Incident Notification</w:t>
      </w:r>
      <w:bookmarkEnd w:id="775"/>
      <w:bookmarkEnd w:id="776"/>
    </w:p>
    <w:p w14:paraId="476FB19A" w14:textId="77777777" w:rsidR="005716FA" w:rsidRDefault="005716FA" w:rsidP="005716FA">
      <w:pPr>
        <w:pStyle w:val="BodyText"/>
        <w:ind w:left="720" w:hanging="720"/>
      </w:pPr>
      <w:r>
        <w:rPr>
          <w:lang w:eastAsia="x-none"/>
        </w:rPr>
        <w:t>(1)</w:t>
      </w:r>
      <w:r>
        <w:rPr>
          <w:lang w:eastAsia="x-none"/>
        </w:rPr>
        <w:tab/>
        <w:t xml:space="preserve">Each Market Participant </w:t>
      </w:r>
      <w:r>
        <w:t>shall designate and maintain a Cybersecurity Contact for communications with ERCOT with respect to Cybersecurity Incidents.  Registered Market Participants shall use the Notice of Change of Information form, as provided for in Section 23, Form E, Notice of Change of Information, to designate a Cybersecurity Contact, and maintain updated Cybersecurity Contact information.</w:t>
      </w:r>
    </w:p>
    <w:p w14:paraId="12236532" w14:textId="77777777" w:rsidR="00067F7E" w:rsidRDefault="00067F7E" w:rsidP="00067F7E">
      <w:pPr>
        <w:pStyle w:val="BodyText"/>
        <w:ind w:left="720" w:hanging="720"/>
      </w:pPr>
      <w:r>
        <w:t>(2)</w:t>
      </w:r>
      <w:r>
        <w:tab/>
        <w:t>As soon as practicable upon determination of a Cybersecurity Incident on a Market Participant’s</w:t>
      </w:r>
      <w:r w:rsidRPr="000C5CB3">
        <w:t xml:space="preserve"> </w:t>
      </w:r>
      <w:r w:rsidRPr="004F3B65">
        <w:t>computer network or system that interfaces with an ERCOT computer network or system</w:t>
      </w:r>
      <w:r>
        <w:t>, the Market Participant shall notify ERCOT</w:t>
      </w:r>
      <w:r w:rsidRPr="004F3B65">
        <w:t xml:space="preserve">. </w:t>
      </w:r>
    </w:p>
    <w:p w14:paraId="72EDE496" w14:textId="5DF1DD16" w:rsidR="00067F7E" w:rsidRDefault="00067F7E" w:rsidP="00067F7E">
      <w:pPr>
        <w:pStyle w:val="BodyText"/>
        <w:ind w:left="720" w:hanging="720"/>
      </w:pPr>
      <w:r>
        <w:t>(3)</w:t>
      </w:r>
      <w:r>
        <w:tab/>
        <w:t xml:space="preserve">For purposes of this section, in the event a Market Participant delegates authority to an agent, the Market Participant shall ensure that the agent is obligated to notify the Market Participant, as soon as practicable, upon the agent’s discovery of a Cybersecurity Incident on the agent’s computer network or system that interfaces with an ERCOT computer network or system. </w:t>
      </w:r>
    </w:p>
    <w:p w14:paraId="2B673BE4" w14:textId="22BB73C7" w:rsidR="00067F7E" w:rsidRDefault="00067F7E" w:rsidP="00067F7E">
      <w:pPr>
        <w:pStyle w:val="BodyText"/>
        <w:ind w:left="720" w:hanging="720"/>
      </w:pPr>
      <w:r>
        <w:t>(4)</w:t>
      </w:r>
      <w:r>
        <w:tab/>
      </w:r>
      <w:r w:rsidRPr="004F3B65">
        <w:t xml:space="preserve">A Market Participant shall notify ERCOT, as soon as practicable, upon </w:t>
      </w:r>
      <w:r>
        <w:t>the agent’s notification to the Market Participant</w:t>
      </w:r>
      <w:r w:rsidRPr="004F3B65">
        <w:t xml:space="preserve"> of a Cybersecurity Incident on </w:t>
      </w:r>
      <w:r>
        <w:t>the</w:t>
      </w:r>
      <w:r w:rsidRPr="004F3B65">
        <w:t xml:space="preserve"> agent’s computer network or system that interfaces with an ERCOT computer network or system for the purpose of transacting with ERCOT on behalf of the Market Participant.</w:t>
      </w:r>
      <w:r>
        <w:t xml:space="preserve">  If a Market Participant’s agent is also registered with ERCOT as a Market Participant, only the agent is required to report a Cybersecurity Incident on its computer network or system that interfaces with an ERCOT computer network or system to ERCOT.  The failure of an agent to notify the Market Participant of a Cybersecurity Incident shall not constitute a violation of this section if the Market Participant can demonstrate that a reporting mandate exists in a contract between the Market Participant and its agent.</w:t>
      </w:r>
    </w:p>
    <w:p w14:paraId="327154CC" w14:textId="77777777" w:rsidR="00067F7E" w:rsidRDefault="00067F7E" w:rsidP="00067F7E">
      <w:pPr>
        <w:pStyle w:val="BodyText"/>
        <w:ind w:left="720" w:hanging="720"/>
        <w:rPr>
          <w:lang w:eastAsia="x-none"/>
        </w:rPr>
      </w:pPr>
      <w:r>
        <w:rPr>
          <w:lang w:eastAsia="x-none"/>
        </w:rPr>
        <w:t>(5)</w:t>
      </w:r>
      <w:r>
        <w:rPr>
          <w:lang w:eastAsia="x-none"/>
        </w:rPr>
        <w:tab/>
        <w:t>In order to notify ERCOT of a Cybersecurity Incident, Market Participants shall submit a Notice of Cybersecurity Incident</w:t>
      </w:r>
      <w:r w:rsidDel="00AC3DDC">
        <w:rPr>
          <w:lang w:eastAsia="x-none"/>
        </w:rPr>
        <w:t xml:space="preserve"> </w:t>
      </w:r>
      <w:r>
        <w:rPr>
          <w:lang w:eastAsia="x-none"/>
        </w:rPr>
        <w:t xml:space="preserve">(Section 23, Form O, Notice of Cybersecurity Incident) to </w:t>
      </w:r>
      <w:hyperlink r:id="rId22" w:history="1">
        <w:r w:rsidRPr="00574AB5">
          <w:rPr>
            <w:rStyle w:val="Hyperlink"/>
            <w:lang w:eastAsia="x-none"/>
          </w:rPr>
          <w:t>NCSI@ercot.com</w:t>
        </w:r>
      </w:hyperlink>
      <w:r>
        <w:rPr>
          <w:lang w:eastAsia="x-none"/>
        </w:rPr>
        <w:t>.  If, as a result of the Cybersecurity Incident, a Market Participant is unable to securely send the Notice of Cybersecurity Incident</w:t>
      </w:r>
      <w:r w:rsidDel="00AC3DDC">
        <w:rPr>
          <w:lang w:eastAsia="x-none"/>
        </w:rPr>
        <w:t xml:space="preserve"> </w:t>
      </w:r>
      <w:r>
        <w:rPr>
          <w:lang w:eastAsia="x-none"/>
        </w:rPr>
        <w:t xml:space="preserve">to ERCOT, the Market Participant shall call the ERCOT HelpDesk </w:t>
      </w:r>
      <w:r w:rsidRPr="006C6BC1">
        <w:rPr>
          <w:lang w:eastAsia="x-none"/>
        </w:rPr>
        <w:t>at (512) 248-6800</w:t>
      </w:r>
      <w:r>
        <w:rPr>
          <w:lang w:eastAsia="x-none"/>
        </w:rPr>
        <w:t xml:space="preserve"> and/or its Client Service Representative to request a secure means for sending the Notice of Cybersecurity Incident to ERCOT.</w:t>
      </w:r>
    </w:p>
    <w:p w14:paraId="40CEEE13" w14:textId="77777777" w:rsidR="00067F7E" w:rsidRDefault="00067F7E" w:rsidP="00067F7E">
      <w:pPr>
        <w:pStyle w:val="BodyText"/>
        <w:ind w:left="1440" w:hanging="720"/>
        <w:rPr>
          <w:lang w:eastAsia="x-none"/>
        </w:rPr>
      </w:pPr>
      <w:r>
        <w:rPr>
          <w:lang w:eastAsia="x-none"/>
        </w:rPr>
        <w:t>(a)</w:t>
      </w:r>
      <w:r>
        <w:rPr>
          <w:lang w:eastAsia="x-none"/>
        </w:rPr>
        <w:tab/>
        <w:t xml:space="preserve">A Market Participant </w:t>
      </w:r>
      <w:r w:rsidRPr="002031AC">
        <w:rPr>
          <w:lang w:eastAsia="x-none"/>
        </w:rPr>
        <w:t xml:space="preserve">may designate a temporary </w:t>
      </w:r>
      <w:r>
        <w:rPr>
          <w:lang w:eastAsia="x-none"/>
        </w:rPr>
        <w:t>cybersecurity c</w:t>
      </w:r>
      <w:r w:rsidRPr="002031AC">
        <w:rPr>
          <w:lang w:eastAsia="x-none"/>
        </w:rPr>
        <w:t xml:space="preserve">ontact for a particular </w:t>
      </w:r>
      <w:r>
        <w:rPr>
          <w:lang w:eastAsia="x-none"/>
        </w:rPr>
        <w:t>Cybersecurity Incident</w:t>
      </w:r>
      <w:r w:rsidDel="00AC3DDC">
        <w:rPr>
          <w:lang w:eastAsia="x-none"/>
        </w:rPr>
        <w:t xml:space="preserve"> </w:t>
      </w:r>
      <w:r w:rsidRPr="002031AC">
        <w:rPr>
          <w:lang w:eastAsia="x-none"/>
        </w:rPr>
        <w:t xml:space="preserve">by </w:t>
      </w:r>
      <w:r>
        <w:rPr>
          <w:lang w:eastAsia="x-none"/>
        </w:rPr>
        <w:t>providing contact information for such individual in the Notice of Cybersecurity Incident form submitted to ERCOT.</w:t>
      </w:r>
      <w:r w:rsidRPr="002031AC">
        <w:rPr>
          <w:lang w:eastAsia="x-none"/>
        </w:rPr>
        <w:t xml:space="preserve"> </w:t>
      </w:r>
      <w:r>
        <w:rPr>
          <w:lang w:eastAsia="x-none"/>
        </w:rPr>
        <w:t xml:space="preserve">Should a Market Participant designate a temporary cybersecurity contact in its </w:t>
      </w:r>
      <w:r>
        <w:rPr>
          <w:lang w:eastAsia="x-none"/>
        </w:rPr>
        <w:lastRenderedPageBreak/>
        <w:t xml:space="preserve">Notice of Cybersecurity Incident, </w:t>
      </w:r>
      <w:r w:rsidRPr="002031AC">
        <w:rPr>
          <w:lang w:eastAsia="x-none"/>
        </w:rPr>
        <w:t xml:space="preserve">ERCOT will direct communications </w:t>
      </w:r>
      <w:r>
        <w:rPr>
          <w:lang w:eastAsia="x-none"/>
        </w:rPr>
        <w:t>concerning that particular Cybersecurity Incident</w:t>
      </w:r>
      <w:r w:rsidDel="00AC3DDC">
        <w:rPr>
          <w:lang w:eastAsia="x-none"/>
        </w:rPr>
        <w:t xml:space="preserve"> </w:t>
      </w:r>
      <w:r>
        <w:rPr>
          <w:lang w:eastAsia="x-none"/>
        </w:rPr>
        <w:t>to the te</w:t>
      </w:r>
      <w:r w:rsidRPr="002031AC">
        <w:rPr>
          <w:lang w:eastAsia="x-none"/>
        </w:rPr>
        <w:t xml:space="preserve">mporary </w:t>
      </w:r>
      <w:r>
        <w:rPr>
          <w:lang w:eastAsia="x-none"/>
        </w:rPr>
        <w:t>cybersecurity c</w:t>
      </w:r>
      <w:r w:rsidRPr="002031AC">
        <w:rPr>
          <w:lang w:eastAsia="x-none"/>
        </w:rPr>
        <w:t>ontact.</w:t>
      </w:r>
    </w:p>
    <w:p w14:paraId="5D90322E" w14:textId="77777777" w:rsidR="00067F7E" w:rsidRDefault="00067F7E" w:rsidP="00067F7E">
      <w:pPr>
        <w:pStyle w:val="BodyText"/>
        <w:ind w:left="1440" w:hanging="720"/>
        <w:rPr>
          <w:lang w:eastAsia="x-none"/>
        </w:rPr>
      </w:pPr>
      <w:r>
        <w:t>(b)</w:t>
      </w:r>
      <w:r>
        <w:tab/>
        <w:t>Following initial notification, Market Participant shall provide ERCOT with updated information concerning the Cybersecurity</w:t>
      </w:r>
      <w:r>
        <w:rPr>
          <w:lang w:eastAsia="x-none"/>
        </w:rPr>
        <w:t xml:space="preserve"> Incident</w:t>
      </w:r>
      <w:r w:rsidDel="00AC3DDC">
        <w:t xml:space="preserve"> </w:t>
      </w:r>
      <w:r>
        <w:t>as it becomes available, and upon ERCOT’s request, until ERCOT provides notice to Market Participant that information regarding the Cybersecurity</w:t>
      </w:r>
      <w:r>
        <w:rPr>
          <w:lang w:eastAsia="x-none"/>
        </w:rPr>
        <w:t xml:space="preserve"> Incident</w:t>
      </w:r>
      <w:r w:rsidDel="00AC3DDC">
        <w:t xml:space="preserve"> </w:t>
      </w:r>
      <w:r>
        <w:t xml:space="preserve">is no longer needed.  To the extent practicable, the </w:t>
      </w:r>
      <w:r>
        <w:rPr>
          <w:lang w:eastAsia="x-none"/>
        </w:rPr>
        <w:t>Notice of Cybersecurity Incident</w:t>
      </w:r>
      <w:r w:rsidDel="00AC3DDC">
        <w:rPr>
          <w:lang w:eastAsia="x-none"/>
        </w:rPr>
        <w:t xml:space="preserve"> </w:t>
      </w:r>
      <w:r>
        <w:rPr>
          <w:lang w:eastAsia="x-none"/>
        </w:rPr>
        <w:t>form shall be used to provide ERCOT with updated information.</w:t>
      </w:r>
    </w:p>
    <w:p w14:paraId="22181D29" w14:textId="0B58E2AA" w:rsidR="00067F7E" w:rsidRDefault="00067F7E" w:rsidP="00067F7E">
      <w:pPr>
        <w:pStyle w:val="BodyText"/>
        <w:ind w:left="720" w:hanging="720"/>
      </w:pPr>
      <w:r w:rsidRPr="00E25D10">
        <w:t>(</w:t>
      </w:r>
      <w:r>
        <w:t>6</w:t>
      </w:r>
      <w:r w:rsidRPr="00E25D10">
        <w:t>)</w:t>
      </w:r>
      <w:r w:rsidRPr="00E25D10">
        <w:tab/>
        <w:t xml:space="preserve">In the event ERCOT determines that a Cybersecurity Incident </w:t>
      </w:r>
      <w:r>
        <w:t>may</w:t>
      </w:r>
      <w:r w:rsidRPr="00E25D10">
        <w:t xml:space="preserve"> </w:t>
      </w:r>
      <w:r>
        <w:t xml:space="preserve">materially </w:t>
      </w:r>
      <w:r w:rsidRPr="00E25D10">
        <w:t xml:space="preserve">impact computer networks or systems of ERCOT and/or Market Participants, ERCOT </w:t>
      </w:r>
      <w:r>
        <w:t>shall</w:t>
      </w:r>
      <w:r w:rsidRPr="00E25D10">
        <w:t xml:space="preserve"> issue a Market </w:t>
      </w:r>
      <w:r w:rsidRPr="0081684A">
        <w:rPr>
          <w:szCs w:val="24"/>
        </w:rPr>
        <w:t xml:space="preserve">Notice to all Market Participants with general information concerning the Cybersecurity Incident.  ERCOT may utilize the information contained in a Notice of </w:t>
      </w:r>
      <w:r w:rsidRPr="007D280D">
        <w:rPr>
          <w:szCs w:val="24"/>
        </w:rPr>
        <w:t xml:space="preserve">Cybersecurity Incident, except that in no event shall the Market Notice contain information identifiable to a specific Market Participant or </w:t>
      </w:r>
      <w:r w:rsidR="00E32319">
        <w:rPr>
          <w:szCs w:val="24"/>
        </w:rPr>
        <w:t xml:space="preserve">ERCOT </w:t>
      </w:r>
      <w:r w:rsidRPr="007D280D">
        <w:rPr>
          <w:szCs w:val="24"/>
        </w:rPr>
        <w:t>Critical Energy Infrastructure Information (</w:t>
      </w:r>
      <w:r w:rsidR="00E32319">
        <w:rPr>
          <w:szCs w:val="24"/>
        </w:rPr>
        <w:t>E</w:t>
      </w:r>
      <w:r w:rsidRPr="007D280D">
        <w:rPr>
          <w:szCs w:val="24"/>
        </w:rPr>
        <w:t>CEII).</w:t>
      </w:r>
    </w:p>
    <w:p w14:paraId="39FD7E6F" w14:textId="77777777" w:rsidR="006C277F" w:rsidRPr="006C277F" w:rsidRDefault="006C277F" w:rsidP="00974AFC">
      <w:pPr>
        <w:pStyle w:val="H2"/>
        <w:rPr>
          <w:b w:val="0"/>
          <w:bCs/>
          <w:snapToGrid w:val="0"/>
        </w:rPr>
      </w:pPr>
      <w:bookmarkStart w:id="777" w:name="_Toc148960917"/>
      <w:r w:rsidRPr="006C277F">
        <w:rPr>
          <w:bCs/>
          <w:snapToGrid w:val="0"/>
        </w:rPr>
        <w:t>16.19</w:t>
      </w:r>
      <w:r w:rsidRPr="006C277F">
        <w:rPr>
          <w:bCs/>
          <w:snapToGrid w:val="0"/>
        </w:rPr>
        <w:tab/>
      </w:r>
      <w:r w:rsidRPr="00974AFC">
        <w:t>Designation</w:t>
      </w:r>
      <w:r w:rsidRPr="006C277F">
        <w:rPr>
          <w:bCs/>
          <w:snapToGrid w:val="0"/>
        </w:rPr>
        <w:t xml:space="preserve"> of Transmission Operators</w:t>
      </w:r>
      <w:bookmarkEnd w:id="777"/>
      <w:r w:rsidRPr="006C277F">
        <w:rPr>
          <w:bCs/>
          <w:snapToGrid w:val="0"/>
        </w:rPr>
        <w:t xml:space="preserve"> </w:t>
      </w:r>
    </w:p>
    <w:p w14:paraId="4CE82F5B" w14:textId="0E564F23" w:rsidR="006C277F" w:rsidRPr="006C277F" w:rsidRDefault="006C277F" w:rsidP="006C277F">
      <w:pPr>
        <w:spacing w:after="240"/>
        <w:ind w:left="720" w:hanging="720"/>
        <w:rPr>
          <w:iCs/>
          <w:color w:val="000000"/>
          <w:szCs w:val="24"/>
        </w:rPr>
      </w:pPr>
      <w:r w:rsidRPr="006C277F">
        <w:rPr>
          <w:iCs/>
          <w:color w:val="000000"/>
          <w:szCs w:val="24"/>
        </w:rPr>
        <w:t>(1)</w:t>
      </w:r>
      <w:r w:rsidRPr="006C277F">
        <w:rPr>
          <w:iCs/>
          <w:color w:val="000000"/>
          <w:szCs w:val="24"/>
        </w:rPr>
        <w:tab/>
        <w:t>Each Transmission Service Provider (TSP) shall either register as a Transmission Operator (TO) or designate one or more other</w:t>
      </w:r>
      <w:r w:rsidR="00087B14" w:rsidRPr="006C277F">
        <w:rPr>
          <w:iCs/>
          <w:color w:val="000000"/>
          <w:szCs w:val="24"/>
        </w:rPr>
        <w:t xml:space="preserve"> </w:t>
      </w:r>
      <w:r w:rsidR="00087B14">
        <w:rPr>
          <w:iCs/>
          <w:color w:val="000000"/>
          <w:szCs w:val="24"/>
        </w:rPr>
        <w:t>Transmission and/or Distribution Service Providers (</w:t>
      </w:r>
      <w:r w:rsidR="00087B14" w:rsidRPr="006C277F">
        <w:rPr>
          <w:iCs/>
          <w:color w:val="000000"/>
          <w:szCs w:val="24"/>
        </w:rPr>
        <w:t>TDSPs</w:t>
      </w:r>
      <w:r w:rsidR="00087B14">
        <w:rPr>
          <w:iCs/>
          <w:color w:val="000000"/>
          <w:szCs w:val="24"/>
        </w:rPr>
        <w:t>)</w:t>
      </w:r>
      <w:r w:rsidR="00087B14" w:rsidRPr="006C277F">
        <w:rPr>
          <w:iCs/>
          <w:color w:val="000000"/>
          <w:szCs w:val="24"/>
        </w:rPr>
        <w:t xml:space="preserve"> </w:t>
      </w:r>
      <w:r w:rsidRPr="006C277F">
        <w:rPr>
          <w:iCs/>
          <w:color w:val="000000"/>
          <w:szCs w:val="24"/>
        </w:rPr>
        <w:t xml:space="preserve">as its TO for each Transmission Facility owned by the TSP.  Each DSP shall either register as a TO or designate another TDSP as its TO.  A TDSP shall designate another Entity as its TO only with the written consent of that other Entity.  </w:t>
      </w:r>
    </w:p>
    <w:p w14:paraId="026D9765" w14:textId="77777777" w:rsidR="006C277F" w:rsidRPr="006C277F" w:rsidRDefault="006C277F" w:rsidP="006C277F">
      <w:pPr>
        <w:spacing w:after="240"/>
        <w:ind w:left="720" w:hanging="720"/>
        <w:rPr>
          <w:iCs/>
          <w:color w:val="000000"/>
          <w:szCs w:val="24"/>
        </w:rPr>
      </w:pPr>
      <w:r w:rsidRPr="006C277F">
        <w:rPr>
          <w:iCs/>
          <w:color w:val="000000"/>
          <w:szCs w:val="24"/>
        </w:rPr>
        <w:t>(2)</w:t>
      </w:r>
      <w:r w:rsidRPr="006C277F">
        <w:rPr>
          <w:iCs/>
          <w:color w:val="000000"/>
          <w:szCs w:val="24"/>
        </w:rPr>
        <w:tab/>
        <w:t xml:space="preserve">A TO shall have full authority to act on behalf of the designating TDSP in the performance of all TO responsibilities provided in the ERCOT Protocols or Other Binding Documents, including effectuating any Load-shed that may be necessary during any Energy Emergency Alert (EEA) event, Under-Frequency Load Shed (UFLS) event, or Under-Voltage Load Shed (UVLS) event.  </w:t>
      </w:r>
    </w:p>
    <w:p w14:paraId="4155AF4B" w14:textId="127CA0CD" w:rsidR="006C277F" w:rsidRPr="006C277F" w:rsidRDefault="006C277F" w:rsidP="006C277F">
      <w:pPr>
        <w:spacing w:after="240"/>
        <w:ind w:left="720" w:hanging="720"/>
        <w:rPr>
          <w:iCs/>
          <w:color w:val="000000"/>
          <w:szCs w:val="24"/>
        </w:rPr>
      </w:pPr>
      <w:r w:rsidRPr="006C277F">
        <w:rPr>
          <w:iCs/>
          <w:color w:val="000000"/>
          <w:szCs w:val="24"/>
        </w:rPr>
        <w:t>(3)</w:t>
      </w:r>
      <w:r w:rsidRPr="006C277F">
        <w:rPr>
          <w:iCs/>
          <w:color w:val="000000"/>
          <w:szCs w:val="24"/>
        </w:rPr>
        <w:tab/>
        <w:t xml:space="preserve">To qualify for designation as a TO, a TDSP shall be connected to the ERCOT Wide Area Network (WAN) and maintain </w:t>
      </w:r>
      <w:r w:rsidR="00747E08" w:rsidRPr="000021D0">
        <w:t>24-hour, seven-day-per-</w:t>
      </w:r>
      <w:r w:rsidR="00747E08">
        <w:t>week</w:t>
      </w:r>
      <w:r w:rsidRPr="006C277F">
        <w:rPr>
          <w:iCs/>
          <w:color w:val="000000"/>
          <w:szCs w:val="24"/>
        </w:rPr>
        <w:t xml:space="preserve"> operations and Hotline communications with ERCOT. </w:t>
      </w:r>
      <w:r w:rsidR="00747E08">
        <w:rPr>
          <w:iCs/>
          <w:color w:val="000000"/>
          <w:szCs w:val="24"/>
        </w:rPr>
        <w:t xml:space="preserve"> </w:t>
      </w:r>
      <w:r w:rsidR="00747E08">
        <w:rPr>
          <w:iCs/>
          <w:color w:val="000000"/>
        </w:rPr>
        <w:t>A TO has a responsibility to answer each TO Hotline call.</w:t>
      </w:r>
    </w:p>
    <w:p w14:paraId="0F32B388" w14:textId="77777777" w:rsidR="006C277F" w:rsidRPr="006C277F" w:rsidRDefault="006C277F" w:rsidP="006C277F">
      <w:pPr>
        <w:spacing w:after="240"/>
        <w:ind w:left="720" w:hanging="720"/>
        <w:rPr>
          <w:iCs/>
          <w:color w:val="000000"/>
          <w:szCs w:val="24"/>
        </w:rPr>
      </w:pPr>
      <w:r w:rsidRPr="006C277F">
        <w:rPr>
          <w:iCs/>
          <w:color w:val="000000"/>
          <w:szCs w:val="24"/>
        </w:rPr>
        <w:t>(4)</w:t>
      </w:r>
      <w:r w:rsidRPr="006C277F">
        <w:rPr>
          <w:iCs/>
          <w:color w:val="000000"/>
          <w:szCs w:val="24"/>
        </w:rPr>
        <w:tab/>
        <w:t xml:space="preserve">A TSP shall enter a TO designation for each Transmission Facility it owns in the Network Operations Model.  Any designation or change to that designation shall be submitted to ERCOT within the time required for submitting physical changes to the Network Operations Model specified in paragraph (3) of Section 3.10.1, Time Line for Network Operations Model Changes.  </w:t>
      </w:r>
      <w:r w:rsidRPr="00087B14">
        <w:rPr>
          <w:szCs w:val="24"/>
        </w:rPr>
        <w:t xml:space="preserve">Any TSP designated as a TO for another TSP’s facilities may unilaterally reject or resign from that designation </w:t>
      </w:r>
      <w:r w:rsidRPr="006C277F">
        <w:rPr>
          <w:iCs/>
          <w:color w:val="000000"/>
          <w:szCs w:val="24"/>
        </w:rPr>
        <w:t xml:space="preserve">by providing written notice to the designating TSP and the TSP shall promptly update the TO designation in the Network Operations Model for the affected Transmission Facility.  </w:t>
      </w:r>
    </w:p>
    <w:p w14:paraId="271E2660" w14:textId="4EE450FC" w:rsidR="006C277F" w:rsidRPr="006C277F" w:rsidRDefault="006C277F" w:rsidP="006C277F">
      <w:pPr>
        <w:spacing w:after="240"/>
        <w:ind w:left="720" w:hanging="720"/>
        <w:rPr>
          <w:iCs/>
          <w:color w:val="000000"/>
          <w:szCs w:val="24"/>
        </w:rPr>
      </w:pPr>
      <w:r w:rsidRPr="006C277F">
        <w:rPr>
          <w:iCs/>
          <w:color w:val="000000"/>
          <w:szCs w:val="24"/>
        </w:rPr>
        <w:lastRenderedPageBreak/>
        <w:t>(5)</w:t>
      </w:r>
      <w:r w:rsidRPr="006C277F">
        <w:rPr>
          <w:iCs/>
          <w:color w:val="000000"/>
          <w:szCs w:val="24"/>
        </w:rPr>
        <w:tab/>
        <w:t xml:space="preserve">ERCOT shall post a Transmission Operator Designation Form on the ERCOT website.  </w:t>
      </w:r>
      <w:r w:rsidR="00087B14" w:rsidRPr="006C277F">
        <w:rPr>
          <w:iCs/>
          <w:color w:val="000000"/>
          <w:szCs w:val="24"/>
        </w:rPr>
        <w:t xml:space="preserve">A </w:t>
      </w:r>
      <w:r w:rsidR="00087B14">
        <w:rPr>
          <w:iCs/>
          <w:color w:val="000000"/>
          <w:szCs w:val="24"/>
        </w:rPr>
        <w:t>Distribution Service Provider (</w:t>
      </w:r>
      <w:r w:rsidR="00087B14" w:rsidRPr="006C277F">
        <w:rPr>
          <w:iCs/>
          <w:color w:val="000000"/>
          <w:szCs w:val="24"/>
        </w:rPr>
        <w:t>DSP</w:t>
      </w:r>
      <w:r w:rsidR="00087B14">
        <w:rPr>
          <w:iCs/>
          <w:color w:val="000000"/>
          <w:szCs w:val="24"/>
        </w:rPr>
        <w:t>)</w:t>
      </w:r>
      <w:r w:rsidR="00087B14" w:rsidRPr="006C277F">
        <w:rPr>
          <w:iCs/>
          <w:color w:val="000000"/>
          <w:szCs w:val="24"/>
        </w:rPr>
        <w:t xml:space="preserve"> </w:t>
      </w:r>
      <w:r w:rsidRPr="006C277F">
        <w:rPr>
          <w:iCs/>
          <w:color w:val="000000"/>
          <w:szCs w:val="24"/>
        </w:rPr>
        <w:t xml:space="preserve">may designate a TO or make any change to its designation, including revoking a TO designation, by properly completing the Transmission Operator Designation Form and submitting it via email to ERCOT with a copy provided to the TDSP designated as TO.  Any such change shall be submitted to ERCOT at least 30 days before the change becomes effective. </w:t>
      </w:r>
      <w:r>
        <w:rPr>
          <w:iCs/>
          <w:color w:val="000000"/>
          <w:szCs w:val="24"/>
        </w:rPr>
        <w:t xml:space="preserve"> </w:t>
      </w:r>
      <w:r w:rsidRPr="006C277F">
        <w:rPr>
          <w:iCs/>
          <w:color w:val="000000"/>
          <w:szCs w:val="24"/>
        </w:rPr>
        <w:t xml:space="preserve">The designation of a TO shall not be effective unless the Transmission Operator Designation Form has been signed by an officer or other Authorized Representative of the designating DSP and the TDSP designated as TO.  </w:t>
      </w:r>
    </w:p>
    <w:p w14:paraId="4AB2ECAB" w14:textId="77777777" w:rsidR="006C277F" w:rsidRPr="006C277F" w:rsidRDefault="006C277F" w:rsidP="006C277F">
      <w:pPr>
        <w:spacing w:after="240"/>
        <w:ind w:left="720" w:hanging="720"/>
        <w:rPr>
          <w:iCs/>
          <w:color w:val="000000"/>
          <w:szCs w:val="24"/>
        </w:rPr>
      </w:pPr>
      <w:r w:rsidRPr="006C277F">
        <w:rPr>
          <w:iCs/>
          <w:color w:val="000000"/>
          <w:szCs w:val="24"/>
        </w:rPr>
        <w:t>(6)</w:t>
      </w:r>
      <w:r w:rsidRPr="006C277F">
        <w:rPr>
          <w:iCs/>
          <w:color w:val="000000"/>
          <w:szCs w:val="24"/>
        </w:rPr>
        <w:tab/>
        <w:t xml:space="preserve">A TO for a DSP may unilaterally resign from a designation as TO by submitting a properly completed Transmission Operator Designation Form to ERCOT reflecting the TO’s resignation of its TO status at least 30 days before the resignation becomes effective.  The resigning TO shall provide simultaneous notice of the resignation to the DSP it represents.   </w:t>
      </w:r>
    </w:p>
    <w:p w14:paraId="4D2E3403" w14:textId="77777777" w:rsidR="006C277F" w:rsidRPr="006C277F" w:rsidRDefault="006C277F" w:rsidP="006C277F">
      <w:pPr>
        <w:spacing w:after="240"/>
        <w:ind w:left="720" w:hanging="720"/>
        <w:rPr>
          <w:iCs/>
          <w:color w:val="000000"/>
          <w:szCs w:val="24"/>
        </w:rPr>
      </w:pPr>
      <w:r w:rsidRPr="006C277F">
        <w:rPr>
          <w:iCs/>
          <w:color w:val="000000"/>
          <w:szCs w:val="24"/>
        </w:rPr>
        <w:t>(7)</w:t>
      </w:r>
      <w:r w:rsidRPr="006C277F">
        <w:rPr>
          <w:iCs/>
          <w:color w:val="000000"/>
          <w:szCs w:val="24"/>
        </w:rPr>
        <w:tab/>
        <w:t xml:space="preserve">On the effective date of a TO’s resignation, the DSP previously represented by the resigning TO shall be deemed its own TO and shall assume all TO responsibilities unless and until it has properly designated another TDSP as its TO.   </w:t>
      </w:r>
    </w:p>
    <w:tbl>
      <w:tblPr>
        <w:tblW w:w="0" w:type="auto"/>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Look w:val="01E0" w:firstRow="1" w:lastRow="1" w:firstColumn="1" w:lastColumn="1" w:noHBand="0" w:noVBand="0"/>
      </w:tblPr>
      <w:tblGrid>
        <w:gridCol w:w="9350"/>
      </w:tblGrid>
      <w:tr w:rsidR="006C277F" w:rsidRPr="006C277F" w14:paraId="28B6F8D7" w14:textId="77777777" w:rsidTr="006C277F">
        <w:trPr>
          <w:trHeight w:val="476"/>
        </w:trPr>
        <w:tc>
          <w:tcPr>
            <w:tcW w:w="9350" w:type="dxa"/>
            <w:tcBorders>
              <w:top w:val="single" w:sz="4" w:space="0" w:color="auto"/>
              <w:bottom w:val="single" w:sz="4" w:space="0" w:color="auto"/>
            </w:tcBorders>
            <w:shd w:val="clear" w:color="auto" w:fill="E0E0E0"/>
          </w:tcPr>
          <w:p w14:paraId="6A56C7DD" w14:textId="67BB3A5F" w:rsidR="006C277F" w:rsidRPr="006C277F" w:rsidRDefault="006C277F" w:rsidP="006C277F">
            <w:pPr>
              <w:spacing w:before="120" w:after="240"/>
              <w:rPr>
                <w:b/>
                <w:i/>
                <w:iCs/>
                <w:color w:val="000000"/>
                <w:szCs w:val="24"/>
              </w:rPr>
            </w:pPr>
            <w:r w:rsidRPr="006C277F">
              <w:rPr>
                <w:b/>
                <w:i/>
                <w:iCs/>
                <w:color w:val="000000"/>
                <w:szCs w:val="24"/>
              </w:rPr>
              <w:t>[NPRR1045:  Replace Section 16.19 above with the following upon system implementation of NPRR857:]</w:t>
            </w:r>
          </w:p>
          <w:p w14:paraId="1E3E5423" w14:textId="77777777" w:rsidR="006C277F" w:rsidRPr="006C277F" w:rsidRDefault="006C277F" w:rsidP="00974AFC">
            <w:pPr>
              <w:pStyle w:val="H2"/>
              <w:rPr>
                <w:b w:val="0"/>
                <w:bCs/>
                <w:snapToGrid w:val="0"/>
              </w:rPr>
            </w:pPr>
            <w:bookmarkStart w:id="778" w:name="_Toc70591681"/>
            <w:bookmarkStart w:id="779" w:name="_Toc91061045"/>
            <w:bookmarkStart w:id="780" w:name="_Toc134442895"/>
            <w:bookmarkStart w:id="781" w:name="_Toc146274836"/>
            <w:bookmarkStart w:id="782" w:name="_Toc148960918"/>
            <w:r w:rsidRPr="006C277F">
              <w:rPr>
                <w:bCs/>
                <w:snapToGrid w:val="0"/>
              </w:rPr>
              <w:t>16.19</w:t>
            </w:r>
            <w:r w:rsidRPr="006C277F">
              <w:rPr>
                <w:bCs/>
                <w:snapToGrid w:val="0"/>
              </w:rPr>
              <w:tab/>
              <w:t>Designation of Transmission Operators</w:t>
            </w:r>
            <w:bookmarkEnd w:id="778"/>
            <w:bookmarkEnd w:id="779"/>
            <w:bookmarkEnd w:id="780"/>
            <w:bookmarkEnd w:id="781"/>
            <w:bookmarkEnd w:id="782"/>
            <w:r w:rsidRPr="006C277F">
              <w:rPr>
                <w:bCs/>
                <w:snapToGrid w:val="0"/>
              </w:rPr>
              <w:t xml:space="preserve"> </w:t>
            </w:r>
          </w:p>
          <w:p w14:paraId="582E8267" w14:textId="2DC9F832" w:rsidR="006C277F" w:rsidRPr="006C277F" w:rsidRDefault="006C277F" w:rsidP="006C277F">
            <w:pPr>
              <w:spacing w:after="240"/>
              <w:ind w:left="720" w:hanging="720"/>
              <w:rPr>
                <w:iCs/>
                <w:color w:val="000000"/>
                <w:szCs w:val="24"/>
              </w:rPr>
            </w:pPr>
            <w:r w:rsidRPr="006C277F">
              <w:rPr>
                <w:iCs/>
                <w:color w:val="000000"/>
                <w:szCs w:val="24"/>
              </w:rPr>
              <w:t>(1)</w:t>
            </w:r>
            <w:r w:rsidRPr="006C277F">
              <w:rPr>
                <w:iCs/>
                <w:color w:val="000000"/>
                <w:szCs w:val="24"/>
              </w:rPr>
              <w:tab/>
              <w:t xml:space="preserve">Each Transmission Service Provider (TSP) </w:t>
            </w:r>
            <w:r w:rsidR="00087B14" w:rsidRPr="006C277F">
              <w:rPr>
                <w:iCs/>
                <w:color w:val="000000"/>
                <w:szCs w:val="24"/>
              </w:rPr>
              <w:t xml:space="preserve">shall either register as a Transmission Operator (TO) or designate one or more other </w:t>
            </w:r>
            <w:r w:rsidR="00087B14">
              <w:rPr>
                <w:iCs/>
                <w:color w:val="000000"/>
                <w:szCs w:val="24"/>
              </w:rPr>
              <w:t>Transmission and/or Distribution Service Providers (</w:t>
            </w:r>
            <w:r w:rsidR="00087B14" w:rsidRPr="006C277F">
              <w:rPr>
                <w:iCs/>
                <w:color w:val="000000"/>
                <w:szCs w:val="24"/>
              </w:rPr>
              <w:t>TDSPs</w:t>
            </w:r>
            <w:r w:rsidR="00087B14">
              <w:rPr>
                <w:iCs/>
                <w:color w:val="000000"/>
                <w:szCs w:val="24"/>
              </w:rPr>
              <w:t>)</w:t>
            </w:r>
            <w:r w:rsidR="00087B14" w:rsidRPr="006C277F">
              <w:rPr>
                <w:iCs/>
                <w:color w:val="000000"/>
                <w:szCs w:val="24"/>
              </w:rPr>
              <w:t xml:space="preserve"> as its TO for each Transmission Facility owned by the TSP.  Each Direct Current Tie Operator (DCTO) shall designate a TDSP as its TO for each DC Tie it operates.  Each </w:t>
            </w:r>
            <w:r w:rsidR="00087B14">
              <w:rPr>
                <w:iCs/>
                <w:color w:val="000000"/>
                <w:szCs w:val="24"/>
              </w:rPr>
              <w:t>Distribution Service Provider (</w:t>
            </w:r>
            <w:r w:rsidR="00087B14" w:rsidRPr="006C277F">
              <w:rPr>
                <w:iCs/>
                <w:color w:val="000000"/>
                <w:szCs w:val="24"/>
              </w:rPr>
              <w:t>DSP</w:t>
            </w:r>
            <w:r w:rsidR="00087B14">
              <w:rPr>
                <w:iCs/>
                <w:color w:val="000000"/>
                <w:szCs w:val="24"/>
              </w:rPr>
              <w:t>)</w:t>
            </w:r>
            <w:r w:rsidR="00087B14" w:rsidRPr="006C277F">
              <w:rPr>
                <w:iCs/>
                <w:color w:val="000000"/>
                <w:szCs w:val="24"/>
              </w:rPr>
              <w:t xml:space="preserve"> shall either register as a TO or designate another TDSP as its TO.  A TDSP or DCTO shall designate another Entity as its TO only with the written consent of that other Entity.  </w:t>
            </w:r>
          </w:p>
          <w:p w14:paraId="0B4D9265" w14:textId="77777777" w:rsidR="006C277F" w:rsidRPr="006C277F" w:rsidRDefault="006C277F" w:rsidP="006C277F">
            <w:pPr>
              <w:spacing w:after="240"/>
              <w:ind w:left="720" w:hanging="720"/>
              <w:rPr>
                <w:iCs/>
                <w:color w:val="000000"/>
                <w:szCs w:val="24"/>
              </w:rPr>
            </w:pPr>
            <w:r w:rsidRPr="006C277F">
              <w:rPr>
                <w:iCs/>
                <w:color w:val="000000"/>
                <w:szCs w:val="24"/>
              </w:rPr>
              <w:t>(2)</w:t>
            </w:r>
            <w:r w:rsidRPr="006C277F">
              <w:rPr>
                <w:iCs/>
                <w:color w:val="000000"/>
                <w:szCs w:val="24"/>
              </w:rPr>
              <w:tab/>
              <w:t xml:space="preserve">A TO shall have full authority to act on behalf of the designating TDSP or DCTO in the performance of all TO responsibilities provided in the ERCOT Protocols or Other Binding Documents, including effectuating any Load-shed that may be necessary during any Energy Emergency Alert (EEA) event, Under-Frequency Load Shed (UFLS) event, or Under-Voltage Load Shed (UVLS) event.  </w:t>
            </w:r>
          </w:p>
          <w:p w14:paraId="39F5F286" w14:textId="5231A2A7" w:rsidR="006C277F" w:rsidRPr="006C277F" w:rsidRDefault="006C277F" w:rsidP="006C277F">
            <w:pPr>
              <w:spacing w:after="240"/>
              <w:ind w:left="720" w:hanging="720"/>
              <w:rPr>
                <w:iCs/>
                <w:color w:val="000000"/>
                <w:szCs w:val="24"/>
              </w:rPr>
            </w:pPr>
            <w:r w:rsidRPr="006C277F">
              <w:rPr>
                <w:iCs/>
                <w:color w:val="000000"/>
                <w:szCs w:val="24"/>
              </w:rPr>
              <w:t>(3)</w:t>
            </w:r>
            <w:r w:rsidRPr="006C277F">
              <w:rPr>
                <w:iCs/>
                <w:color w:val="000000"/>
                <w:szCs w:val="24"/>
              </w:rPr>
              <w:tab/>
              <w:t xml:space="preserve">To qualify for designation as a TO, a TDSP shall be connected to the ERCOT Wide Area Network (WAN) and maintain </w:t>
            </w:r>
            <w:r w:rsidR="00747E08" w:rsidRPr="000021D0">
              <w:t>24-hour, seven-day-per-</w:t>
            </w:r>
            <w:r w:rsidR="00747E08">
              <w:t>week</w:t>
            </w:r>
            <w:r w:rsidRPr="006C277F">
              <w:rPr>
                <w:iCs/>
                <w:color w:val="000000"/>
                <w:szCs w:val="24"/>
              </w:rPr>
              <w:t xml:space="preserve"> operations and Hotline communications with ERCOT.</w:t>
            </w:r>
            <w:r w:rsidR="00747E08">
              <w:rPr>
                <w:iCs/>
                <w:color w:val="000000"/>
              </w:rPr>
              <w:t xml:space="preserve">  A TO has a responsibility to answer each TO Hotline call.</w:t>
            </w:r>
            <w:r w:rsidRPr="006C277F">
              <w:rPr>
                <w:iCs/>
                <w:color w:val="000000"/>
                <w:szCs w:val="24"/>
              </w:rPr>
              <w:t xml:space="preserve"> </w:t>
            </w:r>
          </w:p>
          <w:p w14:paraId="2B65E39C" w14:textId="77777777" w:rsidR="006C277F" w:rsidRPr="006C277F" w:rsidRDefault="006C277F" w:rsidP="006C277F">
            <w:pPr>
              <w:spacing w:after="240"/>
              <w:ind w:left="720" w:hanging="720"/>
              <w:rPr>
                <w:iCs/>
                <w:color w:val="000000"/>
                <w:szCs w:val="24"/>
              </w:rPr>
            </w:pPr>
            <w:r w:rsidRPr="006C277F">
              <w:rPr>
                <w:iCs/>
                <w:color w:val="000000"/>
                <w:szCs w:val="24"/>
              </w:rPr>
              <w:t>(4)</w:t>
            </w:r>
            <w:r w:rsidRPr="006C277F">
              <w:rPr>
                <w:iCs/>
                <w:color w:val="000000"/>
                <w:szCs w:val="24"/>
              </w:rPr>
              <w:tab/>
              <w:t xml:space="preserve">A TSP or DCTO shall enter a TO designation for each Transmission Facility it owns in the Network Operations Model.  Any designation or change to that designation shall be </w:t>
            </w:r>
            <w:r w:rsidRPr="006C277F">
              <w:rPr>
                <w:iCs/>
                <w:color w:val="000000"/>
                <w:szCs w:val="24"/>
              </w:rPr>
              <w:lastRenderedPageBreak/>
              <w:t xml:space="preserve">submitted to ERCOT within the time required for submitting physical changes to the Network Operations Model specified in paragraph (3) of Section 3.10.1, Time Line for Network Operations Model Changes.  </w:t>
            </w:r>
            <w:r w:rsidRPr="00087B14">
              <w:rPr>
                <w:szCs w:val="24"/>
              </w:rPr>
              <w:t xml:space="preserve">Any TSP designated as a TO for another TSP or DCTO’s facilities may unilaterally reject or resign from that designation </w:t>
            </w:r>
            <w:r w:rsidRPr="006C277F">
              <w:rPr>
                <w:iCs/>
                <w:color w:val="000000"/>
                <w:szCs w:val="24"/>
              </w:rPr>
              <w:t xml:space="preserve">by providing written notice to the designating TSP and the TSP shall promptly update the TO designation in the Network Operations Model for the affected Transmission Facility.  </w:t>
            </w:r>
          </w:p>
          <w:p w14:paraId="7ED9A4D8" w14:textId="55991B82" w:rsidR="006C277F" w:rsidRPr="006C277F" w:rsidRDefault="006C277F" w:rsidP="006C277F">
            <w:pPr>
              <w:spacing w:after="240"/>
              <w:ind w:left="720" w:hanging="720"/>
              <w:rPr>
                <w:iCs/>
                <w:color w:val="000000"/>
                <w:szCs w:val="24"/>
              </w:rPr>
            </w:pPr>
            <w:r w:rsidRPr="006C277F">
              <w:rPr>
                <w:iCs/>
                <w:color w:val="000000"/>
                <w:szCs w:val="24"/>
              </w:rPr>
              <w:t>(5)</w:t>
            </w:r>
            <w:r w:rsidRPr="006C277F">
              <w:rPr>
                <w:iCs/>
                <w:color w:val="000000"/>
                <w:szCs w:val="24"/>
              </w:rPr>
              <w:tab/>
              <w:t xml:space="preserve">ERCOT shall post a Transmission Operator Designation Form on the ERCOT website.  A DSP may designate a TO or make any change to its designation, including revoking a TO designation, by properly completing the Transmission Operator Designation Form and submitting it via email to ERCOT with a copy provided to the TDSP designated as TO.  Any such change shall be submitted to ERCOT at least 30 days before the change becomes effective. </w:t>
            </w:r>
            <w:r>
              <w:rPr>
                <w:iCs/>
                <w:color w:val="000000"/>
                <w:szCs w:val="24"/>
              </w:rPr>
              <w:t xml:space="preserve"> </w:t>
            </w:r>
            <w:r w:rsidRPr="006C277F">
              <w:rPr>
                <w:iCs/>
                <w:color w:val="000000"/>
                <w:szCs w:val="24"/>
              </w:rPr>
              <w:t xml:space="preserve">The designation of a TO shall not be effective unless the Transmission Operator Designation Form has been signed by an officer or other Authorized Representative of the designating DSP or DCTO and the TDSP designated as TO.  </w:t>
            </w:r>
          </w:p>
          <w:p w14:paraId="7E95F61D" w14:textId="77777777" w:rsidR="006C277F" w:rsidRPr="006C277F" w:rsidRDefault="006C277F" w:rsidP="006C277F">
            <w:pPr>
              <w:spacing w:after="240"/>
              <w:ind w:left="720" w:hanging="720"/>
              <w:rPr>
                <w:iCs/>
                <w:color w:val="000000"/>
                <w:szCs w:val="24"/>
              </w:rPr>
            </w:pPr>
            <w:r w:rsidRPr="006C277F">
              <w:rPr>
                <w:iCs/>
                <w:color w:val="000000"/>
                <w:szCs w:val="24"/>
              </w:rPr>
              <w:t>(6)</w:t>
            </w:r>
            <w:r w:rsidRPr="006C277F">
              <w:rPr>
                <w:iCs/>
                <w:color w:val="000000"/>
                <w:szCs w:val="24"/>
              </w:rPr>
              <w:tab/>
              <w:t xml:space="preserve">A TO for a DSP may unilaterally resign from a designation as TO by submitting a properly completed Transmission Operator Designation Form to ERCOT reflecting the TO’s resignation of its TO status at least 30 days before the resignation becomes effective.  The resigning TO shall provide simultaneous notice of the resignation to the DSP it represents.   </w:t>
            </w:r>
          </w:p>
          <w:p w14:paraId="5A0FBC48" w14:textId="77777777" w:rsidR="006C277F" w:rsidRPr="006C277F" w:rsidRDefault="006C277F" w:rsidP="006C277F">
            <w:pPr>
              <w:spacing w:after="240"/>
              <w:ind w:left="720" w:hanging="720"/>
              <w:rPr>
                <w:iCs/>
                <w:color w:val="000000"/>
                <w:szCs w:val="24"/>
              </w:rPr>
            </w:pPr>
            <w:r w:rsidRPr="006C277F">
              <w:rPr>
                <w:iCs/>
                <w:color w:val="000000"/>
                <w:szCs w:val="24"/>
              </w:rPr>
              <w:t>(7)</w:t>
            </w:r>
            <w:r w:rsidRPr="006C277F">
              <w:rPr>
                <w:iCs/>
                <w:color w:val="000000"/>
                <w:szCs w:val="24"/>
              </w:rPr>
              <w:tab/>
              <w:t xml:space="preserve">On the effective date of a TO’s resignation, the DSP previously represented by the resigning TO shall be deemed its own TO and shall assume all TO responsibilities unless and until it has properly designated another TDSP as its TO.   </w:t>
            </w:r>
          </w:p>
        </w:tc>
      </w:tr>
    </w:tbl>
    <w:p w14:paraId="7E9177BE" w14:textId="77777777" w:rsidR="0081684A" w:rsidRDefault="0081684A" w:rsidP="00CC002A">
      <w:pPr>
        <w:pStyle w:val="BodyText"/>
      </w:pPr>
    </w:p>
    <w:sectPr w:rsidR="0081684A" w:rsidSect="00FC1C5F">
      <w:headerReference w:type="default" r:id="rId23"/>
      <w:footerReference w:type="even" r:id="rId24"/>
      <w:footerReference w:type="default" r:id="rId25"/>
      <w:headerReference w:type="first" r:id="rId26"/>
      <w:footerReference w:type="first" r:id="rId27"/>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840CD" w14:textId="77777777" w:rsidR="000E65BB" w:rsidRDefault="000E65BB">
      <w:r>
        <w:separator/>
      </w:r>
    </w:p>
  </w:endnote>
  <w:endnote w:type="continuationSeparator" w:id="0">
    <w:p w14:paraId="1F7556DF" w14:textId="77777777" w:rsidR="000E65BB" w:rsidRDefault="000E6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9A2F7" w14:textId="77777777" w:rsidR="00743263" w:rsidRDefault="007432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EDD457" w14:textId="77777777" w:rsidR="00743263" w:rsidRDefault="007432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4EAD" w14:textId="77777777" w:rsidR="00743263" w:rsidRDefault="00743263">
    <w:pPr>
      <w:pStyle w:val="Footer"/>
      <w:pBdr>
        <w:top w:val="none" w:sz="0" w:space="0" w:color="auto"/>
      </w:pBdr>
      <w:jc w:val="center"/>
    </w:pPr>
    <w: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2CC5E" w14:textId="77777777" w:rsidR="00743263" w:rsidRDefault="00743263">
    <w:pPr>
      <w:pStyle w:val="Footer"/>
      <w:tabs>
        <w:tab w:val="clear" w:pos="4680"/>
      </w:tabs>
    </w:pPr>
    <w:r>
      <w:t xml:space="preserve">ERCOT Nodal Protocols Draft – </w:t>
    </w:r>
    <w:smartTag w:uri="urn:schemas-microsoft-com:office:smarttags" w:element="date">
      <w:smartTagPr>
        <w:attr w:name="ls" w:val="trans"/>
        <w:attr w:name="Month" w:val="5"/>
        <w:attr w:name="Day" w:val="26"/>
        <w:attr w:name="Year" w:val="2004"/>
      </w:smartTagPr>
      <w:smartTag w:uri="urn:schemas-microsoft-com:office:smarttags" w:element="stockticker">
        <w:r>
          <w:t>May</w:t>
        </w:r>
      </w:smartTag>
      <w:r>
        <w:t xml:space="preserve"> 26, 2004</w:t>
      </w:r>
    </w:smartTag>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7B75E" w14:textId="6C3E5C39" w:rsidR="00743263" w:rsidRDefault="00743263">
    <w:pPr>
      <w:pStyle w:val="Footer"/>
      <w:tabs>
        <w:tab w:val="right" w:pos="9450"/>
      </w:tabs>
      <w:spacing w:before="0" w:after="0"/>
    </w:pPr>
    <w:r>
      <w:t xml:space="preserve">ERCOT Nodal Protocols – </w:t>
    </w:r>
    <w:r w:rsidR="00461B44">
      <w:t>May</w:t>
    </w:r>
    <w:r w:rsidR="00B55C27">
      <w:t xml:space="preserve"> 1</w:t>
    </w:r>
    <w:r>
      <w:t>, 202</w:t>
    </w:r>
    <w:r w:rsidR="001D1905">
      <w:t>4</w:t>
    </w:r>
  </w:p>
  <w:p w14:paraId="47D279AC" w14:textId="77777777" w:rsidR="00743263" w:rsidRDefault="00743263">
    <w:pPr>
      <w:pStyle w:val="Footer"/>
      <w:tabs>
        <w:tab w:val="right" w:pos="9450"/>
      </w:tabs>
      <w:spacing w:before="0" w:after="0"/>
      <w:jc w:val="center"/>
    </w:pPr>
    <w:r>
      <w:t>PUBLIC</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3672" w14:textId="77777777" w:rsidR="00743263" w:rsidRDefault="00743263">
    <w:pPr>
      <w:pStyle w:val="Footer"/>
      <w:tabs>
        <w:tab w:val="clear" w:pos="4680"/>
      </w:tabs>
    </w:pPr>
    <w:r>
      <w:t xml:space="preserve">ERCOT Nodal Protocols Draft – </w:t>
    </w:r>
    <w:smartTag w:uri="urn:schemas-microsoft-com:office:smarttags" w:element="date">
      <w:smartTagPr>
        <w:attr w:name="ls" w:val="trans"/>
        <w:attr w:name="Month" w:val="5"/>
        <w:attr w:name="Day" w:val="26"/>
        <w:attr w:name="Year" w:val="2004"/>
      </w:smartTagPr>
      <w:smartTag w:uri="urn:schemas-microsoft-com:office:smarttags" w:element="stockticker">
        <w:r>
          <w:t>May</w:t>
        </w:r>
      </w:smartTag>
      <w:r>
        <w:t xml:space="preserve"> 26, 2004</w:t>
      </w:r>
    </w:smartTag>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F178C" w14:textId="77777777" w:rsidR="00743263" w:rsidRDefault="007432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1725BC" w14:textId="77777777" w:rsidR="00743263" w:rsidRDefault="0074326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823F6" w14:textId="3945296A" w:rsidR="00743263" w:rsidRDefault="00743263">
    <w:pPr>
      <w:pStyle w:val="Footer"/>
      <w:tabs>
        <w:tab w:val="right" w:pos="9450"/>
      </w:tabs>
      <w:spacing w:before="0" w:after="0"/>
      <w:rPr>
        <w:rStyle w:val="PageNumber"/>
      </w:rPr>
    </w:pPr>
    <w:r>
      <w:t xml:space="preserve">ERCOT Nodal Protocols – </w:t>
    </w:r>
    <w:r w:rsidR="00461B44">
      <w:t>May</w:t>
    </w:r>
    <w:r w:rsidR="00B55C27">
      <w:t xml:space="preserve"> 1</w:t>
    </w:r>
    <w:r>
      <w:t xml:space="preserve">, </w:t>
    </w:r>
    <w:proofErr w:type="gramStart"/>
    <w:r>
      <w:t>202</w:t>
    </w:r>
    <w:r w:rsidR="001D1905">
      <w:t>4</w:t>
    </w:r>
    <w:proofErr w:type="gramEnd"/>
    <w: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16-7</w:t>
    </w:r>
    <w:r>
      <w:rPr>
        <w:rStyle w:val="PageNumber"/>
      </w:rPr>
      <w:fldChar w:fldCharType="end"/>
    </w:r>
  </w:p>
  <w:p w14:paraId="22C85721" w14:textId="77777777" w:rsidR="00743263" w:rsidRDefault="00743263">
    <w:pPr>
      <w:pStyle w:val="Footer"/>
      <w:tabs>
        <w:tab w:val="right" w:pos="9450"/>
      </w:tabs>
      <w:spacing w:before="0" w:after="0"/>
      <w:jc w:val="center"/>
    </w:pPr>
    <w:r>
      <w:rPr>
        <w:rStyle w:val="PageNumber"/>
      </w:rPr>
      <w:t>PUBLIC</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D5D31" w14:textId="77777777" w:rsidR="00743263" w:rsidRDefault="00743263">
    <w:pPr>
      <w:pStyle w:val="Footer"/>
      <w:framePr w:wrap="around" w:vAnchor="text" w:hAnchor="margin" w:xAlign="right" w:y="1"/>
      <w:rPr>
        <w:rStyle w:val="PageNumber"/>
      </w:rPr>
    </w:pPr>
  </w:p>
  <w:p w14:paraId="721CD2C6" w14:textId="77777777" w:rsidR="00743263" w:rsidRDefault="00743263">
    <w:pPr>
      <w:pStyle w:val="Footer"/>
    </w:pPr>
    <w:r>
      <w:t xml:space="preserve">ERCOT Nodal Protocols – Draft </w:t>
    </w:r>
    <w:smartTag w:uri="urn:schemas-microsoft-com:office:smarttags" w:element="date">
      <w:smartTagPr>
        <w:attr w:name="Year" w:val="2004"/>
        <w:attr w:name="Day" w:val="26"/>
        <w:attr w:name="Month" w:val="5"/>
        <w:attr w:name="ls" w:val="trans"/>
      </w:smartTagPr>
      <w:smartTag w:uri="urn:schemas-microsoft-com:office:smarttags" w:element="stockticker">
        <w:r>
          <w:t>May</w:t>
        </w:r>
      </w:smartTag>
      <w:r>
        <w:t xml:space="preserve"> 26, 2004</w:t>
      </w:r>
    </w:smartTag>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7506D" w14:textId="77777777" w:rsidR="000E65BB" w:rsidRDefault="000E65BB">
      <w:r>
        <w:separator/>
      </w:r>
    </w:p>
  </w:footnote>
  <w:footnote w:type="continuationSeparator" w:id="0">
    <w:p w14:paraId="45CB6CFE" w14:textId="77777777" w:rsidR="000E65BB" w:rsidRDefault="000E6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1EF5A" w14:textId="77777777" w:rsidR="00743263" w:rsidRDefault="00743263">
    <w:pPr>
      <w:pStyle w:val="Header"/>
      <w:pBdr>
        <w:bottom w:val="none" w:sz="0" w:space="0" w:color="auto"/>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C7F8E" w14:textId="77777777" w:rsidR="00743263" w:rsidRDefault="00743263">
    <w:pPr>
      <w:pStyle w:val="Header"/>
    </w:pPr>
    <w:r>
      <w:t>Table of Contents:  Section 16</w:t>
    </w:r>
  </w:p>
  <w:p w14:paraId="1E6632AB" w14:textId="77777777" w:rsidR="00743263" w:rsidRDefault="00743263">
    <w:pPr>
      <w:pStyle w:val="Header"/>
      <w:pBdr>
        <w:bottom w:val="none" w:sz="0" w:space="0" w:color="auto"/>
      </w:pBdr>
      <w:jc w:val="center"/>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36917" w14:textId="77777777" w:rsidR="00743263" w:rsidRDefault="00743263">
    <w:pPr>
      <w:pStyle w:val="Header"/>
    </w:pPr>
    <w:r>
      <w:t>Section 16:  Table of 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D796F" w14:textId="77777777" w:rsidR="00743263" w:rsidRDefault="00743263">
    <w:pPr>
      <w:pStyle w:val="Header"/>
    </w:pPr>
    <w:r>
      <w:t xml:space="preserve">Section 16:  Registration </w:t>
    </w:r>
    <w:smartTag w:uri="urn:schemas-microsoft-com:office:smarttags" w:element="stockticker">
      <w:r>
        <w:t>and</w:t>
      </w:r>
    </w:smartTag>
    <w:r>
      <w:t xml:space="preserve"> qualification of Market Participants</w:t>
    </w:r>
  </w:p>
  <w:p w14:paraId="2F584375" w14:textId="77777777" w:rsidR="00743263" w:rsidRDefault="00743263">
    <w:pPr>
      <w:pStyle w:val="Header"/>
      <w:pBdr>
        <w:bottom w:val="none" w:sz="0" w:space="0" w:color="auto"/>
      </w:pBdr>
      <w:jc w:val="center"/>
      <w:rPr>
        <w: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CF2A" w14:textId="77777777" w:rsidR="00743263" w:rsidRDefault="00743263">
    <w:pPr>
      <w:pStyle w:val="Header"/>
    </w:pPr>
    <w:r>
      <w:t xml:space="preserve">Section 16:  Registration </w:t>
    </w:r>
    <w:smartTag w:uri="urn:schemas-microsoft-com:office:smarttags" w:element="stockticker">
      <w:r>
        <w:t>and</w:t>
      </w:r>
    </w:smartTag>
    <w:r>
      <w:t xml:space="preserve"> qualification of Market Participants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4CA9"/>
    <w:multiLevelType w:val="hybridMultilevel"/>
    <w:tmpl w:val="6EE01A54"/>
    <w:lvl w:ilvl="0" w:tplc="A59CF32C">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C70F8D"/>
    <w:multiLevelType w:val="hybridMultilevel"/>
    <w:tmpl w:val="832E1C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2C13B6"/>
    <w:multiLevelType w:val="hybridMultilevel"/>
    <w:tmpl w:val="6A084DF6"/>
    <w:lvl w:ilvl="0" w:tplc="4838181C">
      <w:start w:val="4"/>
      <w:numFmt w:val="decimal"/>
      <w:lvlText w:val="(%1)"/>
      <w:lvlJc w:val="left"/>
      <w:pPr>
        <w:ind w:left="378" w:hanging="360"/>
      </w:pPr>
      <w:rPr>
        <w:rFonts w:hint="default"/>
      </w:rPr>
    </w:lvl>
    <w:lvl w:ilvl="1" w:tplc="04090019">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3" w15:restartNumberingAfterBreak="0">
    <w:nsid w:val="0DB46D62"/>
    <w:multiLevelType w:val="multilevel"/>
    <w:tmpl w:val="3342B17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B705FF"/>
    <w:multiLevelType w:val="hybridMultilevel"/>
    <w:tmpl w:val="78164D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725094"/>
    <w:multiLevelType w:val="hybridMultilevel"/>
    <w:tmpl w:val="9CF0354C"/>
    <w:lvl w:ilvl="0" w:tplc="13109696">
      <w:start w:val="1"/>
      <w:numFmt w:val="lowerRoman"/>
      <w:lvlText w:val="(%1)"/>
      <w:lvlJc w:val="left"/>
      <w:pPr>
        <w:tabs>
          <w:tab w:val="num" w:pos="1086"/>
        </w:tabs>
        <w:ind w:left="1086" w:hanging="720"/>
      </w:pPr>
      <w:rPr>
        <w:rFonts w:hint="default"/>
      </w:rPr>
    </w:lvl>
    <w:lvl w:ilvl="1" w:tplc="04090019" w:tentative="1">
      <w:start w:val="1"/>
      <w:numFmt w:val="lowerLetter"/>
      <w:lvlText w:val="%2."/>
      <w:lvlJc w:val="left"/>
      <w:pPr>
        <w:tabs>
          <w:tab w:val="num" w:pos="1446"/>
        </w:tabs>
        <w:ind w:left="1446" w:hanging="360"/>
      </w:pPr>
    </w:lvl>
    <w:lvl w:ilvl="2" w:tplc="0409001B" w:tentative="1">
      <w:start w:val="1"/>
      <w:numFmt w:val="lowerRoman"/>
      <w:lvlText w:val="%3."/>
      <w:lvlJc w:val="right"/>
      <w:pPr>
        <w:tabs>
          <w:tab w:val="num" w:pos="2166"/>
        </w:tabs>
        <w:ind w:left="2166" w:hanging="180"/>
      </w:pPr>
    </w:lvl>
    <w:lvl w:ilvl="3" w:tplc="0409000F" w:tentative="1">
      <w:start w:val="1"/>
      <w:numFmt w:val="decimal"/>
      <w:lvlText w:val="%4."/>
      <w:lvlJc w:val="left"/>
      <w:pPr>
        <w:tabs>
          <w:tab w:val="num" w:pos="2886"/>
        </w:tabs>
        <w:ind w:left="2886" w:hanging="360"/>
      </w:pPr>
    </w:lvl>
    <w:lvl w:ilvl="4" w:tplc="04090019" w:tentative="1">
      <w:start w:val="1"/>
      <w:numFmt w:val="lowerLetter"/>
      <w:lvlText w:val="%5."/>
      <w:lvlJc w:val="left"/>
      <w:pPr>
        <w:tabs>
          <w:tab w:val="num" w:pos="3606"/>
        </w:tabs>
        <w:ind w:left="3606" w:hanging="360"/>
      </w:pPr>
    </w:lvl>
    <w:lvl w:ilvl="5" w:tplc="0409001B" w:tentative="1">
      <w:start w:val="1"/>
      <w:numFmt w:val="lowerRoman"/>
      <w:lvlText w:val="%6."/>
      <w:lvlJc w:val="right"/>
      <w:pPr>
        <w:tabs>
          <w:tab w:val="num" w:pos="4326"/>
        </w:tabs>
        <w:ind w:left="4326" w:hanging="180"/>
      </w:pPr>
    </w:lvl>
    <w:lvl w:ilvl="6" w:tplc="0409000F" w:tentative="1">
      <w:start w:val="1"/>
      <w:numFmt w:val="decimal"/>
      <w:lvlText w:val="%7."/>
      <w:lvlJc w:val="left"/>
      <w:pPr>
        <w:tabs>
          <w:tab w:val="num" w:pos="5046"/>
        </w:tabs>
        <w:ind w:left="5046" w:hanging="360"/>
      </w:pPr>
    </w:lvl>
    <w:lvl w:ilvl="7" w:tplc="04090019" w:tentative="1">
      <w:start w:val="1"/>
      <w:numFmt w:val="lowerLetter"/>
      <w:lvlText w:val="%8."/>
      <w:lvlJc w:val="left"/>
      <w:pPr>
        <w:tabs>
          <w:tab w:val="num" w:pos="5766"/>
        </w:tabs>
        <w:ind w:left="5766" w:hanging="360"/>
      </w:pPr>
    </w:lvl>
    <w:lvl w:ilvl="8" w:tplc="0409001B" w:tentative="1">
      <w:start w:val="1"/>
      <w:numFmt w:val="lowerRoman"/>
      <w:lvlText w:val="%9."/>
      <w:lvlJc w:val="right"/>
      <w:pPr>
        <w:tabs>
          <w:tab w:val="num" w:pos="6486"/>
        </w:tabs>
        <w:ind w:left="6486" w:hanging="180"/>
      </w:pPr>
    </w:lvl>
  </w:abstractNum>
  <w:abstractNum w:abstractNumId="6" w15:restartNumberingAfterBreak="0">
    <w:nsid w:val="299457C1"/>
    <w:multiLevelType w:val="hybridMultilevel"/>
    <w:tmpl w:val="D4767374"/>
    <w:lvl w:ilvl="0" w:tplc="A04AD008">
      <w:start w:val="1"/>
      <w:numFmt w:val="lowerLetter"/>
      <w:lvlText w:val="(%1)"/>
      <w:lvlJc w:val="left"/>
      <w:pPr>
        <w:tabs>
          <w:tab w:val="num" w:pos="720"/>
        </w:tabs>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E7D2479"/>
    <w:multiLevelType w:val="hybridMultilevel"/>
    <w:tmpl w:val="AEE40858"/>
    <w:lvl w:ilvl="0" w:tplc="2DEC3F4C">
      <w:start w:val="5"/>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1833DDC"/>
    <w:multiLevelType w:val="hybridMultilevel"/>
    <w:tmpl w:val="4004269A"/>
    <w:lvl w:ilvl="0" w:tplc="8BA4B5BA">
      <w:start w:val="6"/>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DBB4D88"/>
    <w:multiLevelType w:val="hybridMultilevel"/>
    <w:tmpl w:val="F38CEB40"/>
    <w:lvl w:ilvl="0" w:tplc="FFFFFFFF">
      <w:start w:val="1"/>
      <w:numFmt w:val="lowerRoman"/>
      <w:lvlText w:val="(%1)"/>
      <w:lvlJc w:val="left"/>
      <w:pPr>
        <w:ind w:left="2160" w:hanging="72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527F2A30"/>
    <w:multiLevelType w:val="hybridMultilevel"/>
    <w:tmpl w:val="D3CCD154"/>
    <w:lvl w:ilvl="0" w:tplc="59466434">
      <w:start w:val="1"/>
      <w:numFmt w:val="lowerLetter"/>
      <w:lvlText w:val="(%1)"/>
      <w:lvlJc w:val="left"/>
      <w:pPr>
        <w:ind w:left="720" w:hanging="360"/>
      </w:pPr>
      <w:rPr>
        <w:rFonts w:hint="default"/>
      </w:rPr>
    </w:lvl>
    <w:lvl w:ilvl="1" w:tplc="7A44FC6E">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914CB"/>
    <w:multiLevelType w:val="multilevel"/>
    <w:tmpl w:val="7AE6620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ECA3D43"/>
    <w:multiLevelType w:val="hybridMultilevel"/>
    <w:tmpl w:val="B3A68CE2"/>
    <w:lvl w:ilvl="0" w:tplc="5A3E4E6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617D35F0"/>
    <w:multiLevelType w:val="hybridMultilevel"/>
    <w:tmpl w:val="9044073C"/>
    <w:lvl w:ilvl="0" w:tplc="F7C2556C">
      <w:start w:val="6"/>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34E720E"/>
    <w:multiLevelType w:val="hybridMultilevel"/>
    <w:tmpl w:val="BEAEA99E"/>
    <w:lvl w:ilvl="0" w:tplc="B85088CE">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654B2C67"/>
    <w:multiLevelType w:val="hybridMultilevel"/>
    <w:tmpl w:val="6A5CC3FA"/>
    <w:lvl w:ilvl="0" w:tplc="5A3C0448">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64F41E5"/>
    <w:multiLevelType w:val="hybridMultilevel"/>
    <w:tmpl w:val="5EA0A988"/>
    <w:lvl w:ilvl="0" w:tplc="04090003">
      <w:start w:val="1"/>
      <w:numFmt w:val="bullet"/>
      <w:lvlText w:val="o"/>
      <w:lvlJc w:val="left"/>
      <w:pPr>
        <w:tabs>
          <w:tab w:val="num" w:pos="1620"/>
        </w:tabs>
        <w:ind w:left="1620" w:hanging="360"/>
      </w:pPr>
      <w:rPr>
        <w:rFonts w:ascii="Courier New" w:hAnsi="Courier New" w:cs="Courier New"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7" w15:restartNumberingAfterBreak="0">
    <w:nsid w:val="66510064"/>
    <w:multiLevelType w:val="multilevel"/>
    <w:tmpl w:val="DBDC0E34"/>
    <w:lvl w:ilvl="0">
      <w:start w:val="16"/>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78774F8"/>
    <w:multiLevelType w:val="hybridMultilevel"/>
    <w:tmpl w:val="3342B17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A663DC"/>
    <w:multiLevelType w:val="hybridMultilevel"/>
    <w:tmpl w:val="7AE6620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D7442D1"/>
    <w:multiLevelType w:val="hybridMultilevel"/>
    <w:tmpl w:val="F38CEB40"/>
    <w:lvl w:ilvl="0" w:tplc="5008AD4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C326588"/>
    <w:multiLevelType w:val="hybridMultilevel"/>
    <w:tmpl w:val="A81600A0"/>
    <w:lvl w:ilvl="0" w:tplc="833400CC">
      <w:start w:val="4"/>
      <w:numFmt w:val="lowerLetter"/>
      <w:lvlText w:val="(%1)"/>
      <w:lvlJc w:val="left"/>
      <w:pPr>
        <w:ind w:left="720" w:hanging="360"/>
      </w:pPr>
      <w:rPr>
        <w:rFonts w:hint="default"/>
        <w:color w:val="auto"/>
        <w:spacing w:val="0"/>
        <w:w w:val="100"/>
        <w:kern w:val="24"/>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FF4508"/>
    <w:multiLevelType w:val="hybridMultilevel"/>
    <w:tmpl w:val="A796BF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35801217">
    <w:abstractNumId w:val="17"/>
  </w:num>
  <w:num w:numId="2" w16cid:durableId="419064234">
    <w:abstractNumId w:val="19"/>
  </w:num>
  <w:num w:numId="3" w16cid:durableId="2028017912">
    <w:abstractNumId w:val="0"/>
  </w:num>
  <w:num w:numId="4" w16cid:durableId="1569226112">
    <w:abstractNumId w:val="14"/>
  </w:num>
  <w:num w:numId="5" w16cid:durableId="170871631">
    <w:abstractNumId w:val="13"/>
  </w:num>
  <w:num w:numId="6" w16cid:durableId="1075780549">
    <w:abstractNumId w:val="8"/>
  </w:num>
  <w:num w:numId="7" w16cid:durableId="1641105810">
    <w:abstractNumId w:val="7"/>
  </w:num>
  <w:num w:numId="8" w16cid:durableId="330304825">
    <w:abstractNumId w:val="16"/>
  </w:num>
  <w:num w:numId="9" w16cid:durableId="580021196">
    <w:abstractNumId w:val="15"/>
  </w:num>
  <w:num w:numId="10" w16cid:durableId="334505247">
    <w:abstractNumId w:val="22"/>
  </w:num>
  <w:num w:numId="11" w16cid:durableId="1778022888">
    <w:abstractNumId w:val="1"/>
  </w:num>
  <w:num w:numId="12" w16cid:durableId="953486547">
    <w:abstractNumId w:val="5"/>
  </w:num>
  <w:num w:numId="13" w16cid:durableId="1215700576">
    <w:abstractNumId w:val="11"/>
  </w:num>
  <w:num w:numId="14" w16cid:durableId="1919289813">
    <w:abstractNumId w:val="18"/>
  </w:num>
  <w:num w:numId="15" w16cid:durableId="2072922151">
    <w:abstractNumId w:val="3"/>
  </w:num>
  <w:num w:numId="16" w16cid:durableId="86195807">
    <w:abstractNumId w:val="4"/>
  </w:num>
  <w:num w:numId="17" w16cid:durableId="651912598">
    <w:abstractNumId w:val="6"/>
  </w:num>
  <w:num w:numId="18" w16cid:durableId="2030909065">
    <w:abstractNumId w:val="17"/>
  </w:num>
  <w:num w:numId="19" w16cid:durableId="1148211589">
    <w:abstractNumId w:val="21"/>
  </w:num>
  <w:num w:numId="20" w16cid:durableId="1941065261">
    <w:abstractNumId w:val="10"/>
  </w:num>
  <w:num w:numId="21" w16cid:durableId="665472804">
    <w:abstractNumId w:val="2"/>
  </w:num>
  <w:num w:numId="22" w16cid:durableId="866600187">
    <w:abstractNumId w:val="12"/>
  </w:num>
  <w:num w:numId="23" w16cid:durableId="161167462">
    <w:abstractNumId w:val="20"/>
  </w:num>
  <w:num w:numId="24" w16cid:durableId="758529171">
    <w:abstractNumId w:val="9"/>
  </w:num>
  <w:num w:numId="25" w16cid:durableId="308439206">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9830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C5F"/>
    <w:rsid w:val="00000D77"/>
    <w:rsid w:val="00002A11"/>
    <w:rsid w:val="00002B03"/>
    <w:rsid w:val="00002F41"/>
    <w:rsid w:val="0000582A"/>
    <w:rsid w:val="000121AD"/>
    <w:rsid w:val="00013289"/>
    <w:rsid w:val="0001588A"/>
    <w:rsid w:val="000160E0"/>
    <w:rsid w:val="0001661E"/>
    <w:rsid w:val="00017145"/>
    <w:rsid w:val="00022A2E"/>
    <w:rsid w:val="00023149"/>
    <w:rsid w:val="000232E6"/>
    <w:rsid w:val="0002345B"/>
    <w:rsid w:val="00023D5B"/>
    <w:rsid w:val="0002450E"/>
    <w:rsid w:val="00024BE1"/>
    <w:rsid w:val="00026476"/>
    <w:rsid w:val="00027ABD"/>
    <w:rsid w:val="00030891"/>
    <w:rsid w:val="00030EC9"/>
    <w:rsid w:val="00032A46"/>
    <w:rsid w:val="00036EC4"/>
    <w:rsid w:val="000370C5"/>
    <w:rsid w:val="000376C9"/>
    <w:rsid w:val="00040698"/>
    <w:rsid w:val="00042D82"/>
    <w:rsid w:val="00046F88"/>
    <w:rsid w:val="000475FE"/>
    <w:rsid w:val="000479AE"/>
    <w:rsid w:val="00052835"/>
    <w:rsid w:val="00053F81"/>
    <w:rsid w:val="0005725D"/>
    <w:rsid w:val="00062400"/>
    <w:rsid w:val="00062769"/>
    <w:rsid w:val="00062C56"/>
    <w:rsid w:val="00062E50"/>
    <w:rsid w:val="00063CFE"/>
    <w:rsid w:val="0006626C"/>
    <w:rsid w:val="00067F7E"/>
    <w:rsid w:val="000723E8"/>
    <w:rsid w:val="00072418"/>
    <w:rsid w:val="00073866"/>
    <w:rsid w:val="00074C2B"/>
    <w:rsid w:val="00077067"/>
    <w:rsid w:val="0007756C"/>
    <w:rsid w:val="00077E23"/>
    <w:rsid w:val="000812B4"/>
    <w:rsid w:val="0008133B"/>
    <w:rsid w:val="00081A43"/>
    <w:rsid w:val="00082575"/>
    <w:rsid w:val="00082B5B"/>
    <w:rsid w:val="00086624"/>
    <w:rsid w:val="00087B14"/>
    <w:rsid w:val="00090786"/>
    <w:rsid w:val="00090BA5"/>
    <w:rsid w:val="000929F0"/>
    <w:rsid w:val="00093A94"/>
    <w:rsid w:val="00094062"/>
    <w:rsid w:val="00095419"/>
    <w:rsid w:val="00097EA5"/>
    <w:rsid w:val="000A063B"/>
    <w:rsid w:val="000A08CF"/>
    <w:rsid w:val="000A0A43"/>
    <w:rsid w:val="000A7B2B"/>
    <w:rsid w:val="000B23CB"/>
    <w:rsid w:val="000B27F0"/>
    <w:rsid w:val="000B3DA3"/>
    <w:rsid w:val="000B3F7F"/>
    <w:rsid w:val="000B55EF"/>
    <w:rsid w:val="000B5BEC"/>
    <w:rsid w:val="000B62AE"/>
    <w:rsid w:val="000B62BB"/>
    <w:rsid w:val="000B6F80"/>
    <w:rsid w:val="000B6FE0"/>
    <w:rsid w:val="000B7636"/>
    <w:rsid w:val="000C0A5D"/>
    <w:rsid w:val="000C22D2"/>
    <w:rsid w:val="000C3577"/>
    <w:rsid w:val="000C3CFF"/>
    <w:rsid w:val="000C5AE0"/>
    <w:rsid w:val="000C7043"/>
    <w:rsid w:val="000C7415"/>
    <w:rsid w:val="000C76A4"/>
    <w:rsid w:val="000D00F4"/>
    <w:rsid w:val="000D36D7"/>
    <w:rsid w:val="000D71F8"/>
    <w:rsid w:val="000E23B0"/>
    <w:rsid w:val="000E3528"/>
    <w:rsid w:val="000E49BB"/>
    <w:rsid w:val="000E65BB"/>
    <w:rsid w:val="000E695C"/>
    <w:rsid w:val="000E7458"/>
    <w:rsid w:val="000F0BE1"/>
    <w:rsid w:val="000F17D7"/>
    <w:rsid w:val="000F1E71"/>
    <w:rsid w:val="000F24BA"/>
    <w:rsid w:val="000F40DF"/>
    <w:rsid w:val="000F5E03"/>
    <w:rsid w:val="000F619B"/>
    <w:rsid w:val="001067AB"/>
    <w:rsid w:val="001075EF"/>
    <w:rsid w:val="0011177E"/>
    <w:rsid w:val="00113057"/>
    <w:rsid w:val="001139F7"/>
    <w:rsid w:val="00115C4F"/>
    <w:rsid w:val="001168CD"/>
    <w:rsid w:val="00116F52"/>
    <w:rsid w:val="0011779D"/>
    <w:rsid w:val="00122597"/>
    <w:rsid w:val="001229DC"/>
    <w:rsid w:val="00122A47"/>
    <w:rsid w:val="00122AC9"/>
    <w:rsid w:val="0012314B"/>
    <w:rsid w:val="00125912"/>
    <w:rsid w:val="00126ABB"/>
    <w:rsid w:val="0012720F"/>
    <w:rsid w:val="001277A1"/>
    <w:rsid w:val="00130062"/>
    <w:rsid w:val="00130D6C"/>
    <w:rsid w:val="0013104B"/>
    <w:rsid w:val="00131A66"/>
    <w:rsid w:val="00135A5B"/>
    <w:rsid w:val="001414F9"/>
    <w:rsid w:val="00142152"/>
    <w:rsid w:val="00143445"/>
    <w:rsid w:val="00144199"/>
    <w:rsid w:val="001475C2"/>
    <w:rsid w:val="001525EC"/>
    <w:rsid w:val="00152E4B"/>
    <w:rsid w:val="00156B07"/>
    <w:rsid w:val="00160197"/>
    <w:rsid w:val="0016049E"/>
    <w:rsid w:val="001613F1"/>
    <w:rsid w:val="001617F7"/>
    <w:rsid w:val="00161E0E"/>
    <w:rsid w:val="001641C4"/>
    <w:rsid w:val="00164C18"/>
    <w:rsid w:val="00165F10"/>
    <w:rsid w:val="00170B18"/>
    <w:rsid w:val="00173006"/>
    <w:rsid w:val="001736B0"/>
    <w:rsid w:val="00173C35"/>
    <w:rsid w:val="00174B30"/>
    <w:rsid w:val="00174F6C"/>
    <w:rsid w:val="0017700F"/>
    <w:rsid w:val="00177995"/>
    <w:rsid w:val="001802C7"/>
    <w:rsid w:val="001805F6"/>
    <w:rsid w:val="0018288A"/>
    <w:rsid w:val="00183BC3"/>
    <w:rsid w:val="001856AB"/>
    <w:rsid w:val="001856C4"/>
    <w:rsid w:val="001868F9"/>
    <w:rsid w:val="00193BF2"/>
    <w:rsid w:val="00194EEE"/>
    <w:rsid w:val="001A085D"/>
    <w:rsid w:val="001A1562"/>
    <w:rsid w:val="001A17DD"/>
    <w:rsid w:val="001A55B7"/>
    <w:rsid w:val="001A738B"/>
    <w:rsid w:val="001A7AB9"/>
    <w:rsid w:val="001B30AF"/>
    <w:rsid w:val="001B3DAE"/>
    <w:rsid w:val="001B4A1F"/>
    <w:rsid w:val="001B5901"/>
    <w:rsid w:val="001C15BC"/>
    <w:rsid w:val="001C2322"/>
    <w:rsid w:val="001C2FDE"/>
    <w:rsid w:val="001C3D6D"/>
    <w:rsid w:val="001C46D9"/>
    <w:rsid w:val="001C6988"/>
    <w:rsid w:val="001C7165"/>
    <w:rsid w:val="001C739C"/>
    <w:rsid w:val="001D00A8"/>
    <w:rsid w:val="001D1905"/>
    <w:rsid w:val="001D1931"/>
    <w:rsid w:val="001D19E3"/>
    <w:rsid w:val="001D1B26"/>
    <w:rsid w:val="001D1D2D"/>
    <w:rsid w:val="001D374E"/>
    <w:rsid w:val="001D3EB6"/>
    <w:rsid w:val="001D554C"/>
    <w:rsid w:val="001D6445"/>
    <w:rsid w:val="001D6FDB"/>
    <w:rsid w:val="001E0A81"/>
    <w:rsid w:val="001E1629"/>
    <w:rsid w:val="001E2553"/>
    <w:rsid w:val="001E41FD"/>
    <w:rsid w:val="001E52BE"/>
    <w:rsid w:val="001E5A7E"/>
    <w:rsid w:val="001E6046"/>
    <w:rsid w:val="001F126B"/>
    <w:rsid w:val="001F13B8"/>
    <w:rsid w:val="001F44D0"/>
    <w:rsid w:val="001F775A"/>
    <w:rsid w:val="0020488A"/>
    <w:rsid w:val="00206023"/>
    <w:rsid w:val="00206C6A"/>
    <w:rsid w:val="0020706C"/>
    <w:rsid w:val="0020748E"/>
    <w:rsid w:val="002148BB"/>
    <w:rsid w:val="0021565F"/>
    <w:rsid w:val="00216388"/>
    <w:rsid w:val="002166E7"/>
    <w:rsid w:val="00216B4F"/>
    <w:rsid w:val="002206AD"/>
    <w:rsid w:val="00221C60"/>
    <w:rsid w:val="00222D7B"/>
    <w:rsid w:val="00230BAE"/>
    <w:rsid w:val="00233DE1"/>
    <w:rsid w:val="002349CD"/>
    <w:rsid w:val="00234DC8"/>
    <w:rsid w:val="002403C3"/>
    <w:rsid w:val="002424BD"/>
    <w:rsid w:val="002475CE"/>
    <w:rsid w:val="002534B1"/>
    <w:rsid w:val="00262EEB"/>
    <w:rsid w:val="002631D7"/>
    <w:rsid w:val="002635D3"/>
    <w:rsid w:val="002639A4"/>
    <w:rsid w:val="00264712"/>
    <w:rsid w:val="00267FB2"/>
    <w:rsid w:val="00270D6A"/>
    <w:rsid w:val="00271A97"/>
    <w:rsid w:val="00271ED3"/>
    <w:rsid w:val="00275EFD"/>
    <w:rsid w:val="00277384"/>
    <w:rsid w:val="00277F36"/>
    <w:rsid w:val="00280035"/>
    <w:rsid w:val="0028005C"/>
    <w:rsid w:val="002803BF"/>
    <w:rsid w:val="00280B6F"/>
    <w:rsid w:val="0028136E"/>
    <w:rsid w:val="0028363C"/>
    <w:rsid w:val="00284BF0"/>
    <w:rsid w:val="002864A5"/>
    <w:rsid w:val="002877C9"/>
    <w:rsid w:val="00290196"/>
    <w:rsid w:val="00296FC2"/>
    <w:rsid w:val="002A15C4"/>
    <w:rsid w:val="002A209E"/>
    <w:rsid w:val="002A20D9"/>
    <w:rsid w:val="002A5374"/>
    <w:rsid w:val="002A5591"/>
    <w:rsid w:val="002A61C4"/>
    <w:rsid w:val="002A6390"/>
    <w:rsid w:val="002A7728"/>
    <w:rsid w:val="002B0F9B"/>
    <w:rsid w:val="002B1C61"/>
    <w:rsid w:val="002B1F67"/>
    <w:rsid w:val="002B20DD"/>
    <w:rsid w:val="002B286A"/>
    <w:rsid w:val="002B2C07"/>
    <w:rsid w:val="002B3DDF"/>
    <w:rsid w:val="002B43B7"/>
    <w:rsid w:val="002B49F7"/>
    <w:rsid w:val="002B565A"/>
    <w:rsid w:val="002B668C"/>
    <w:rsid w:val="002B72D0"/>
    <w:rsid w:val="002C19E5"/>
    <w:rsid w:val="002C3290"/>
    <w:rsid w:val="002C3748"/>
    <w:rsid w:val="002C64F9"/>
    <w:rsid w:val="002C653A"/>
    <w:rsid w:val="002C787B"/>
    <w:rsid w:val="002D0B2E"/>
    <w:rsid w:val="002D0D49"/>
    <w:rsid w:val="002D20F3"/>
    <w:rsid w:val="002D23B1"/>
    <w:rsid w:val="002D2785"/>
    <w:rsid w:val="002D2799"/>
    <w:rsid w:val="002D332F"/>
    <w:rsid w:val="002D4566"/>
    <w:rsid w:val="002D6ABD"/>
    <w:rsid w:val="002E0A9C"/>
    <w:rsid w:val="002E0E66"/>
    <w:rsid w:val="002E18F8"/>
    <w:rsid w:val="002E1E52"/>
    <w:rsid w:val="002E2051"/>
    <w:rsid w:val="002E2641"/>
    <w:rsid w:val="002E68F9"/>
    <w:rsid w:val="002E6C8C"/>
    <w:rsid w:val="002E76DA"/>
    <w:rsid w:val="002F03A7"/>
    <w:rsid w:val="002F2328"/>
    <w:rsid w:val="002F2A6A"/>
    <w:rsid w:val="002F309C"/>
    <w:rsid w:val="002F409F"/>
    <w:rsid w:val="002F50F2"/>
    <w:rsid w:val="002F6EC9"/>
    <w:rsid w:val="002F7F47"/>
    <w:rsid w:val="0030023B"/>
    <w:rsid w:val="00300E30"/>
    <w:rsid w:val="00301E78"/>
    <w:rsid w:val="00304032"/>
    <w:rsid w:val="00305093"/>
    <w:rsid w:val="0030579C"/>
    <w:rsid w:val="0030612E"/>
    <w:rsid w:val="003062A3"/>
    <w:rsid w:val="00310113"/>
    <w:rsid w:val="0031049E"/>
    <w:rsid w:val="00311559"/>
    <w:rsid w:val="003126BC"/>
    <w:rsid w:val="00312F55"/>
    <w:rsid w:val="003135AE"/>
    <w:rsid w:val="00313674"/>
    <w:rsid w:val="00314DBD"/>
    <w:rsid w:val="0031594F"/>
    <w:rsid w:val="0031595F"/>
    <w:rsid w:val="003167F7"/>
    <w:rsid w:val="0032725A"/>
    <w:rsid w:val="00331248"/>
    <w:rsid w:val="003317F7"/>
    <w:rsid w:val="00331D8A"/>
    <w:rsid w:val="0033224D"/>
    <w:rsid w:val="0033404D"/>
    <w:rsid w:val="0033459A"/>
    <w:rsid w:val="00335647"/>
    <w:rsid w:val="003367E9"/>
    <w:rsid w:val="0033728C"/>
    <w:rsid w:val="0033760D"/>
    <w:rsid w:val="00340001"/>
    <w:rsid w:val="00341131"/>
    <w:rsid w:val="003430B1"/>
    <w:rsid w:val="00345245"/>
    <w:rsid w:val="00345584"/>
    <w:rsid w:val="00345E2E"/>
    <w:rsid w:val="00346051"/>
    <w:rsid w:val="00346CF6"/>
    <w:rsid w:val="003470FF"/>
    <w:rsid w:val="0034759E"/>
    <w:rsid w:val="00350FB0"/>
    <w:rsid w:val="003532D1"/>
    <w:rsid w:val="00355A24"/>
    <w:rsid w:val="00355D7A"/>
    <w:rsid w:val="003573E3"/>
    <w:rsid w:val="00360E2C"/>
    <w:rsid w:val="00362E3D"/>
    <w:rsid w:val="00363641"/>
    <w:rsid w:val="00364DE6"/>
    <w:rsid w:val="003651B3"/>
    <w:rsid w:val="00365293"/>
    <w:rsid w:val="00367720"/>
    <w:rsid w:val="00367889"/>
    <w:rsid w:val="003711E0"/>
    <w:rsid w:val="00373358"/>
    <w:rsid w:val="003747A8"/>
    <w:rsid w:val="00375C78"/>
    <w:rsid w:val="00375D5D"/>
    <w:rsid w:val="00380985"/>
    <w:rsid w:val="0038379B"/>
    <w:rsid w:val="00383F37"/>
    <w:rsid w:val="003845B8"/>
    <w:rsid w:val="00386628"/>
    <w:rsid w:val="00391A70"/>
    <w:rsid w:val="00394A28"/>
    <w:rsid w:val="003A234E"/>
    <w:rsid w:val="003A36DF"/>
    <w:rsid w:val="003A38A3"/>
    <w:rsid w:val="003A5AEB"/>
    <w:rsid w:val="003B0D6B"/>
    <w:rsid w:val="003B2CA7"/>
    <w:rsid w:val="003B2D6F"/>
    <w:rsid w:val="003B4253"/>
    <w:rsid w:val="003B4662"/>
    <w:rsid w:val="003B47DA"/>
    <w:rsid w:val="003B5A82"/>
    <w:rsid w:val="003B6728"/>
    <w:rsid w:val="003B76F6"/>
    <w:rsid w:val="003B7BC8"/>
    <w:rsid w:val="003B7CFE"/>
    <w:rsid w:val="003C0C18"/>
    <w:rsid w:val="003C1ED7"/>
    <w:rsid w:val="003C2CC8"/>
    <w:rsid w:val="003C2F8D"/>
    <w:rsid w:val="003C2F9B"/>
    <w:rsid w:val="003C371E"/>
    <w:rsid w:val="003C539E"/>
    <w:rsid w:val="003C6EAD"/>
    <w:rsid w:val="003C6F50"/>
    <w:rsid w:val="003D2D45"/>
    <w:rsid w:val="003D3A4F"/>
    <w:rsid w:val="003D76D8"/>
    <w:rsid w:val="003D7970"/>
    <w:rsid w:val="003E021A"/>
    <w:rsid w:val="003E09AF"/>
    <w:rsid w:val="003E1243"/>
    <w:rsid w:val="003E1CB9"/>
    <w:rsid w:val="003E3E50"/>
    <w:rsid w:val="003E475D"/>
    <w:rsid w:val="003E7FD4"/>
    <w:rsid w:val="003F13E9"/>
    <w:rsid w:val="003F1980"/>
    <w:rsid w:val="003F3142"/>
    <w:rsid w:val="003F41DA"/>
    <w:rsid w:val="003F5244"/>
    <w:rsid w:val="003F530B"/>
    <w:rsid w:val="003F5FE0"/>
    <w:rsid w:val="003F60BE"/>
    <w:rsid w:val="003F6E4E"/>
    <w:rsid w:val="003F77D3"/>
    <w:rsid w:val="004000C1"/>
    <w:rsid w:val="00400902"/>
    <w:rsid w:val="004011EC"/>
    <w:rsid w:val="004032AE"/>
    <w:rsid w:val="004033D4"/>
    <w:rsid w:val="00403872"/>
    <w:rsid w:val="00406383"/>
    <w:rsid w:val="0040645E"/>
    <w:rsid w:val="00406893"/>
    <w:rsid w:val="00406A47"/>
    <w:rsid w:val="004077E1"/>
    <w:rsid w:val="0041089D"/>
    <w:rsid w:val="00410F09"/>
    <w:rsid w:val="00413194"/>
    <w:rsid w:val="00413864"/>
    <w:rsid w:val="004171B4"/>
    <w:rsid w:val="00417FC4"/>
    <w:rsid w:val="00425EC8"/>
    <w:rsid w:val="004411CA"/>
    <w:rsid w:val="00443D81"/>
    <w:rsid w:val="0044531C"/>
    <w:rsid w:val="00445B12"/>
    <w:rsid w:val="00445EDD"/>
    <w:rsid w:val="00451058"/>
    <w:rsid w:val="0045278E"/>
    <w:rsid w:val="0045424F"/>
    <w:rsid w:val="00454BC0"/>
    <w:rsid w:val="004551DD"/>
    <w:rsid w:val="004569B6"/>
    <w:rsid w:val="00456C37"/>
    <w:rsid w:val="00461B44"/>
    <w:rsid w:val="004628C3"/>
    <w:rsid w:val="00462B48"/>
    <w:rsid w:val="00463FB0"/>
    <w:rsid w:val="00466B3B"/>
    <w:rsid w:val="00466F24"/>
    <w:rsid w:val="00470392"/>
    <w:rsid w:val="00470627"/>
    <w:rsid w:val="00471783"/>
    <w:rsid w:val="00471909"/>
    <w:rsid w:val="004770C1"/>
    <w:rsid w:val="00480102"/>
    <w:rsid w:val="004809A4"/>
    <w:rsid w:val="00483ECB"/>
    <w:rsid w:val="004842DD"/>
    <w:rsid w:val="00484E48"/>
    <w:rsid w:val="004855F1"/>
    <w:rsid w:val="00487B3A"/>
    <w:rsid w:val="00487D48"/>
    <w:rsid w:val="00490E71"/>
    <w:rsid w:val="00491D4C"/>
    <w:rsid w:val="00492866"/>
    <w:rsid w:val="004953FF"/>
    <w:rsid w:val="0049638D"/>
    <w:rsid w:val="00497503"/>
    <w:rsid w:val="00497B7E"/>
    <w:rsid w:val="004A13E5"/>
    <w:rsid w:val="004A1A20"/>
    <w:rsid w:val="004A233E"/>
    <w:rsid w:val="004A2C80"/>
    <w:rsid w:val="004A37B9"/>
    <w:rsid w:val="004A3EB0"/>
    <w:rsid w:val="004A403A"/>
    <w:rsid w:val="004A501E"/>
    <w:rsid w:val="004A51F6"/>
    <w:rsid w:val="004A65D8"/>
    <w:rsid w:val="004A6DF4"/>
    <w:rsid w:val="004A751B"/>
    <w:rsid w:val="004B0BDA"/>
    <w:rsid w:val="004B1A7F"/>
    <w:rsid w:val="004B1C32"/>
    <w:rsid w:val="004B638C"/>
    <w:rsid w:val="004B70A5"/>
    <w:rsid w:val="004C1750"/>
    <w:rsid w:val="004C20EE"/>
    <w:rsid w:val="004C2D2E"/>
    <w:rsid w:val="004C4936"/>
    <w:rsid w:val="004C5640"/>
    <w:rsid w:val="004C627A"/>
    <w:rsid w:val="004D0BB6"/>
    <w:rsid w:val="004D10E4"/>
    <w:rsid w:val="004D245C"/>
    <w:rsid w:val="004D36E3"/>
    <w:rsid w:val="004D5E09"/>
    <w:rsid w:val="004E101F"/>
    <w:rsid w:val="004E20CE"/>
    <w:rsid w:val="004E2CBB"/>
    <w:rsid w:val="004E4491"/>
    <w:rsid w:val="004E450B"/>
    <w:rsid w:val="004E4F3F"/>
    <w:rsid w:val="004E5204"/>
    <w:rsid w:val="004E5434"/>
    <w:rsid w:val="004E603E"/>
    <w:rsid w:val="004E6267"/>
    <w:rsid w:val="004F1296"/>
    <w:rsid w:val="004F16FC"/>
    <w:rsid w:val="004F217C"/>
    <w:rsid w:val="004F25FC"/>
    <w:rsid w:val="004F59D3"/>
    <w:rsid w:val="004F5CBD"/>
    <w:rsid w:val="004F6C57"/>
    <w:rsid w:val="004F6DC4"/>
    <w:rsid w:val="0050013B"/>
    <w:rsid w:val="00500741"/>
    <w:rsid w:val="00502BFE"/>
    <w:rsid w:val="005045BA"/>
    <w:rsid w:val="00504E97"/>
    <w:rsid w:val="0050531A"/>
    <w:rsid w:val="00505AE3"/>
    <w:rsid w:val="0050618D"/>
    <w:rsid w:val="00510619"/>
    <w:rsid w:val="00510CB6"/>
    <w:rsid w:val="00511DFB"/>
    <w:rsid w:val="00512B05"/>
    <w:rsid w:val="00512B0E"/>
    <w:rsid w:val="00513648"/>
    <w:rsid w:val="00513A73"/>
    <w:rsid w:val="00513F1B"/>
    <w:rsid w:val="005146E7"/>
    <w:rsid w:val="00516305"/>
    <w:rsid w:val="00516719"/>
    <w:rsid w:val="005169F2"/>
    <w:rsid w:val="00520F89"/>
    <w:rsid w:val="00521FE5"/>
    <w:rsid w:val="005220DB"/>
    <w:rsid w:val="00522CB8"/>
    <w:rsid w:val="005250EA"/>
    <w:rsid w:val="005252C8"/>
    <w:rsid w:val="00526601"/>
    <w:rsid w:val="00530F8C"/>
    <w:rsid w:val="00532FED"/>
    <w:rsid w:val="00535550"/>
    <w:rsid w:val="00537326"/>
    <w:rsid w:val="00541022"/>
    <w:rsid w:val="00542F56"/>
    <w:rsid w:val="005444D9"/>
    <w:rsid w:val="005473F9"/>
    <w:rsid w:val="00547C9D"/>
    <w:rsid w:val="00554675"/>
    <w:rsid w:val="005548A2"/>
    <w:rsid w:val="005551AD"/>
    <w:rsid w:val="00556A2A"/>
    <w:rsid w:val="005610DA"/>
    <w:rsid w:val="00561BB7"/>
    <w:rsid w:val="00562641"/>
    <w:rsid w:val="00562B70"/>
    <w:rsid w:val="005672E5"/>
    <w:rsid w:val="00570A1E"/>
    <w:rsid w:val="005716FA"/>
    <w:rsid w:val="00572466"/>
    <w:rsid w:val="00573E18"/>
    <w:rsid w:val="00573F3C"/>
    <w:rsid w:val="00574116"/>
    <w:rsid w:val="00574F81"/>
    <w:rsid w:val="00575DA9"/>
    <w:rsid w:val="005760E6"/>
    <w:rsid w:val="0058051D"/>
    <w:rsid w:val="00583752"/>
    <w:rsid w:val="005839D0"/>
    <w:rsid w:val="005858F9"/>
    <w:rsid w:val="005874B4"/>
    <w:rsid w:val="005900F1"/>
    <w:rsid w:val="005918BE"/>
    <w:rsid w:val="00592980"/>
    <w:rsid w:val="00592FF0"/>
    <w:rsid w:val="00594F28"/>
    <w:rsid w:val="005962F1"/>
    <w:rsid w:val="00596FCF"/>
    <w:rsid w:val="005A2AD9"/>
    <w:rsid w:val="005A32AC"/>
    <w:rsid w:val="005A657E"/>
    <w:rsid w:val="005A6DFE"/>
    <w:rsid w:val="005B394D"/>
    <w:rsid w:val="005B3FC0"/>
    <w:rsid w:val="005B5D98"/>
    <w:rsid w:val="005B5E24"/>
    <w:rsid w:val="005B5F12"/>
    <w:rsid w:val="005B62E1"/>
    <w:rsid w:val="005B6316"/>
    <w:rsid w:val="005B6D42"/>
    <w:rsid w:val="005C0302"/>
    <w:rsid w:val="005C04D0"/>
    <w:rsid w:val="005C0D79"/>
    <w:rsid w:val="005C2B65"/>
    <w:rsid w:val="005C33FD"/>
    <w:rsid w:val="005C4DAF"/>
    <w:rsid w:val="005C5A94"/>
    <w:rsid w:val="005C655C"/>
    <w:rsid w:val="005C70BE"/>
    <w:rsid w:val="005C7370"/>
    <w:rsid w:val="005D0D2C"/>
    <w:rsid w:val="005D2A84"/>
    <w:rsid w:val="005D36D8"/>
    <w:rsid w:val="005D4020"/>
    <w:rsid w:val="005D6933"/>
    <w:rsid w:val="005E001D"/>
    <w:rsid w:val="005E2071"/>
    <w:rsid w:val="005E2523"/>
    <w:rsid w:val="005E2EB8"/>
    <w:rsid w:val="005E4854"/>
    <w:rsid w:val="005E6212"/>
    <w:rsid w:val="005E7DFD"/>
    <w:rsid w:val="005F0286"/>
    <w:rsid w:val="005F0794"/>
    <w:rsid w:val="005F0847"/>
    <w:rsid w:val="005F17D7"/>
    <w:rsid w:val="005F4AF1"/>
    <w:rsid w:val="005F7B90"/>
    <w:rsid w:val="006004A9"/>
    <w:rsid w:val="0060096C"/>
    <w:rsid w:val="006024F1"/>
    <w:rsid w:val="00604018"/>
    <w:rsid w:val="00605123"/>
    <w:rsid w:val="00605187"/>
    <w:rsid w:val="00605B1F"/>
    <w:rsid w:val="006075E4"/>
    <w:rsid w:val="00611264"/>
    <w:rsid w:val="006116EE"/>
    <w:rsid w:val="00613686"/>
    <w:rsid w:val="00613851"/>
    <w:rsid w:val="00614484"/>
    <w:rsid w:val="00622227"/>
    <w:rsid w:val="006228BB"/>
    <w:rsid w:val="006234E9"/>
    <w:rsid w:val="00624A1F"/>
    <w:rsid w:val="00624AEB"/>
    <w:rsid w:val="00624C96"/>
    <w:rsid w:val="006251B0"/>
    <w:rsid w:val="0062670A"/>
    <w:rsid w:val="00627A8D"/>
    <w:rsid w:val="00631551"/>
    <w:rsid w:val="00634F5C"/>
    <w:rsid w:val="00635A03"/>
    <w:rsid w:val="00636329"/>
    <w:rsid w:val="0064086E"/>
    <w:rsid w:val="00640B38"/>
    <w:rsid w:val="00642E33"/>
    <w:rsid w:val="00643A57"/>
    <w:rsid w:val="00644274"/>
    <w:rsid w:val="00644C98"/>
    <w:rsid w:val="0064702E"/>
    <w:rsid w:val="00650D06"/>
    <w:rsid w:val="00651F88"/>
    <w:rsid w:val="0065206B"/>
    <w:rsid w:val="006520F5"/>
    <w:rsid w:val="006623FA"/>
    <w:rsid w:val="00662A93"/>
    <w:rsid w:val="00662CE1"/>
    <w:rsid w:val="006646CD"/>
    <w:rsid w:val="00665DAD"/>
    <w:rsid w:val="00666351"/>
    <w:rsid w:val="006677AF"/>
    <w:rsid w:val="00673A1A"/>
    <w:rsid w:val="00677F98"/>
    <w:rsid w:val="006817E2"/>
    <w:rsid w:val="00681A79"/>
    <w:rsid w:val="006835F1"/>
    <w:rsid w:val="00683945"/>
    <w:rsid w:val="006847F4"/>
    <w:rsid w:val="006868C6"/>
    <w:rsid w:val="0068709B"/>
    <w:rsid w:val="006907B3"/>
    <w:rsid w:val="0069182F"/>
    <w:rsid w:val="006928C8"/>
    <w:rsid w:val="006962E1"/>
    <w:rsid w:val="00696404"/>
    <w:rsid w:val="00697EF2"/>
    <w:rsid w:val="006A0711"/>
    <w:rsid w:val="006A191D"/>
    <w:rsid w:val="006A535F"/>
    <w:rsid w:val="006A5D2B"/>
    <w:rsid w:val="006A6079"/>
    <w:rsid w:val="006B256F"/>
    <w:rsid w:val="006B2812"/>
    <w:rsid w:val="006B2E4D"/>
    <w:rsid w:val="006B3926"/>
    <w:rsid w:val="006B39C7"/>
    <w:rsid w:val="006B3C70"/>
    <w:rsid w:val="006B4520"/>
    <w:rsid w:val="006B4A4C"/>
    <w:rsid w:val="006B620C"/>
    <w:rsid w:val="006B7162"/>
    <w:rsid w:val="006C1BD3"/>
    <w:rsid w:val="006C2726"/>
    <w:rsid w:val="006C277F"/>
    <w:rsid w:val="006C2E36"/>
    <w:rsid w:val="006C31C7"/>
    <w:rsid w:val="006C461F"/>
    <w:rsid w:val="006D1063"/>
    <w:rsid w:val="006D15A4"/>
    <w:rsid w:val="006D661D"/>
    <w:rsid w:val="006D73AD"/>
    <w:rsid w:val="006D7B51"/>
    <w:rsid w:val="006E0440"/>
    <w:rsid w:val="006E388E"/>
    <w:rsid w:val="006E469D"/>
    <w:rsid w:val="006E497F"/>
    <w:rsid w:val="006E63A2"/>
    <w:rsid w:val="006F0344"/>
    <w:rsid w:val="006F1A53"/>
    <w:rsid w:val="006F1E0B"/>
    <w:rsid w:val="006F253D"/>
    <w:rsid w:val="006F2D2A"/>
    <w:rsid w:val="006F38FD"/>
    <w:rsid w:val="006F4056"/>
    <w:rsid w:val="006F4CA1"/>
    <w:rsid w:val="006F5FAC"/>
    <w:rsid w:val="006F6630"/>
    <w:rsid w:val="006F689F"/>
    <w:rsid w:val="006F78AD"/>
    <w:rsid w:val="006F7F4A"/>
    <w:rsid w:val="007004EA"/>
    <w:rsid w:val="00700EE1"/>
    <w:rsid w:val="007015F3"/>
    <w:rsid w:val="00701639"/>
    <w:rsid w:val="0070362A"/>
    <w:rsid w:val="0070380B"/>
    <w:rsid w:val="0070469A"/>
    <w:rsid w:val="00705029"/>
    <w:rsid w:val="00705103"/>
    <w:rsid w:val="00705882"/>
    <w:rsid w:val="007066E2"/>
    <w:rsid w:val="00706CCB"/>
    <w:rsid w:val="00707317"/>
    <w:rsid w:val="00712065"/>
    <w:rsid w:val="00712AC3"/>
    <w:rsid w:val="00713B7A"/>
    <w:rsid w:val="00714287"/>
    <w:rsid w:val="007146EA"/>
    <w:rsid w:val="00720B51"/>
    <w:rsid w:val="00721DAB"/>
    <w:rsid w:val="00723F73"/>
    <w:rsid w:val="00725DCF"/>
    <w:rsid w:val="00727575"/>
    <w:rsid w:val="007276FC"/>
    <w:rsid w:val="00727761"/>
    <w:rsid w:val="00727E32"/>
    <w:rsid w:val="007349BB"/>
    <w:rsid w:val="00734DD3"/>
    <w:rsid w:val="00740809"/>
    <w:rsid w:val="00740987"/>
    <w:rsid w:val="00741340"/>
    <w:rsid w:val="00743192"/>
    <w:rsid w:val="00743263"/>
    <w:rsid w:val="007460BB"/>
    <w:rsid w:val="00747765"/>
    <w:rsid w:val="00747E08"/>
    <w:rsid w:val="00751D1C"/>
    <w:rsid w:val="00751EF0"/>
    <w:rsid w:val="00752123"/>
    <w:rsid w:val="00752418"/>
    <w:rsid w:val="00753977"/>
    <w:rsid w:val="0075410F"/>
    <w:rsid w:val="00755D31"/>
    <w:rsid w:val="00755FA0"/>
    <w:rsid w:val="00756282"/>
    <w:rsid w:val="007574C5"/>
    <w:rsid w:val="00757B8F"/>
    <w:rsid w:val="007615FC"/>
    <w:rsid w:val="00761805"/>
    <w:rsid w:val="00761894"/>
    <w:rsid w:val="00762BB5"/>
    <w:rsid w:val="00762CD1"/>
    <w:rsid w:val="00764109"/>
    <w:rsid w:val="007642DD"/>
    <w:rsid w:val="007642E6"/>
    <w:rsid w:val="00764928"/>
    <w:rsid w:val="007657EB"/>
    <w:rsid w:val="00765998"/>
    <w:rsid w:val="007661F6"/>
    <w:rsid w:val="00767EC3"/>
    <w:rsid w:val="00770ABB"/>
    <w:rsid w:val="00770F44"/>
    <w:rsid w:val="00771D6A"/>
    <w:rsid w:val="0077330E"/>
    <w:rsid w:val="00775F45"/>
    <w:rsid w:val="0078184C"/>
    <w:rsid w:val="007818FB"/>
    <w:rsid w:val="00782BD6"/>
    <w:rsid w:val="00783AD4"/>
    <w:rsid w:val="00784E29"/>
    <w:rsid w:val="00787E67"/>
    <w:rsid w:val="00790912"/>
    <w:rsid w:val="00791F39"/>
    <w:rsid w:val="007923E0"/>
    <w:rsid w:val="0079360E"/>
    <w:rsid w:val="0079442B"/>
    <w:rsid w:val="007952A8"/>
    <w:rsid w:val="00797281"/>
    <w:rsid w:val="007A2782"/>
    <w:rsid w:val="007A2A43"/>
    <w:rsid w:val="007A32E2"/>
    <w:rsid w:val="007A4FAF"/>
    <w:rsid w:val="007A687F"/>
    <w:rsid w:val="007B157A"/>
    <w:rsid w:val="007B2FC7"/>
    <w:rsid w:val="007B37EF"/>
    <w:rsid w:val="007B6516"/>
    <w:rsid w:val="007B6AF9"/>
    <w:rsid w:val="007B72E7"/>
    <w:rsid w:val="007C05DE"/>
    <w:rsid w:val="007C0CBF"/>
    <w:rsid w:val="007C0E99"/>
    <w:rsid w:val="007C0F43"/>
    <w:rsid w:val="007C6CFD"/>
    <w:rsid w:val="007D0909"/>
    <w:rsid w:val="007D1348"/>
    <w:rsid w:val="007D179C"/>
    <w:rsid w:val="007D222C"/>
    <w:rsid w:val="007D280D"/>
    <w:rsid w:val="007D2DA7"/>
    <w:rsid w:val="007D3565"/>
    <w:rsid w:val="007D37D4"/>
    <w:rsid w:val="007D6E02"/>
    <w:rsid w:val="007E08C9"/>
    <w:rsid w:val="007E15D9"/>
    <w:rsid w:val="007E1826"/>
    <w:rsid w:val="007E5719"/>
    <w:rsid w:val="007F2BD2"/>
    <w:rsid w:val="007F3EB6"/>
    <w:rsid w:val="007F6FDC"/>
    <w:rsid w:val="007F7012"/>
    <w:rsid w:val="00800210"/>
    <w:rsid w:val="008012E7"/>
    <w:rsid w:val="0080241C"/>
    <w:rsid w:val="00803167"/>
    <w:rsid w:val="00804491"/>
    <w:rsid w:val="00805649"/>
    <w:rsid w:val="00810680"/>
    <w:rsid w:val="008107C4"/>
    <w:rsid w:val="008115B2"/>
    <w:rsid w:val="00811E9B"/>
    <w:rsid w:val="008137B6"/>
    <w:rsid w:val="0081541F"/>
    <w:rsid w:val="008166F3"/>
    <w:rsid w:val="0081684A"/>
    <w:rsid w:val="00816A7E"/>
    <w:rsid w:val="00817BB0"/>
    <w:rsid w:val="00820087"/>
    <w:rsid w:val="00820FC4"/>
    <w:rsid w:val="0082163B"/>
    <w:rsid w:val="00822545"/>
    <w:rsid w:val="00823E5F"/>
    <w:rsid w:val="00825A48"/>
    <w:rsid w:val="00826ED4"/>
    <w:rsid w:val="00832389"/>
    <w:rsid w:val="00834D46"/>
    <w:rsid w:val="00835680"/>
    <w:rsid w:val="00835F1C"/>
    <w:rsid w:val="00836206"/>
    <w:rsid w:val="0083787A"/>
    <w:rsid w:val="00837E1E"/>
    <w:rsid w:val="00840653"/>
    <w:rsid w:val="0084081E"/>
    <w:rsid w:val="008421B7"/>
    <w:rsid w:val="008458E2"/>
    <w:rsid w:val="00846B94"/>
    <w:rsid w:val="00850E01"/>
    <w:rsid w:val="00851767"/>
    <w:rsid w:val="0085242C"/>
    <w:rsid w:val="00853D39"/>
    <w:rsid w:val="008552F8"/>
    <w:rsid w:val="00856F40"/>
    <w:rsid w:val="00857548"/>
    <w:rsid w:val="00857E15"/>
    <w:rsid w:val="008620A1"/>
    <w:rsid w:val="00862457"/>
    <w:rsid w:val="00865CBD"/>
    <w:rsid w:val="00866318"/>
    <w:rsid w:val="0086658E"/>
    <w:rsid w:val="00867654"/>
    <w:rsid w:val="00867A6A"/>
    <w:rsid w:val="008702CB"/>
    <w:rsid w:val="0087337F"/>
    <w:rsid w:val="008753D7"/>
    <w:rsid w:val="00875803"/>
    <w:rsid w:val="00875E25"/>
    <w:rsid w:val="008779D4"/>
    <w:rsid w:val="00877B2F"/>
    <w:rsid w:val="0088125F"/>
    <w:rsid w:val="008823C1"/>
    <w:rsid w:val="00886D05"/>
    <w:rsid w:val="0088783B"/>
    <w:rsid w:val="00891D7E"/>
    <w:rsid w:val="00892FC2"/>
    <w:rsid w:val="008932A4"/>
    <w:rsid w:val="00893FB4"/>
    <w:rsid w:val="00896D89"/>
    <w:rsid w:val="008A0E79"/>
    <w:rsid w:val="008A5859"/>
    <w:rsid w:val="008B0E6A"/>
    <w:rsid w:val="008B25DB"/>
    <w:rsid w:val="008B3585"/>
    <w:rsid w:val="008B5EFD"/>
    <w:rsid w:val="008B7956"/>
    <w:rsid w:val="008B7E55"/>
    <w:rsid w:val="008C0679"/>
    <w:rsid w:val="008C0A8E"/>
    <w:rsid w:val="008C11BB"/>
    <w:rsid w:val="008C3EF7"/>
    <w:rsid w:val="008C7774"/>
    <w:rsid w:val="008D1477"/>
    <w:rsid w:val="008D1D4A"/>
    <w:rsid w:val="008D26F3"/>
    <w:rsid w:val="008D3D7F"/>
    <w:rsid w:val="008D49E7"/>
    <w:rsid w:val="008D6749"/>
    <w:rsid w:val="008D69E1"/>
    <w:rsid w:val="008D727E"/>
    <w:rsid w:val="008E0107"/>
    <w:rsid w:val="008E158D"/>
    <w:rsid w:val="008E27A2"/>
    <w:rsid w:val="008E39D6"/>
    <w:rsid w:val="008E3E19"/>
    <w:rsid w:val="008E4318"/>
    <w:rsid w:val="008E7AC8"/>
    <w:rsid w:val="008F2B28"/>
    <w:rsid w:val="008F375D"/>
    <w:rsid w:val="008F39F8"/>
    <w:rsid w:val="008F414D"/>
    <w:rsid w:val="008F574B"/>
    <w:rsid w:val="008F6D05"/>
    <w:rsid w:val="008F6DDC"/>
    <w:rsid w:val="00900AF4"/>
    <w:rsid w:val="00900D4E"/>
    <w:rsid w:val="00900F5C"/>
    <w:rsid w:val="00900F8C"/>
    <w:rsid w:val="009017C8"/>
    <w:rsid w:val="009019FA"/>
    <w:rsid w:val="00902283"/>
    <w:rsid w:val="009028A4"/>
    <w:rsid w:val="009032A1"/>
    <w:rsid w:val="009033D0"/>
    <w:rsid w:val="00903C9D"/>
    <w:rsid w:val="009055A4"/>
    <w:rsid w:val="00906156"/>
    <w:rsid w:val="00907C05"/>
    <w:rsid w:val="00910A0B"/>
    <w:rsid w:val="009123E8"/>
    <w:rsid w:val="00913629"/>
    <w:rsid w:val="009163B3"/>
    <w:rsid w:val="009178A1"/>
    <w:rsid w:val="009200FE"/>
    <w:rsid w:val="009209AF"/>
    <w:rsid w:val="00925CF6"/>
    <w:rsid w:val="009271FC"/>
    <w:rsid w:val="00927F43"/>
    <w:rsid w:val="00931BE1"/>
    <w:rsid w:val="00935C90"/>
    <w:rsid w:val="00936A27"/>
    <w:rsid w:val="00941154"/>
    <w:rsid w:val="00941CD9"/>
    <w:rsid w:val="009443BF"/>
    <w:rsid w:val="009453A8"/>
    <w:rsid w:val="0094627F"/>
    <w:rsid w:val="009462B9"/>
    <w:rsid w:val="00950BC6"/>
    <w:rsid w:val="00951B55"/>
    <w:rsid w:val="009561AA"/>
    <w:rsid w:val="0095675E"/>
    <w:rsid w:val="00961231"/>
    <w:rsid w:val="00962B19"/>
    <w:rsid w:val="00962B8D"/>
    <w:rsid w:val="00962CB3"/>
    <w:rsid w:val="00963894"/>
    <w:rsid w:val="00964743"/>
    <w:rsid w:val="009648F5"/>
    <w:rsid w:val="009661DF"/>
    <w:rsid w:val="009662DD"/>
    <w:rsid w:val="0097211A"/>
    <w:rsid w:val="00972A93"/>
    <w:rsid w:val="00972D5D"/>
    <w:rsid w:val="00972F74"/>
    <w:rsid w:val="00974936"/>
    <w:rsid w:val="00974AFC"/>
    <w:rsid w:val="00975194"/>
    <w:rsid w:val="009774A2"/>
    <w:rsid w:val="009822E2"/>
    <w:rsid w:val="00983313"/>
    <w:rsid w:val="0098663E"/>
    <w:rsid w:val="00997369"/>
    <w:rsid w:val="0099753C"/>
    <w:rsid w:val="009A04A4"/>
    <w:rsid w:val="009A1098"/>
    <w:rsid w:val="009A38CD"/>
    <w:rsid w:val="009A3985"/>
    <w:rsid w:val="009B0932"/>
    <w:rsid w:val="009B0BEE"/>
    <w:rsid w:val="009B33DC"/>
    <w:rsid w:val="009B3E4D"/>
    <w:rsid w:val="009B5939"/>
    <w:rsid w:val="009C0763"/>
    <w:rsid w:val="009C0D78"/>
    <w:rsid w:val="009C1272"/>
    <w:rsid w:val="009C364C"/>
    <w:rsid w:val="009C3708"/>
    <w:rsid w:val="009C4DA3"/>
    <w:rsid w:val="009C52ED"/>
    <w:rsid w:val="009C5641"/>
    <w:rsid w:val="009C6332"/>
    <w:rsid w:val="009C675A"/>
    <w:rsid w:val="009C6D50"/>
    <w:rsid w:val="009C7B52"/>
    <w:rsid w:val="009D1E16"/>
    <w:rsid w:val="009D3451"/>
    <w:rsid w:val="009D70F4"/>
    <w:rsid w:val="009E1360"/>
    <w:rsid w:val="009E21E3"/>
    <w:rsid w:val="009E5B83"/>
    <w:rsid w:val="009F0904"/>
    <w:rsid w:val="009F10FE"/>
    <w:rsid w:val="009F2C2F"/>
    <w:rsid w:val="009F38E1"/>
    <w:rsid w:val="009F3DDE"/>
    <w:rsid w:val="009F570E"/>
    <w:rsid w:val="009F5854"/>
    <w:rsid w:val="009F7255"/>
    <w:rsid w:val="009F7CCE"/>
    <w:rsid w:val="00A00163"/>
    <w:rsid w:val="00A00BC1"/>
    <w:rsid w:val="00A01AC4"/>
    <w:rsid w:val="00A04127"/>
    <w:rsid w:val="00A11D70"/>
    <w:rsid w:val="00A12D75"/>
    <w:rsid w:val="00A13EEA"/>
    <w:rsid w:val="00A15FCC"/>
    <w:rsid w:val="00A17206"/>
    <w:rsid w:val="00A2075E"/>
    <w:rsid w:val="00A2125F"/>
    <w:rsid w:val="00A214CD"/>
    <w:rsid w:val="00A23A1D"/>
    <w:rsid w:val="00A257BA"/>
    <w:rsid w:val="00A30349"/>
    <w:rsid w:val="00A325E3"/>
    <w:rsid w:val="00A327C2"/>
    <w:rsid w:val="00A34A95"/>
    <w:rsid w:val="00A35655"/>
    <w:rsid w:val="00A36A5A"/>
    <w:rsid w:val="00A37CA1"/>
    <w:rsid w:val="00A4088A"/>
    <w:rsid w:val="00A408BA"/>
    <w:rsid w:val="00A41575"/>
    <w:rsid w:val="00A439CB"/>
    <w:rsid w:val="00A44688"/>
    <w:rsid w:val="00A44D99"/>
    <w:rsid w:val="00A51DE4"/>
    <w:rsid w:val="00A52B9E"/>
    <w:rsid w:val="00A5311D"/>
    <w:rsid w:val="00A53560"/>
    <w:rsid w:val="00A55DAB"/>
    <w:rsid w:val="00A5763A"/>
    <w:rsid w:val="00A61A15"/>
    <w:rsid w:val="00A627EF"/>
    <w:rsid w:val="00A63004"/>
    <w:rsid w:val="00A64189"/>
    <w:rsid w:val="00A643DE"/>
    <w:rsid w:val="00A64F62"/>
    <w:rsid w:val="00A65B06"/>
    <w:rsid w:val="00A669A2"/>
    <w:rsid w:val="00A675A9"/>
    <w:rsid w:val="00A67E26"/>
    <w:rsid w:val="00A71039"/>
    <w:rsid w:val="00A723FE"/>
    <w:rsid w:val="00A7244B"/>
    <w:rsid w:val="00A81BF6"/>
    <w:rsid w:val="00A82DA2"/>
    <w:rsid w:val="00A8702E"/>
    <w:rsid w:val="00A9389C"/>
    <w:rsid w:val="00A93E8D"/>
    <w:rsid w:val="00A94A72"/>
    <w:rsid w:val="00A95E4E"/>
    <w:rsid w:val="00A95EE7"/>
    <w:rsid w:val="00A96B38"/>
    <w:rsid w:val="00A97A91"/>
    <w:rsid w:val="00A97D78"/>
    <w:rsid w:val="00AA207C"/>
    <w:rsid w:val="00AA270D"/>
    <w:rsid w:val="00AA3246"/>
    <w:rsid w:val="00AA42E8"/>
    <w:rsid w:val="00AA5406"/>
    <w:rsid w:val="00AA570A"/>
    <w:rsid w:val="00AA6CF6"/>
    <w:rsid w:val="00AA6D6D"/>
    <w:rsid w:val="00AA7675"/>
    <w:rsid w:val="00AA794D"/>
    <w:rsid w:val="00AA7C75"/>
    <w:rsid w:val="00AB089F"/>
    <w:rsid w:val="00AB1DA0"/>
    <w:rsid w:val="00AB2D05"/>
    <w:rsid w:val="00AB68CC"/>
    <w:rsid w:val="00AB6BAD"/>
    <w:rsid w:val="00AB727D"/>
    <w:rsid w:val="00AC0153"/>
    <w:rsid w:val="00AC0942"/>
    <w:rsid w:val="00AC20AA"/>
    <w:rsid w:val="00AC2765"/>
    <w:rsid w:val="00AC38AD"/>
    <w:rsid w:val="00AC443B"/>
    <w:rsid w:val="00AC6018"/>
    <w:rsid w:val="00AD2B49"/>
    <w:rsid w:val="00AE0436"/>
    <w:rsid w:val="00AE0C90"/>
    <w:rsid w:val="00AE2678"/>
    <w:rsid w:val="00AE5E12"/>
    <w:rsid w:val="00AE708C"/>
    <w:rsid w:val="00AF0019"/>
    <w:rsid w:val="00AF167A"/>
    <w:rsid w:val="00AF3110"/>
    <w:rsid w:val="00AF314F"/>
    <w:rsid w:val="00AF4579"/>
    <w:rsid w:val="00AF4A46"/>
    <w:rsid w:val="00AF599D"/>
    <w:rsid w:val="00AF7C38"/>
    <w:rsid w:val="00B01378"/>
    <w:rsid w:val="00B0223E"/>
    <w:rsid w:val="00B026BB"/>
    <w:rsid w:val="00B036F6"/>
    <w:rsid w:val="00B03731"/>
    <w:rsid w:val="00B042DD"/>
    <w:rsid w:val="00B067D7"/>
    <w:rsid w:val="00B07CBC"/>
    <w:rsid w:val="00B07CDB"/>
    <w:rsid w:val="00B10A5F"/>
    <w:rsid w:val="00B119EB"/>
    <w:rsid w:val="00B12ADA"/>
    <w:rsid w:val="00B13257"/>
    <w:rsid w:val="00B13782"/>
    <w:rsid w:val="00B172EA"/>
    <w:rsid w:val="00B22988"/>
    <w:rsid w:val="00B22CBC"/>
    <w:rsid w:val="00B262EF"/>
    <w:rsid w:val="00B274B8"/>
    <w:rsid w:val="00B307E7"/>
    <w:rsid w:val="00B32532"/>
    <w:rsid w:val="00B3490C"/>
    <w:rsid w:val="00B35117"/>
    <w:rsid w:val="00B35309"/>
    <w:rsid w:val="00B35DA1"/>
    <w:rsid w:val="00B37B79"/>
    <w:rsid w:val="00B44B8D"/>
    <w:rsid w:val="00B4755E"/>
    <w:rsid w:val="00B500DC"/>
    <w:rsid w:val="00B500F1"/>
    <w:rsid w:val="00B518E2"/>
    <w:rsid w:val="00B53ED7"/>
    <w:rsid w:val="00B54B1B"/>
    <w:rsid w:val="00B55518"/>
    <w:rsid w:val="00B557D2"/>
    <w:rsid w:val="00B55C27"/>
    <w:rsid w:val="00B55EFB"/>
    <w:rsid w:val="00B57E40"/>
    <w:rsid w:val="00B62928"/>
    <w:rsid w:val="00B63822"/>
    <w:rsid w:val="00B6428C"/>
    <w:rsid w:val="00B6693A"/>
    <w:rsid w:val="00B67540"/>
    <w:rsid w:val="00B7034E"/>
    <w:rsid w:val="00B707F4"/>
    <w:rsid w:val="00B70D89"/>
    <w:rsid w:val="00B70F31"/>
    <w:rsid w:val="00B72EDA"/>
    <w:rsid w:val="00B7359F"/>
    <w:rsid w:val="00B75303"/>
    <w:rsid w:val="00B76968"/>
    <w:rsid w:val="00B77A2A"/>
    <w:rsid w:val="00B80BB0"/>
    <w:rsid w:val="00B8113A"/>
    <w:rsid w:val="00B81B85"/>
    <w:rsid w:val="00B8248C"/>
    <w:rsid w:val="00B82E02"/>
    <w:rsid w:val="00B84002"/>
    <w:rsid w:val="00B84C5B"/>
    <w:rsid w:val="00B84D90"/>
    <w:rsid w:val="00B84F25"/>
    <w:rsid w:val="00B84F8F"/>
    <w:rsid w:val="00B85A78"/>
    <w:rsid w:val="00B90581"/>
    <w:rsid w:val="00B91B01"/>
    <w:rsid w:val="00B93AE0"/>
    <w:rsid w:val="00B93E20"/>
    <w:rsid w:val="00B96795"/>
    <w:rsid w:val="00B96953"/>
    <w:rsid w:val="00BA1BE1"/>
    <w:rsid w:val="00BA31A2"/>
    <w:rsid w:val="00BA4149"/>
    <w:rsid w:val="00BA4C23"/>
    <w:rsid w:val="00BA4CDE"/>
    <w:rsid w:val="00BA61CA"/>
    <w:rsid w:val="00BB1306"/>
    <w:rsid w:val="00BB13AF"/>
    <w:rsid w:val="00BB14B3"/>
    <w:rsid w:val="00BB20D2"/>
    <w:rsid w:val="00BB520F"/>
    <w:rsid w:val="00BC0078"/>
    <w:rsid w:val="00BC0B60"/>
    <w:rsid w:val="00BC0EAE"/>
    <w:rsid w:val="00BC3ACE"/>
    <w:rsid w:val="00BD36A5"/>
    <w:rsid w:val="00BD3713"/>
    <w:rsid w:val="00BD5225"/>
    <w:rsid w:val="00BD5D2E"/>
    <w:rsid w:val="00BD5E9D"/>
    <w:rsid w:val="00BD6527"/>
    <w:rsid w:val="00BD68F2"/>
    <w:rsid w:val="00BD7386"/>
    <w:rsid w:val="00BD75E2"/>
    <w:rsid w:val="00BE1878"/>
    <w:rsid w:val="00BE25B1"/>
    <w:rsid w:val="00BE2A8D"/>
    <w:rsid w:val="00BE3D6E"/>
    <w:rsid w:val="00BE4577"/>
    <w:rsid w:val="00BE523E"/>
    <w:rsid w:val="00BE5504"/>
    <w:rsid w:val="00BE61AA"/>
    <w:rsid w:val="00BE78C4"/>
    <w:rsid w:val="00BE7A46"/>
    <w:rsid w:val="00BF4143"/>
    <w:rsid w:val="00BF55F0"/>
    <w:rsid w:val="00BF5B1E"/>
    <w:rsid w:val="00BF6551"/>
    <w:rsid w:val="00BF70F1"/>
    <w:rsid w:val="00C01D93"/>
    <w:rsid w:val="00C0339E"/>
    <w:rsid w:val="00C0480F"/>
    <w:rsid w:val="00C07898"/>
    <w:rsid w:val="00C12A63"/>
    <w:rsid w:val="00C13694"/>
    <w:rsid w:val="00C13C33"/>
    <w:rsid w:val="00C14669"/>
    <w:rsid w:val="00C156FE"/>
    <w:rsid w:val="00C16582"/>
    <w:rsid w:val="00C20043"/>
    <w:rsid w:val="00C209D1"/>
    <w:rsid w:val="00C2117B"/>
    <w:rsid w:val="00C2150F"/>
    <w:rsid w:val="00C23651"/>
    <w:rsid w:val="00C23801"/>
    <w:rsid w:val="00C25DAF"/>
    <w:rsid w:val="00C2644C"/>
    <w:rsid w:val="00C27066"/>
    <w:rsid w:val="00C279DC"/>
    <w:rsid w:val="00C3054D"/>
    <w:rsid w:val="00C30CC0"/>
    <w:rsid w:val="00C31BC2"/>
    <w:rsid w:val="00C33516"/>
    <w:rsid w:val="00C34E9F"/>
    <w:rsid w:val="00C3582D"/>
    <w:rsid w:val="00C40F1B"/>
    <w:rsid w:val="00C418AC"/>
    <w:rsid w:val="00C420F0"/>
    <w:rsid w:val="00C42795"/>
    <w:rsid w:val="00C42CCF"/>
    <w:rsid w:val="00C44724"/>
    <w:rsid w:val="00C45FD3"/>
    <w:rsid w:val="00C5441E"/>
    <w:rsid w:val="00C553E7"/>
    <w:rsid w:val="00C558E8"/>
    <w:rsid w:val="00C62276"/>
    <w:rsid w:val="00C62706"/>
    <w:rsid w:val="00C65B25"/>
    <w:rsid w:val="00C70F2D"/>
    <w:rsid w:val="00C73E2F"/>
    <w:rsid w:val="00C74D7F"/>
    <w:rsid w:val="00C754FC"/>
    <w:rsid w:val="00C75C2A"/>
    <w:rsid w:val="00C776BD"/>
    <w:rsid w:val="00C779E6"/>
    <w:rsid w:val="00C77AE2"/>
    <w:rsid w:val="00C8011F"/>
    <w:rsid w:val="00C80236"/>
    <w:rsid w:val="00C8066C"/>
    <w:rsid w:val="00C84EA9"/>
    <w:rsid w:val="00C85E29"/>
    <w:rsid w:val="00C860C0"/>
    <w:rsid w:val="00C916AB"/>
    <w:rsid w:val="00C92875"/>
    <w:rsid w:val="00C934BD"/>
    <w:rsid w:val="00C9406C"/>
    <w:rsid w:val="00C944EA"/>
    <w:rsid w:val="00C978FB"/>
    <w:rsid w:val="00CA0057"/>
    <w:rsid w:val="00CA0CBA"/>
    <w:rsid w:val="00CA3CBB"/>
    <w:rsid w:val="00CA57B1"/>
    <w:rsid w:val="00CA5ACD"/>
    <w:rsid w:val="00CA61E0"/>
    <w:rsid w:val="00CA7018"/>
    <w:rsid w:val="00CA7D53"/>
    <w:rsid w:val="00CB0979"/>
    <w:rsid w:val="00CB2A95"/>
    <w:rsid w:val="00CB333A"/>
    <w:rsid w:val="00CB3E8F"/>
    <w:rsid w:val="00CB3ECD"/>
    <w:rsid w:val="00CB766B"/>
    <w:rsid w:val="00CB7F30"/>
    <w:rsid w:val="00CC002A"/>
    <w:rsid w:val="00CC1A7F"/>
    <w:rsid w:val="00CC2CAB"/>
    <w:rsid w:val="00CC511A"/>
    <w:rsid w:val="00CC5258"/>
    <w:rsid w:val="00CC7850"/>
    <w:rsid w:val="00CD1CCF"/>
    <w:rsid w:val="00CD1D2D"/>
    <w:rsid w:val="00CD360B"/>
    <w:rsid w:val="00CD51A8"/>
    <w:rsid w:val="00CE0790"/>
    <w:rsid w:val="00CE3055"/>
    <w:rsid w:val="00CE45A9"/>
    <w:rsid w:val="00CE5726"/>
    <w:rsid w:val="00CE612C"/>
    <w:rsid w:val="00CE7AEE"/>
    <w:rsid w:val="00CF0403"/>
    <w:rsid w:val="00CF08FB"/>
    <w:rsid w:val="00CF2E53"/>
    <w:rsid w:val="00CF33FD"/>
    <w:rsid w:val="00CF5931"/>
    <w:rsid w:val="00CF5E19"/>
    <w:rsid w:val="00D0121A"/>
    <w:rsid w:val="00D01531"/>
    <w:rsid w:val="00D05976"/>
    <w:rsid w:val="00D05D25"/>
    <w:rsid w:val="00D12B84"/>
    <w:rsid w:val="00D1459E"/>
    <w:rsid w:val="00D15697"/>
    <w:rsid w:val="00D1579B"/>
    <w:rsid w:val="00D169BA"/>
    <w:rsid w:val="00D20B3F"/>
    <w:rsid w:val="00D239AF"/>
    <w:rsid w:val="00D24867"/>
    <w:rsid w:val="00D24ED8"/>
    <w:rsid w:val="00D27228"/>
    <w:rsid w:val="00D30EDA"/>
    <w:rsid w:val="00D31ACE"/>
    <w:rsid w:val="00D31E07"/>
    <w:rsid w:val="00D329F1"/>
    <w:rsid w:val="00D339A9"/>
    <w:rsid w:val="00D33F03"/>
    <w:rsid w:val="00D34060"/>
    <w:rsid w:val="00D34CD1"/>
    <w:rsid w:val="00D35407"/>
    <w:rsid w:val="00D35C97"/>
    <w:rsid w:val="00D36347"/>
    <w:rsid w:val="00D36786"/>
    <w:rsid w:val="00D3712A"/>
    <w:rsid w:val="00D45B8F"/>
    <w:rsid w:val="00D47312"/>
    <w:rsid w:val="00D47AF7"/>
    <w:rsid w:val="00D524EF"/>
    <w:rsid w:val="00D53B21"/>
    <w:rsid w:val="00D54104"/>
    <w:rsid w:val="00D54B58"/>
    <w:rsid w:val="00D55672"/>
    <w:rsid w:val="00D56D45"/>
    <w:rsid w:val="00D56FC4"/>
    <w:rsid w:val="00D60B8F"/>
    <w:rsid w:val="00D611BB"/>
    <w:rsid w:val="00D629DE"/>
    <w:rsid w:val="00D62E7F"/>
    <w:rsid w:val="00D63689"/>
    <w:rsid w:val="00D63F95"/>
    <w:rsid w:val="00D66A0A"/>
    <w:rsid w:val="00D729E3"/>
    <w:rsid w:val="00D74528"/>
    <w:rsid w:val="00D77426"/>
    <w:rsid w:val="00D77FC8"/>
    <w:rsid w:val="00D809AA"/>
    <w:rsid w:val="00D81C2C"/>
    <w:rsid w:val="00D85756"/>
    <w:rsid w:val="00D86381"/>
    <w:rsid w:val="00D867D9"/>
    <w:rsid w:val="00D868D3"/>
    <w:rsid w:val="00D9080F"/>
    <w:rsid w:val="00D90E72"/>
    <w:rsid w:val="00D9164C"/>
    <w:rsid w:val="00D91CDF"/>
    <w:rsid w:val="00D91E18"/>
    <w:rsid w:val="00D92BF8"/>
    <w:rsid w:val="00D93DB3"/>
    <w:rsid w:val="00D952FB"/>
    <w:rsid w:val="00DA00AA"/>
    <w:rsid w:val="00DA2867"/>
    <w:rsid w:val="00DA399A"/>
    <w:rsid w:val="00DA5D0A"/>
    <w:rsid w:val="00DA6EE1"/>
    <w:rsid w:val="00DB0C84"/>
    <w:rsid w:val="00DB0D79"/>
    <w:rsid w:val="00DB1C2A"/>
    <w:rsid w:val="00DB4B8B"/>
    <w:rsid w:val="00DB6733"/>
    <w:rsid w:val="00DB7FFB"/>
    <w:rsid w:val="00DC25E1"/>
    <w:rsid w:val="00DC3589"/>
    <w:rsid w:val="00DC430D"/>
    <w:rsid w:val="00DC4643"/>
    <w:rsid w:val="00DC5294"/>
    <w:rsid w:val="00DC741B"/>
    <w:rsid w:val="00DD1960"/>
    <w:rsid w:val="00DD1F6F"/>
    <w:rsid w:val="00DD2208"/>
    <w:rsid w:val="00DD23A9"/>
    <w:rsid w:val="00DD32A5"/>
    <w:rsid w:val="00DD363C"/>
    <w:rsid w:val="00DD5BE9"/>
    <w:rsid w:val="00DE2134"/>
    <w:rsid w:val="00DE2B21"/>
    <w:rsid w:val="00DE2EAE"/>
    <w:rsid w:val="00DE3B6C"/>
    <w:rsid w:val="00DE5100"/>
    <w:rsid w:val="00DE5465"/>
    <w:rsid w:val="00DE694A"/>
    <w:rsid w:val="00DE715E"/>
    <w:rsid w:val="00DE7F3C"/>
    <w:rsid w:val="00DF0271"/>
    <w:rsid w:val="00DF0E16"/>
    <w:rsid w:val="00DF27BC"/>
    <w:rsid w:val="00DF298F"/>
    <w:rsid w:val="00DF3774"/>
    <w:rsid w:val="00DF67DA"/>
    <w:rsid w:val="00DF7125"/>
    <w:rsid w:val="00DF77BB"/>
    <w:rsid w:val="00E00BA1"/>
    <w:rsid w:val="00E019E9"/>
    <w:rsid w:val="00E01E12"/>
    <w:rsid w:val="00E02020"/>
    <w:rsid w:val="00E0227D"/>
    <w:rsid w:val="00E03A7D"/>
    <w:rsid w:val="00E06A3F"/>
    <w:rsid w:val="00E06DB2"/>
    <w:rsid w:val="00E1138C"/>
    <w:rsid w:val="00E11B09"/>
    <w:rsid w:val="00E12AFD"/>
    <w:rsid w:val="00E157A8"/>
    <w:rsid w:val="00E161E9"/>
    <w:rsid w:val="00E179DD"/>
    <w:rsid w:val="00E17FA1"/>
    <w:rsid w:val="00E218E6"/>
    <w:rsid w:val="00E2331B"/>
    <w:rsid w:val="00E272E8"/>
    <w:rsid w:val="00E27D3F"/>
    <w:rsid w:val="00E32319"/>
    <w:rsid w:val="00E34AA0"/>
    <w:rsid w:val="00E36501"/>
    <w:rsid w:val="00E37B69"/>
    <w:rsid w:val="00E4228A"/>
    <w:rsid w:val="00E45A35"/>
    <w:rsid w:val="00E45FD4"/>
    <w:rsid w:val="00E46D62"/>
    <w:rsid w:val="00E471BC"/>
    <w:rsid w:val="00E510F4"/>
    <w:rsid w:val="00E511B2"/>
    <w:rsid w:val="00E529F6"/>
    <w:rsid w:val="00E53C77"/>
    <w:rsid w:val="00E53DA2"/>
    <w:rsid w:val="00E54D4B"/>
    <w:rsid w:val="00E5626D"/>
    <w:rsid w:val="00E6170C"/>
    <w:rsid w:val="00E61A60"/>
    <w:rsid w:val="00E627C9"/>
    <w:rsid w:val="00E636EE"/>
    <w:rsid w:val="00E64CAE"/>
    <w:rsid w:val="00E676B7"/>
    <w:rsid w:val="00E67AC3"/>
    <w:rsid w:val="00E67BE0"/>
    <w:rsid w:val="00E67C01"/>
    <w:rsid w:val="00E67CDF"/>
    <w:rsid w:val="00E67F1B"/>
    <w:rsid w:val="00E722AD"/>
    <w:rsid w:val="00E727D5"/>
    <w:rsid w:val="00E73EA2"/>
    <w:rsid w:val="00E76557"/>
    <w:rsid w:val="00E80589"/>
    <w:rsid w:val="00E80D94"/>
    <w:rsid w:val="00E8152E"/>
    <w:rsid w:val="00E8287D"/>
    <w:rsid w:val="00E8538E"/>
    <w:rsid w:val="00E90DE8"/>
    <w:rsid w:val="00E92CCF"/>
    <w:rsid w:val="00E94CD6"/>
    <w:rsid w:val="00E95B44"/>
    <w:rsid w:val="00E96474"/>
    <w:rsid w:val="00E97CAB"/>
    <w:rsid w:val="00E97D2C"/>
    <w:rsid w:val="00E97DBA"/>
    <w:rsid w:val="00EA02C7"/>
    <w:rsid w:val="00EA0E9B"/>
    <w:rsid w:val="00EA0EEB"/>
    <w:rsid w:val="00EA195D"/>
    <w:rsid w:val="00EA1A5F"/>
    <w:rsid w:val="00EA1F0A"/>
    <w:rsid w:val="00EA38A1"/>
    <w:rsid w:val="00EA57C1"/>
    <w:rsid w:val="00EA7776"/>
    <w:rsid w:val="00EB156E"/>
    <w:rsid w:val="00EB7546"/>
    <w:rsid w:val="00EC01AB"/>
    <w:rsid w:val="00EC2334"/>
    <w:rsid w:val="00EC3B71"/>
    <w:rsid w:val="00EC4F5C"/>
    <w:rsid w:val="00EC629B"/>
    <w:rsid w:val="00EC6DBF"/>
    <w:rsid w:val="00EC7099"/>
    <w:rsid w:val="00EC79AF"/>
    <w:rsid w:val="00ED1347"/>
    <w:rsid w:val="00ED1CA1"/>
    <w:rsid w:val="00ED2359"/>
    <w:rsid w:val="00ED35DE"/>
    <w:rsid w:val="00ED37D5"/>
    <w:rsid w:val="00ED39EF"/>
    <w:rsid w:val="00ED3F20"/>
    <w:rsid w:val="00ED47D9"/>
    <w:rsid w:val="00ED4D22"/>
    <w:rsid w:val="00ED5CBF"/>
    <w:rsid w:val="00ED611D"/>
    <w:rsid w:val="00ED741E"/>
    <w:rsid w:val="00ED7B00"/>
    <w:rsid w:val="00EE03E7"/>
    <w:rsid w:val="00EE1CAB"/>
    <w:rsid w:val="00EE4C28"/>
    <w:rsid w:val="00EE5E88"/>
    <w:rsid w:val="00EE65DD"/>
    <w:rsid w:val="00EE69C1"/>
    <w:rsid w:val="00EF495A"/>
    <w:rsid w:val="00EF56E0"/>
    <w:rsid w:val="00EF64C4"/>
    <w:rsid w:val="00F00E82"/>
    <w:rsid w:val="00F02F4A"/>
    <w:rsid w:val="00F03C07"/>
    <w:rsid w:val="00F05C29"/>
    <w:rsid w:val="00F05F16"/>
    <w:rsid w:val="00F06DB5"/>
    <w:rsid w:val="00F0741D"/>
    <w:rsid w:val="00F1166F"/>
    <w:rsid w:val="00F123D4"/>
    <w:rsid w:val="00F12D23"/>
    <w:rsid w:val="00F12E9A"/>
    <w:rsid w:val="00F13002"/>
    <w:rsid w:val="00F138AF"/>
    <w:rsid w:val="00F15E19"/>
    <w:rsid w:val="00F16E77"/>
    <w:rsid w:val="00F20B58"/>
    <w:rsid w:val="00F217E3"/>
    <w:rsid w:val="00F23066"/>
    <w:rsid w:val="00F23F00"/>
    <w:rsid w:val="00F2590E"/>
    <w:rsid w:val="00F2794E"/>
    <w:rsid w:val="00F27C53"/>
    <w:rsid w:val="00F303AC"/>
    <w:rsid w:val="00F3042D"/>
    <w:rsid w:val="00F325EB"/>
    <w:rsid w:val="00F36E83"/>
    <w:rsid w:val="00F37EEE"/>
    <w:rsid w:val="00F40DC7"/>
    <w:rsid w:val="00F44945"/>
    <w:rsid w:val="00F44BFC"/>
    <w:rsid w:val="00F45C96"/>
    <w:rsid w:val="00F46525"/>
    <w:rsid w:val="00F46B40"/>
    <w:rsid w:val="00F50D96"/>
    <w:rsid w:val="00F5272A"/>
    <w:rsid w:val="00F52CAC"/>
    <w:rsid w:val="00F5318F"/>
    <w:rsid w:val="00F544A8"/>
    <w:rsid w:val="00F557AB"/>
    <w:rsid w:val="00F563AA"/>
    <w:rsid w:val="00F563C1"/>
    <w:rsid w:val="00F56ABB"/>
    <w:rsid w:val="00F5754B"/>
    <w:rsid w:val="00F60B50"/>
    <w:rsid w:val="00F623D1"/>
    <w:rsid w:val="00F637D6"/>
    <w:rsid w:val="00F6594A"/>
    <w:rsid w:val="00F66F3E"/>
    <w:rsid w:val="00F71A4D"/>
    <w:rsid w:val="00F7773B"/>
    <w:rsid w:val="00F80DFA"/>
    <w:rsid w:val="00F80EE9"/>
    <w:rsid w:val="00F85395"/>
    <w:rsid w:val="00F85523"/>
    <w:rsid w:val="00F85A6E"/>
    <w:rsid w:val="00F916A2"/>
    <w:rsid w:val="00F931A3"/>
    <w:rsid w:val="00F93749"/>
    <w:rsid w:val="00F95C4D"/>
    <w:rsid w:val="00F96AC4"/>
    <w:rsid w:val="00F97889"/>
    <w:rsid w:val="00FA18C9"/>
    <w:rsid w:val="00FA2BB8"/>
    <w:rsid w:val="00FA469C"/>
    <w:rsid w:val="00FA5D69"/>
    <w:rsid w:val="00FA6425"/>
    <w:rsid w:val="00FA7100"/>
    <w:rsid w:val="00FB1643"/>
    <w:rsid w:val="00FB1D0F"/>
    <w:rsid w:val="00FB1DA1"/>
    <w:rsid w:val="00FB61F7"/>
    <w:rsid w:val="00FB704A"/>
    <w:rsid w:val="00FC00E7"/>
    <w:rsid w:val="00FC07CD"/>
    <w:rsid w:val="00FC0F68"/>
    <w:rsid w:val="00FC13B1"/>
    <w:rsid w:val="00FC1C5F"/>
    <w:rsid w:val="00FC1E00"/>
    <w:rsid w:val="00FC39BA"/>
    <w:rsid w:val="00FC3BEC"/>
    <w:rsid w:val="00FC544E"/>
    <w:rsid w:val="00FC5682"/>
    <w:rsid w:val="00FC69C9"/>
    <w:rsid w:val="00FC6F25"/>
    <w:rsid w:val="00FC7AF1"/>
    <w:rsid w:val="00FD208C"/>
    <w:rsid w:val="00FD3CA3"/>
    <w:rsid w:val="00FD4AE0"/>
    <w:rsid w:val="00FD6B07"/>
    <w:rsid w:val="00FD7031"/>
    <w:rsid w:val="00FD7CF9"/>
    <w:rsid w:val="00FE0D99"/>
    <w:rsid w:val="00FE312D"/>
    <w:rsid w:val="00FE3617"/>
    <w:rsid w:val="00FE3E05"/>
    <w:rsid w:val="00FE413E"/>
    <w:rsid w:val="00FE4B56"/>
    <w:rsid w:val="00FE57D4"/>
    <w:rsid w:val="00FE610C"/>
    <w:rsid w:val="00FE6A71"/>
    <w:rsid w:val="00FE793F"/>
    <w:rsid w:val="00FF092F"/>
    <w:rsid w:val="00FF2317"/>
    <w:rsid w:val="00FF2844"/>
    <w:rsid w:val="00FF324B"/>
    <w:rsid w:val="00FF36D0"/>
    <w:rsid w:val="00FF4B5D"/>
    <w:rsid w:val="00FF5E09"/>
    <w:rsid w:val="00FF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date"/>
  <w:smartTagType w:namespaceuri="urn:schemas-microsoft-com:office:smarttags" w:name="stockticker"/>
  <w:smartTagType w:namespaceuri="urn:schemas-microsoft-com:office:smarttags" w:name="place"/>
  <w:shapeDefaults>
    <o:shapedefaults v:ext="edit" spidmax="98305"/>
    <o:shapelayout v:ext="edit">
      <o:idmap v:ext="edit" data="1"/>
    </o:shapelayout>
  </w:shapeDefaults>
  <w:decimalSymbol w:val="."/>
  <w:listSeparator w:val=","/>
  <w14:docId w14:val="0FA22E11"/>
  <w15:chartTrackingRefBased/>
  <w15:docId w15:val="{F9466888-7762-4609-AA37-D2802668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3D81"/>
    <w:rPr>
      <w:sz w:val="24"/>
    </w:rPr>
  </w:style>
  <w:style w:type="paragraph" w:styleId="Heading1">
    <w:name w:val="heading 1"/>
    <w:aliases w:val="h1"/>
    <w:basedOn w:val="Normal"/>
    <w:next w:val="BodyText"/>
    <w:qFormat/>
    <w:rsid w:val="00FC1C5F"/>
    <w:pPr>
      <w:keepNext/>
      <w:numPr>
        <w:numId w:val="1"/>
      </w:numPr>
      <w:spacing w:after="240"/>
      <w:outlineLvl w:val="0"/>
    </w:pPr>
    <w:rPr>
      <w:b/>
      <w:caps/>
    </w:rPr>
  </w:style>
  <w:style w:type="paragraph" w:styleId="Heading2">
    <w:name w:val="heading 2"/>
    <w:basedOn w:val="Normal"/>
    <w:next w:val="BodyText"/>
    <w:qFormat/>
    <w:rsid w:val="00FC1C5F"/>
    <w:pPr>
      <w:keepNext/>
      <w:numPr>
        <w:ilvl w:val="1"/>
        <w:numId w:val="1"/>
      </w:numPr>
      <w:tabs>
        <w:tab w:val="left" w:pos="720"/>
      </w:tabs>
      <w:spacing w:before="240" w:after="240"/>
      <w:outlineLvl w:val="1"/>
    </w:pPr>
    <w:rPr>
      <w:b/>
    </w:rPr>
  </w:style>
  <w:style w:type="paragraph" w:styleId="Heading3">
    <w:name w:val="heading 3"/>
    <w:basedOn w:val="Normal"/>
    <w:next w:val="BodyText"/>
    <w:link w:val="Heading3Char"/>
    <w:qFormat/>
    <w:rsid w:val="00FC1C5F"/>
    <w:pPr>
      <w:keepNext/>
      <w:numPr>
        <w:ilvl w:val="2"/>
        <w:numId w:val="1"/>
      </w:numPr>
      <w:tabs>
        <w:tab w:val="left" w:pos="1008"/>
      </w:tabs>
      <w:spacing w:before="240" w:after="240"/>
      <w:outlineLvl w:val="2"/>
    </w:pPr>
    <w:rPr>
      <w:b/>
      <w:bCs/>
      <w:i/>
    </w:rPr>
  </w:style>
  <w:style w:type="paragraph" w:styleId="Heading4">
    <w:name w:val="heading 4"/>
    <w:aliases w:val=" Char"/>
    <w:basedOn w:val="Normal"/>
    <w:next w:val="BodyText"/>
    <w:link w:val="Heading4Char"/>
    <w:qFormat/>
    <w:rsid w:val="00FC1C5F"/>
    <w:pPr>
      <w:keepNext/>
      <w:widowControl w:val="0"/>
      <w:numPr>
        <w:ilvl w:val="3"/>
        <w:numId w:val="1"/>
      </w:numPr>
      <w:tabs>
        <w:tab w:val="left" w:pos="1296"/>
      </w:tabs>
      <w:spacing w:before="240" w:after="240"/>
      <w:outlineLvl w:val="3"/>
    </w:pPr>
    <w:rPr>
      <w:b/>
      <w:bCs/>
      <w:snapToGrid w:val="0"/>
    </w:rPr>
  </w:style>
  <w:style w:type="paragraph" w:styleId="Heading5">
    <w:name w:val="heading 5"/>
    <w:basedOn w:val="Normal"/>
    <w:next w:val="BodyText"/>
    <w:qFormat/>
    <w:rsid w:val="00FC1C5F"/>
    <w:pPr>
      <w:keepNext/>
      <w:numPr>
        <w:ilvl w:val="4"/>
        <w:numId w:val="1"/>
      </w:numPr>
      <w:tabs>
        <w:tab w:val="left" w:pos="1440"/>
      </w:tabs>
      <w:spacing w:before="240" w:after="240"/>
      <w:outlineLvl w:val="4"/>
    </w:pPr>
    <w:rPr>
      <w:b/>
      <w:bCs/>
      <w:i/>
      <w:iCs/>
      <w:szCs w:val="26"/>
    </w:rPr>
  </w:style>
  <w:style w:type="paragraph" w:styleId="Heading6">
    <w:name w:val="heading 6"/>
    <w:basedOn w:val="Normal"/>
    <w:next w:val="BodyText"/>
    <w:qFormat/>
    <w:rsid w:val="00FC1C5F"/>
    <w:pPr>
      <w:keepNext/>
      <w:numPr>
        <w:ilvl w:val="5"/>
        <w:numId w:val="1"/>
      </w:numPr>
      <w:tabs>
        <w:tab w:val="left" w:pos="1584"/>
      </w:tabs>
      <w:spacing w:before="240" w:after="240"/>
      <w:outlineLvl w:val="5"/>
    </w:pPr>
    <w:rPr>
      <w:b/>
      <w:bCs/>
      <w:szCs w:val="22"/>
    </w:rPr>
  </w:style>
  <w:style w:type="paragraph" w:styleId="Heading7">
    <w:name w:val="heading 7"/>
    <w:basedOn w:val="Normal"/>
    <w:next w:val="BodyText"/>
    <w:qFormat/>
    <w:rsid w:val="00FC1C5F"/>
    <w:pPr>
      <w:keepNext/>
      <w:numPr>
        <w:ilvl w:val="6"/>
        <w:numId w:val="1"/>
      </w:numPr>
      <w:tabs>
        <w:tab w:val="left" w:pos="1728"/>
      </w:tabs>
      <w:spacing w:before="240" w:after="240"/>
      <w:outlineLvl w:val="6"/>
    </w:pPr>
    <w:rPr>
      <w:szCs w:val="24"/>
    </w:rPr>
  </w:style>
  <w:style w:type="paragraph" w:styleId="Heading8">
    <w:name w:val="heading 8"/>
    <w:basedOn w:val="Normal"/>
    <w:next w:val="BodyText"/>
    <w:qFormat/>
    <w:rsid w:val="00FC1C5F"/>
    <w:pPr>
      <w:keepNext/>
      <w:numPr>
        <w:ilvl w:val="7"/>
        <w:numId w:val="1"/>
      </w:numPr>
      <w:tabs>
        <w:tab w:val="left" w:pos="1872"/>
      </w:tabs>
      <w:spacing w:before="240" w:after="240"/>
      <w:outlineLvl w:val="7"/>
    </w:pPr>
    <w:rPr>
      <w:i/>
      <w:iCs/>
      <w:szCs w:val="24"/>
    </w:rPr>
  </w:style>
  <w:style w:type="paragraph" w:styleId="Heading9">
    <w:name w:val="heading 9"/>
    <w:basedOn w:val="Normal"/>
    <w:next w:val="BodyText"/>
    <w:qFormat/>
    <w:rsid w:val="00FC1C5F"/>
    <w:pPr>
      <w:keepNext/>
      <w:numPr>
        <w:ilvl w:val="8"/>
        <w:numId w:val="1"/>
      </w:numPr>
      <w:tabs>
        <w:tab w:val="left" w:pos="2160"/>
      </w:tabs>
      <w:spacing w:before="240" w:after="240"/>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har Char Char Char Char Char Charh2,..., Char Char Char Char Char Char, Char Char Char Char Char Char Char,Body Text Char Char,Body Text Char1 Char Char,Body Text Char Char Char Char, Char Char Char Char Char Cha, Char Char Char"/>
    <w:basedOn w:val="Normal"/>
    <w:link w:val="BodyTextChar1"/>
    <w:rsid w:val="00FC1C5F"/>
    <w:pPr>
      <w:spacing w:after="240"/>
    </w:pPr>
    <w:rPr>
      <w:iCs/>
    </w:rPr>
  </w:style>
  <w:style w:type="character" w:customStyle="1" w:styleId="BodyTextChar1">
    <w:name w:val="Body Text Char1"/>
    <w:aliases w:val="Char Char Char Char Char Char Charh2 Char,... Char, Char Char Char Char Char Char Char1, Char Char Char Char Char Char Char Char,Body Text Char Char Char,Body Text Char1 Char Char Char,Body Text Char Char Char Char Char"/>
    <w:link w:val="BodyText"/>
    <w:rsid w:val="00FC1C5F"/>
    <w:rPr>
      <w:iCs/>
      <w:sz w:val="24"/>
      <w:lang w:val="en-US" w:eastAsia="en-US" w:bidi="ar-SA"/>
    </w:rPr>
  </w:style>
  <w:style w:type="character" w:customStyle="1" w:styleId="Heading4Char">
    <w:name w:val="Heading 4 Char"/>
    <w:aliases w:val=" Char Char"/>
    <w:link w:val="Heading4"/>
    <w:rsid w:val="00FC1C5F"/>
    <w:rPr>
      <w:b/>
      <w:bCs/>
      <w:snapToGrid w:val="0"/>
      <w:sz w:val="24"/>
      <w:lang w:val="en-US" w:eastAsia="en-US" w:bidi="ar-SA"/>
    </w:rPr>
  </w:style>
  <w:style w:type="paragraph" w:customStyle="1" w:styleId="Instructions">
    <w:name w:val="Instructions"/>
    <w:basedOn w:val="BodyText"/>
    <w:link w:val="InstructionsChar"/>
    <w:rsid w:val="00FC1C5F"/>
    <w:rPr>
      <w:b/>
      <w:i/>
      <w:iCs w:val="0"/>
      <w:szCs w:val="24"/>
    </w:rPr>
  </w:style>
  <w:style w:type="character" w:customStyle="1" w:styleId="InstructionsChar">
    <w:name w:val="Instructions Char"/>
    <w:link w:val="Instructions"/>
    <w:rsid w:val="00FC1C5F"/>
    <w:rPr>
      <w:b/>
      <w:i/>
      <w:iCs w:val="0"/>
      <w:sz w:val="24"/>
      <w:szCs w:val="24"/>
      <w:lang w:val="en-US" w:eastAsia="en-US" w:bidi="ar-SA"/>
    </w:rPr>
  </w:style>
  <w:style w:type="paragraph" w:styleId="List">
    <w:name w:val="List"/>
    <w:aliases w:val=" Char2 Char Char Char Char, Char2 Char"/>
    <w:basedOn w:val="Normal"/>
    <w:link w:val="ListChar"/>
    <w:rsid w:val="00FC1C5F"/>
    <w:pPr>
      <w:spacing w:after="240"/>
      <w:ind w:left="1440" w:hanging="720"/>
    </w:pPr>
  </w:style>
  <w:style w:type="character" w:customStyle="1" w:styleId="ListChar">
    <w:name w:val="List Char"/>
    <w:aliases w:val=" Char2 Char Char Char Char Char, Char2 Char Char"/>
    <w:link w:val="List"/>
    <w:rsid w:val="00FC1C5F"/>
    <w:rPr>
      <w:sz w:val="24"/>
      <w:lang w:val="en-US" w:eastAsia="en-US" w:bidi="ar-SA"/>
    </w:rPr>
  </w:style>
  <w:style w:type="paragraph" w:styleId="BodyTextIndent">
    <w:name w:val="Body Text Indent"/>
    <w:aliases w:val=" Char1"/>
    <w:basedOn w:val="Normal"/>
    <w:link w:val="BodyTextIndentChar"/>
    <w:rsid w:val="00FC1C5F"/>
    <w:pPr>
      <w:spacing w:after="240"/>
      <w:ind w:left="720"/>
    </w:pPr>
    <w:rPr>
      <w:iCs/>
    </w:rPr>
  </w:style>
  <w:style w:type="character" w:customStyle="1" w:styleId="BodyTextIndentChar">
    <w:name w:val="Body Text Indent Char"/>
    <w:aliases w:val=" Char1 Char"/>
    <w:link w:val="BodyTextIndent"/>
    <w:rsid w:val="00FC1C5F"/>
    <w:rPr>
      <w:iCs/>
      <w:sz w:val="24"/>
      <w:lang w:val="en-US" w:eastAsia="en-US" w:bidi="ar-SA"/>
    </w:rPr>
  </w:style>
  <w:style w:type="paragraph" w:customStyle="1" w:styleId="Bullet">
    <w:name w:val="Bullet"/>
    <w:basedOn w:val="Normal"/>
    <w:link w:val="BulletChar"/>
    <w:rsid w:val="00FC1C5F"/>
    <w:pPr>
      <w:tabs>
        <w:tab w:val="num" w:pos="1440"/>
      </w:tabs>
      <w:spacing w:after="180"/>
      <w:ind w:left="1440" w:hanging="360"/>
    </w:pPr>
  </w:style>
  <w:style w:type="character" w:customStyle="1" w:styleId="BulletChar">
    <w:name w:val="Bullet Char"/>
    <w:link w:val="Bullet"/>
    <w:rsid w:val="00FC1C5F"/>
    <w:rPr>
      <w:sz w:val="24"/>
      <w:lang w:val="en-US" w:eastAsia="en-US" w:bidi="ar-SA"/>
    </w:rPr>
  </w:style>
  <w:style w:type="paragraph" w:customStyle="1" w:styleId="BulletIndent">
    <w:name w:val="Bullet Indent"/>
    <w:basedOn w:val="Normal"/>
    <w:link w:val="BulletIndentChar"/>
    <w:rsid w:val="00FC1C5F"/>
    <w:pPr>
      <w:spacing w:after="180"/>
      <w:ind w:left="2340" w:hanging="547"/>
    </w:pPr>
  </w:style>
  <w:style w:type="character" w:customStyle="1" w:styleId="BulletIndentChar">
    <w:name w:val="Bullet Indent Char"/>
    <w:link w:val="BulletIndent"/>
    <w:rsid w:val="00FC1C5F"/>
    <w:rPr>
      <w:sz w:val="24"/>
      <w:lang w:val="en-US" w:eastAsia="en-US" w:bidi="ar-SA"/>
    </w:rPr>
  </w:style>
  <w:style w:type="paragraph" w:styleId="Footer">
    <w:name w:val="footer"/>
    <w:basedOn w:val="Normal"/>
    <w:rsid w:val="00FC1C5F"/>
    <w:pPr>
      <w:pBdr>
        <w:top w:val="single" w:sz="4" w:space="0" w:color="auto"/>
      </w:pBdr>
      <w:tabs>
        <w:tab w:val="center" w:pos="4680"/>
        <w:tab w:val="right" w:pos="9360"/>
      </w:tabs>
      <w:spacing w:before="120" w:after="120"/>
    </w:pPr>
    <w:rPr>
      <w:smallCaps/>
      <w:sz w:val="20"/>
    </w:rPr>
  </w:style>
  <w:style w:type="paragraph" w:styleId="FootnoteText">
    <w:name w:val="footnote text"/>
    <w:basedOn w:val="Normal"/>
    <w:link w:val="FootnoteTextChar"/>
    <w:rsid w:val="00FC1C5F"/>
    <w:rPr>
      <w:sz w:val="18"/>
    </w:rPr>
  </w:style>
  <w:style w:type="paragraph" w:styleId="Header">
    <w:name w:val="header"/>
    <w:basedOn w:val="Normal"/>
    <w:link w:val="HeaderChar"/>
    <w:rsid w:val="00FC1C5F"/>
    <w:pPr>
      <w:pBdr>
        <w:bottom w:val="single" w:sz="4" w:space="1" w:color="auto"/>
      </w:pBdr>
      <w:tabs>
        <w:tab w:val="center" w:pos="4680"/>
        <w:tab w:val="right" w:pos="9360"/>
      </w:tabs>
      <w:jc w:val="right"/>
    </w:pPr>
    <w:rPr>
      <w:smallCaps/>
      <w:sz w:val="20"/>
      <w:lang w:val="x-none" w:eastAsia="x-none"/>
    </w:rPr>
  </w:style>
  <w:style w:type="character" w:styleId="Hyperlink">
    <w:name w:val="Hyperlink"/>
    <w:uiPriority w:val="99"/>
    <w:rsid w:val="00FC1C5F"/>
    <w:rPr>
      <w:color w:val="0000FF"/>
      <w:u w:val="single"/>
    </w:rPr>
  </w:style>
  <w:style w:type="paragraph" w:styleId="TOC1">
    <w:name w:val="toc 1"/>
    <w:basedOn w:val="Normal"/>
    <w:next w:val="Normal"/>
    <w:autoRedefine/>
    <w:uiPriority w:val="39"/>
    <w:rsid w:val="00D31E07"/>
    <w:pPr>
      <w:tabs>
        <w:tab w:val="left" w:pos="540"/>
        <w:tab w:val="right" w:leader="dot" w:pos="9360"/>
      </w:tabs>
      <w:spacing w:before="120" w:after="120"/>
      <w:ind w:left="540" w:right="720" w:hanging="540"/>
    </w:pPr>
    <w:rPr>
      <w:b/>
      <w:bCs/>
      <w:noProof/>
      <w:szCs w:val="24"/>
    </w:rPr>
  </w:style>
  <w:style w:type="paragraph" w:styleId="TOC2">
    <w:name w:val="toc 2"/>
    <w:basedOn w:val="Normal"/>
    <w:next w:val="Normal"/>
    <w:autoRedefine/>
    <w:uiPriority w:val="39"/>
    <w:rsid w:val="00373358"/>
    <w:pPr>
      <w:tabs>
        <w:tab w:val="left" w:pos="1260"/>
        <w:tab w:val="right" w:leader="dot" w:pos="9360"/>
      </w:tabs>
      <w:ind w:left="1260" w:right="720" w:hanging="720"/>
    </w:pPr>
    <w:rPr>
      <w:noProof/>
      <w:sz w:val="20"/>
    </w:rPr>
  </w:style>
  <w:style w:type="paragraph" w:styleId="TOC3">
    <w:name w:val="toc 3"/>
    <w:basedOn w:val="Normal"/>
    <w:next w:val="Normal"/>
    <w:autoRedefine/>
    <w:uiPriority w:val="39"/>
    <w:rsid w:val="00461B44"/>
    <w:pPr>
      <w:tabs>
        <w:tab w:val="left" w:pos="1980"/>
        <w:tab w:val="right" w:leader="dot" w:pos="9360"/>
      </w:tabs>
      <w:ind w:left="1980" w:right="720" w:hanging="900"/>
    </w:pPr>
    <w:rPr>
      <w:i/>
      <w:iCs/>
      <w:sz w:val="20"/>
    </w:rPr>
  </w:style>
  <w:style w:type="character" w:styleId="PageNumber">
    <w:name w:val="page number"/>
    <w:basedOn w:val="DefaultParagraphFont"/>
    <w:rsid w:val="00FC1C5F"/>
  </w:style>
  <w:style w:type="table" w:styleId="TableGrid">
    <w:name w:val="Table Grid"/>
    <w:basedOn w:val="TableNormal"/>
    <w:rsid w:val="00FC1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F52CAC"/>
    <w:pPr>
      <w:tabs>
        <w:tab w:val="left" w:pos="2700"/>
        <w:tab w:val="right" w:leader="dot" w:pos="9360"/>
      </w:tabs>
      <w:ind w:left="2700" w:right="720" w:hanging="1080"/>
    </w:pPr>
    <w:rPr>
      <w:noProof/>
      <w:sz w:val="18"/>
      <w:szCs w:val="18"/>
    </w:rPr>
  </w:style>
  <w:style w:type="paragraph" w:styleId="TOC5">
    <w:name w:val="toc 5"/>
    <w:basedOn w:val="Normal"/>
    <w:next w:val="Normal"/>
    <w:autoRedefine/>
    <w:uiPriority w:val="39"/>
    <w:rsid w:val="0005725D"/>
    <w:pPr>
      <w:tabs>
        <w:tab w:val="left" w:pos="1440"/>
        <w:tab w:val="right" w:leader="dot" w:pos="9360"/>
      </w:tabs>
      <w:ind w:left="3614" w:right="720" w:hanging="1267"/>
    </w:pPr>
    <w:rPr>
      <w:i/>
      <w:noProof/>
      <w:sz w:val="18"/>
      <w:szCs w:val="24"/>
    </w:rPr>
  </w:style>
  <w:style w:type="paragraph" w:styleId="List2">
    <w:name w:val="List 2"/>
    <w:basedOn w:val="Normal"/>
    <w:rsid w:val="00FC1C5F"/>
    <w:pPr>
      <w:spacing w:after="240"/>
      <w:ind w:left="2160" w:hanging="720"/>
    </w:pPr>
  </w:style>
  <w:style w:type="paragraph" w:styleId="List3">
    <w:name w:val="List 3"/>
    <w:basedOn w:val="Normal"/>
    <w:rsid w:val="00FC1C5F"/>
    <w:pPr>
      <w:spacing w:after="240"/>
      <w:ind w:left="2880" w:hanging="720"/>
    </w:pPr>
  </w:style>
  <w:style w:type="paragraph" w:styleId="TOC6">
    <w:name w:val="toc 6"/>
    <w:basedOn w:val="Normal"/>
    <w:next w:val="Normal"/>
    <w:autoRedefine/>
    <w:uiPriority w:val="39"/>
    <w:rsid w:val="00FC1C5F"/>
    <w:pPr>
      <w:tabs>
        <w:tab w:val="left" w:pos="1260"/>
        <w:tab w:val="right" w:leader="dot" w:pos="9360"/>
      </w:tabs>
      <w:ind w:left="1260" w:right="720" w:hanging="1260"/>
    </w:pPr>
    <w:rPr>
      <w:b/>
      <w:szCs w:val="24"/>
    </w:rPr>
  </w:style>
  <w:style w:type="paragraph" w:styleId="TOC7">
    <w:name w:val="toc 7"/>
    <w:basedOn w:val="Normal"/>
    <w:next w:val="Normal"/>
    <w:autoRedefine/>
    <w:uiPriority w:val="39"/>
    <w:rsid w:val="00FC1C5F"/>
    <w:pPr>
      <w:tabs>
        <w:tab w:val="left" w:pos="5400"/>
        <w:tab w:val="right" w:leader="dot" w:pos="9360"/>
      </w:tabs>
      <w:ind w:left="5400" w:right="720" w:hanging="1620"/>
    </w:pPr>
    <w:rPr>
      <w:i/>
      <w:noProof/>
      <w:sz w:val="18"/>
      <w:szCs w:val="18"/>
    </w:rPr>
  </w:style>
  <w:style w:type="paragraph" w:styleId="TOC8">
    <w:name w:val="toc 8"/>
    <w:basedOn w:val="Normal"/>
    <w:next w:val="Normal"/>
    <w:autoRedefine/>
    <w:uiPriority w:val="39"/>
    <w:rsid w:val="00FC1C5F"/>
    <w:pPr>
      <w:ind w:left="1680"/>
    </w:pPr>
    <w:rPr>
      <w:sz w:val="18"/>
      <w:szCs w:val="18"/>
    </w:rPr>
  </w:style>
  <w:style w:type="paragraph" w:styleId="TOC9">
    <w:name w:val="toc 9"/>
    <w:basedOn w:val="Normal"/>
    <w:next w:val="Normal"/>
    <w:autoRedefine/>
    <w:uiPriority w:val="39"/>
    <w:rsid w:val="00FC1C5F"/>
    <w:pPr>
      <w:ind w:left="1920"/>
    </w:pPr>
    <w:rPr>
      <w:sz w:val="18"/>
      <w:szCs w:val="18"/>
    </w:rPr>
  </w:style>
  <w:style w:type="paragraph" w:customStyle="1" w:styleId="H5">
    <w:name w:val="H5"/>
    <w:basedOn w:val="Heading5"/>
    <w:next w:val="BodyText"/>
    <w:rsid w:val="00FC1C5F"/>
    <w:pPr>
      <w:numPr>
        <w:ilvl w:val="0"/>
        <w:numId w:val="0"/>
      </w:numPr>
      <w:tabs>
        <w:tab w:val="clear" w:pos="1440"/>
        <w:tab w:val="left" w:pos="1620"/>
      </w:tabs>
      <w:ind w:left="1620" w:hanging="1620"/>
    </w:pPr>
  </w:style>
  <w:style w:type="paragraph" w:customStyle="1" w:styleId="H2">
    <w:name w:val="H2"/>
    <w:basedOn w:val="Heading2"/>
    <w:next w:val="BodyText"/>
    <w:link w:val="H2Char"/>
    <w:rsid w:val="00FC1C5F"/>
    <w:pPr>
      <w:numPr>
        <w:ilvl w:val="0"/>
        <w:numId w:val="0"/>
      </w:numPr>
      <w:tabs>
        <w:tab w:val="clear" w:pos="720"/>
        <w:tab w:val="left" w:pos="900"/>
      </w:tabs>
      <w:ind w:left="900" w:hanging="900"/>
    </w:pPr>
    <w:rPr>
      <w:lang w:val="x-none" w:eastAsia="x-none"/>
    </w:rPr>
  </w:style>
  <w:style w:type="paragraph" w:customStyle="1" w:styleId="H3">
    <w:name w:val="H3"/>
    <w:basedOn w:val="Heading3"/>
    <w:next w:val="BodyText"/>
    <w:link w:val="H3Char1"/>
    <w:rsid w:val="00FC1C5F"/>
    <w:pPr>
      <w:numPr>
        <w:ilvl w:val="0"/>
        <w:numId w:val="0"/>
      </w:numPr>
      <w:tabs>
        <w:tab w:val="clear" w:pos="1008"/>
        <w:tab w:val="left" w:pos="1080"/>
      </w:tabs>
      <w:ind w:left="1080" w:hanging="1080"/>
    </w:pPr>
  </w:style>
  <w:style w:type="paragraph" w:customStyle="1" w:styleId="H4">
    <w:name w:val="H4"/>
    <w:basedOn w:val="Heading4"/>
    <w:next w:val="BodyText"/>
    <w:link w:val="H4Char"/>
    <w:rsid w:val="00FC1C5F"/>
    <w:pPr>
      <w:numPr>
        <w:ilvl w:val="0"/>
        <w:numId w:val="0"/>
      </w:numPr>
      <w:tabs>
        <w:tab w:val="clear" w:pos="1296"/>
        <w:tab w:val="left" w:pos="1260"/>
      </w:tabs>
      <w:ind w:left="1260" w:hanging="1260"/>
    </w:pPr>
    <w:rPr>
      <w:b w:val="0"/>
      <w:bCs w:val="0"/>
    </w:rPr>
  </w:style>
  <w:style w:type="character" w:customStyle="1" w:styleId="H4Char">
    <w:name w:val="H4 Char"/>
    <w:link w:val="H4"/>
    <w:rsid w:val="00FC1C5F"/>
    <w:rPr>
      <w:b w:val="0"/>
      <w:bCs w:val="0"/>
      <w:snapToGrid w:val="0"/>
      <w:sz w:val="24"/>
      <w:lang w:val="en-US" w:eastAsia="en-US" w:bidi="ar-SA"/>
    </w:rPr>
  </w:style>
  <w:style w:type="paragraph" w:customStyle="1" w:styleId="H6">
    <w:name w:val="H6"/>
    <w:basedOn w:val="Heading6"/>
    <w:next w:val="BodyText"/>
    <w:rsid w:val="00FC1C5F"/>
    <w:pPr>
      <w:numPr>
        <w:ilvl w:val="0"/>
        <w:numId w:val="0"/>
      </w:numPr>
      <w:tabs>
        <w:tab w:val="clear" w:pos="1584"/>
        <w:tab w:val="left" w:pos="1800"/>
      </w:tabs>
      <w:ind w:left="1800" w:hanging="1800"/>
    </w:pPr>
  </w:style>
  <w:style w:type="paragraph" w:customStyle="1" w:styleId="H7">
    <w:name w:val="H7"/>
    <w:basedOn w:val="Heading7"/>
    <w:next w:val="BodyText"/>
    <w:rsid w:val="00FC1C5F"/>
    <w:pPr>
      <w:numPr>
        <w:ilvl w:val="0"/>
        <w:numId w:val="0"/>
      </w:numPr>
      <w:tabs>
        <w:tab w:val="clear" w:pos="1728"/>
        <w:tab w:val="left" w:pos="1980"/>
      </w:tabs>
      <w:ind w:left="1980" w:hanging="1980"/>
    </w:pPr>
    <w:rPr>
      <w:b/>
      <w:i/>
    </w:rPr>
  </w:style>
  <w:style w:type="paragraph" w:customStyle="1" w:styleId="H8">
    <w:name w:val="H8"/>
    <w:basedOn w:val="Heading8"/>
    <w:next w:val="BodyText"/>
    <w:rsid w:val="00FC1C5F"/>
    <w:pPr>
      <w:numPr>
        <w:ilvl w:val="0"/>
        <w:numId w:val="0"/>
      </w:numPr>
      <w:tabs>
        <w:tab w:val="clear" w:pos="1872"/>
        <w:tab w:val="left" w:pos="2160"/>
      </w:tabs>
      <w:ind w:left="2160" w:hanging="2160"/>
    </w:pPr>
    <w:rPr>
      <w:b/>
      <w:i w:val="0"/>
    </w:rPr>
  </w:style>
  <w:style w:type="paragraph" w:customStyle="1" w:styleId="H9">
    <w:name w:val="H9"/>
    <w:basedOn w:val="Heading9"/>
    <w:next w:val="BodyText"/>
    <w:rsid w:val="00FC1C5F"/>
    <w:pPr>
      <w:numPr>
        <w:ilvl w:val="0"/>
        <w:numId w:val="0"/>
      </w:numPr>
      <w:tabs>
        <w:tab w:val="clear" w:pos="2160"/>
        <w:tab w:val="left" w:pos="2340"/>
      </w:tabs>
      <w:ind w:left="2340" w:hanging="2340"/>
    </w:pPr>
    <w:rPr>
      <w:i/>
    </w:rPr>
  </w:style>
  <w:style w:type="table" w:customStyle="1" w:styleId="BoxedLanguage">
    <w:name w:val="Boxed Language"/>
    <w:basedOn w:val="TableNormal"/>
    <w:rsid w:val="00FC1C5F"/>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sid w:val="00FC1C5F"/>
  </w:style>
  <w:style w:type="paragraph" w:customStyle="1" w:styleId="ListIntroduction">
    <w:name w:val="List Introduction"/>
    <w:basedOn w:val="BodyText"/>
    <w:link w:val="ListIntroductionChar"/>
    <w:rsid w:val="00FC1C5F"/>
    <w:pPr>
      <w:keepNext/>
    </w:pPr>
    <w:rPr>
      <w:lang w:val="x-none" w:eastAsia="x-none"/>
    </w:rPr>
  </w:style>
  <w:style w:type="paragraph" w:customStyle="1" w:styleId="VariableDefinition">
    <w:name w:val="Variable Definition"/>
    <w:basedOn w:val="BodyTextIndent"/>
    <w:rsid w:val="00FC1C5F"/>
    <w:pPr>
      <w:tabs>
        <w:tab w:val="left" w:pos="2160"/>
      </w:tabs>
      <w:ind w:left="2160" w:hanging="1440"/>
      <w:contextualSpacing/>
    </w:pPr>
  </w:style>
  <w:style w:type="paragraph" w:customStyle="1" w:styleId="FormulaBold">
    <w:name w:val="Formula Bold"/>
    <w:basedOn w:val="Normal"/>
    <w:link w:val="FormulaBoldChar"/>
    <w:autoRedefine/>
    <w:rsid w:val="00FC1C5F"/>
    <w:pPr>
      <w:tabs>
        <w:tab w:val="left" w:pos="2340"/>
        <w:tab w:val="left" w:pos="2880"/>
      </w:tabs>
      <w:spacing w:after="240"/>
      <w:ind w:left="2880" w:hanging="1440"/>
    </w:pPr>
    <w:rPr>
      <w:b/>
      <w:bCs/>
      <w:szCs w:val="24"/>
    </w:rPr>
  </w:style>
  <w:style w:type="paragraph" w:customStyle="1" w:styleId="Formula">
    <w:name w:val="Formula"/>
    <w:basedOn w:val="Normal"/>
    <w:autoRedefine/>
    <w:rsid w:val="00FC1C5F"/>
    <w:pPr>
      <w:tabs>
        <w:tab w:val="left" w:pos="2340"/>
        <w:tab w:val="left" w:pos="3420"/>
      </w:tabs>
      <w:spacing w:after="240"/>
      <w:ind w:left="3420" w:hanging="2700"/>
    </w:pPr>
    <w:rPr>
      <w:bCs/>
      <w:szCs w:val="24"/>
    </w:rPr>
  </w:style>
  <w:style w:type="paragraph" w:customStyle="1" w:styleId="ListSub">
    <w:name w:val="List Sub"/>
    <w:basedOn w:val="List"/>
    <w:rsid w:val="00FC1C5F"/>
    <w:pPr>
      <w:ind w:firstLine="0"/>
    </w:pPr>
  </w:style>
  <w:style w:type="table" w:customStyle="1" w:styleId="VariableTable">
    <w:name w:val="Variable Table"/>
    <w:basedOn w:val="TableNormal"/>
    <w:rsid w:val="00FC1C5F"/>
    <w:tblPr/>
  </w:style>
  <w:style w:type="table" w:customStyle="1" w:styleId="FormulaVariableTable">
    <w:name w:val="Formula Variable Table"/>
    <w:basedOn w:val="TableNormal"/>
    <w:rsid w:val="00FC1C5F"/>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rsid w:val="00FC1C5F"/>
    <w:pPr>
      <w:keepNext/>
      <w:spacing w:before="240"/>
    </w:pPr>
    <w:rPr>
      <w:b/>
    </w:rPr>
  </w:style>
  <w:style w:type="paragraph" w:customStyle="1" w:styleId="TableBody">
    <w:name w:val="Table Body"/>
    <w:basedOn w:val="BodyText"/>
    <w:rsid w:val="00FC1C5F"/>
    <w:pPr>
      <w:spacing w:after="60"/>
    </w:pPr>
    <w:rPr>
      <w:sz w:val="20"/>
    </w:rPr>
  </w:style>
  <w:style w:type="paragraph" w:customStyle="1" w:styleId="TableHead">
    <w:name w:val="Table Head"/>
    <w:basedOn w:val="BodyText"/>
    <w:rsid w:val="00FC1C5F"/>
    <w:pPr>
      <w:spacing w:after="120"/>
    </w:pPr>
    <w:rPr>
      <w:b/>
      <w:sz w:val="20"/>
    </w:rPr>
  </w:style>
  <w:style w:type="paragraph" w:customStyle="1" w:styleId="TableBullet">
    <w:name w:val="Table Bullet"/>
    <w:basedOn w:val="TableBody"/>
    <w:rsid w:val="00FC1C5F"/>
    <w:pPr>
      <w:tabs>
        <w:tab w:val="num" w:pos="360"/>
      </w:tabs>
      <w:ind w:left="360" w:hanging="360"/>
    </w:pPr>
  </w:style>
  <w:style w:type="paragraph" w:styleId="BodyText2">
    <w:name w:val="Body Text 2"/>
    <w:basedOn w:val="Normal"/>
    <w:rsid w:val="00FC1C5F"/>
    <w:pPr>
      <w:spacing w:after="120" w:line="480" w:lineRule="auto"/>
      <w:ind w:left="1440" w:hanging="720"/>
    </w:pPr>
  </w:style>
  <w:style w:type="paragraph" w:customStyle="1" w:styleId="BodyTextNumbered">
    <w:name w:val="Body Text Numbered"/>
    <w:basedOn w:val="BodyText"/>
    <w:link w:val="BodyTextNumberedChar"/>
    <w:rsid w:val="00FC1C5F"/>
    <w:pPr>
      <w:ind w:left="720" w:hanging="720"/>
    </w:pPr>
  </w:style>
  <w:style w:type="character" w:customStyle="1" w:styleId="CharChar5">
    <w:name w:val="Char Char5"/>
    <w:rsid w:val="00FC1C5F"/>
    <w:rPr>
      <w:sz w:val="24"/>
      <w:lang w:val="en-US" w:eastAsia="en-US" w:bidi="ar-SA"/>
    </w:rPr>
  </w:style>
  <w:style w:type="paragraph" w:customStyle="1" w:styleId="Style1">
    <w:name w:val="Style1"/>
    <w:basedOn w:val="Formula"/>
    <w:rsid w:val="00FC1C5F"/>
    <w:pPr>
      <w:ind w:left="1440" w:hanging="720"/>
    </w:pPr>
  </w:style>
  <w:style w:type="character" w:customStyle="1" w:styleId="CharChar2">
    <w:name w:val="Char Char2"/>
    <w:rsid w:val="00FC1C5F"/>
    <w:rPr>
      <w:sz w:val="24"/>
      <w:lang w:val="en-US" w:eastAsia="en-US" w:bidi="ar-SA"/>
    </w:rPr>
  </w:style>
  <w:style w:type="character" w:customStyle="1" w:styleId="CharChar3">
    <w:name w:val="Char Char3"/>
    <w:rsid w:val="00FC1C5F"/>
    <w:rPr>
      <w:b/>
      <w:bCs/>
      <w:snapToGrid w:val="0"/>
      <w:sz w:val="24"/>
      <w:lang w:val="en-US" w:eastAsia="en-US" w:bidi="ar-SA"/>
    </w:rPr>
  </w:style>
  <w:style w:type="character" w:customStyle="1" w:styleId="CharChar1">
    <w:name w:val="Char Char1"/>
    <w:aliases w:val=" Char1 Char Char2"/>
    <w:rsid w:val="00FC1C5F"/>
    <w:rPr>
      <w:iCs/>
      <w:sz w:val="24"/>
      <w:lang w:val="en-US" w:eastAsia="en-US" w:bidi="ar-SA"/>
    </w:rPr>
  </w:style>
  <w:style w:type="character" w:customStyle="1" w:styleId="CharChar">
    <w:name w:val="Char Char"/>
    <w:aliases w:val=" Char1 Char Char1"/>
    <w:rsid w:val="00FC1C5F"/>
    <w:rPr>
      <w:iCs/>
      <w:sz w:val="24"/>
      <w:lang w:val="en-US" w:eastAsia="en-US" w:bidi="ar-SA"/>
    </w:rPr>
  </w:style>
  <w:style w:type="character" w:customStyle="1" w:styleId="newsummary">
    <w:name w:val="newsummary"/>
    <w:basedOn w:val="DefaultParagraphFont"/>
    <w:rsid w:val="00FC1C5F"/>
  </w:style>
  <w:style w:type="character" w:customStyle="1" w:styleId="CharCharCharChar1">
    <w:name w:val="Char Char Char Char1"/>
    <w:rsid w:val="00FC1C5F"/>
    <w:rPr>
      <w:sz w:val="24"/>
      <w:lang w:val="en-US" w:eastAsia="en-US" w:bidi="ar-SA"/>
    </w:rPr>
  </w:style>
  <w:style w:type="character" w:customStyle="1" w:styleId="BodyTextNumberedChar">
    <w:name w:val="Body Text Numbered Char"/>
    <w:link w:val="BodyTextNumbered"/>
    <w:rsid w:val="00FC1C5F"/>
    <w:rPr>
      <w:iCs/>
      <w:sz w:val="24"/>
      <w:lang w:val="en-US" w:eastAsia="en-US" w:bidi="ar-SA"/>
    </w:rPr>
  </w:style>
  <w:style w:type="character" w:styleId="CommentReference">
    <w:name w:val="annotation reference"/>
    <w:rsid w:val="00FC1C5F"/>
    <w:rPr>
      <w:sz w:val="16"/>
      <w:szCs w:val="16"/>
    </w:rPr>
  </w:style>
  <w:style w:type="paragraph" w:styleId="CommentText">
    <w:name w:val="annotation text"/>
    <w:basedOn w:val="Normal"/>
    <w:link w:val="CommentTextChar"/>
    <w:rsid w:val="00FC1C5F"/>
    <w:rPr>
      <w:sz w:val="20"/>
    </w:rPr>
  </w:style>
  <w:style w:type="paragraph" w:styleId="CommentSubject">
    <w:name w:val="annotation subject"/>
    <w:basedOn w:val="CommentText"/>
    <w:next w:val="CommentText"/>
    <w:rsid w:val="00FC1C5F"/>
    <w:rPr>
      <w:b/>
      <w:bCs/>
    </w:rPr>
  </w:style>
  <w:style w:type="paragraph" w:styleId="BalloonText">
    <w:name w:val="Balloon Text"/>
    <w:basedOn w:val="Normal"/>
    <w:rsid w:val="00FC1C5F"/>
    <w:rPr>
      <w:rFonts w:ascii="Tahoma" w:hAnsi="Tahoma" w:cs="Tahoma"/>
      <w:sz w:val="16"/>
      <w:szCs w:val="16"/>
    </w:rPr>
  </w:style>
  <w:style w:type="paragraph" w:customStyle="1" w:styleId="Style2">
    <w:name w:val="Style2"/>
    <w:basedOn w:val="BodyText2"/>
    <w:rsid w:val="00FC1C5F"/>
    <w:pPr>
      <w:tabs>
        <w:tab w:val="left" w:pos="1260"/>
      </w:tabs>
      <w:ind w:left="1260" w:hanging="1260"/>
    </w:pPr>
    <w:rPr>
      <w:b/>
    </w:rPr>
  </w:style>
  <w:style w:type="character" w:customStyle="1" w:styleId="CharCharCharCharCharChar">
    <w:name w:val="Char Char Char Char Char Char"/>
    <w:aliases w:val=" Char Char Char Char Char Char1, Char Char Char Char Char1, Char Char Char Char Char2"/>
    <w:rsid w:val="00FC1C5F"/>
    <w:rPr>
      <w:iCs/>
      <w:sz w:val="24"/>
      <w:lang w:val="en-US" w:eastAsia="en-US" w:bidi="ar-SA"/>
    </w:rPr>
  </w:style>
  <w:style w:type="character" w:customStyle="1" w:styleId="CharCharChar2">
    <w:name w:val="Char Char Char2"/>
    <w:rsid w:val="00FC1C5F"/>
    <w:rPr>
      <w:b/>
      <w:bCs/>
      <w:snapToGrid w:val="0"/>
      <w:sz w:val="24"/>
      <w:lang w:val="en-US" w:eastAsia="en-US" w:bidi="ar-SA"/>
    </w:rPr>
  </w:style>
  <w:style w:type="character" w:customStyle="1" w:styleId="CharCharChar1">
    <w:name w:val="Char Char Char1"/>
    <w:rsid w:val="00FC1C5F"/>
    <w:rPr>
      <w:sz w:val="24"/>
      <w:lang w:val="en-US" w:eastAsia="en-US" w:bidi="ar-SA"/>
    </w:rPr>
  </w:style>
  <w:style w:type="character" w:customStyle="1" w:styleId="H4CharChar">
    <w:name w:val="H4 Char Char"/>
    <w:rsid w:val="00FC1C5F"/>
    <w:rPr>
      <w:b w:val="0"/>
      <w:bCs w:val="0"/>
      <w:snapToGrid w:val="0"/>
      <w:sz w:val="24"/>
      <w:lang w:val="en-US" w:eastAsia="en-US" w:bidi="ar-SA"/>
    </w:rPr>
  </w:style>
  <w:style w:type="character" w:customStyle="1" w:styleId="Char1CharChar">
    <w:name w:val="Char1 Char Char"/>
    <w:rsid w:val="00FC1C5F"/>
    <w:rPr>
      <w:iCs/>
      <w:sz w:val="24"/>
      <w:lang w:val="en-US" w:eastAsia="en-US" w:bidi="ar-SA"/>
    </w:rPr>
  </w:style>
  <w:style w:type="paragraph" w:customStyle="1" w:styleId="NormalArial">
    <w:name w:val="Normal+Arial"/>
    <w:basedOn w:val="Normal"/>
    <w:link w:val="NormalArialChar"/>
    <w:rsid w:val="00FC1C5F"/>
    <w:rPr>
      <w:rFonts w:ascii="Arial" w:hAnsi="Arial"/>
      <w:szCs w:val="24"/>
    </w:rPr>
  </w:style>
  <w:style w:type="character" w:customStyle="1" w:styleId="BodyTextChar">
    <w:name w:val="Body Text Char"/>
    <w:aliases w:val=" Char Char Char Char,Body Text Char2 Char Char Char,Body Text Char2 Char Char Char Char Char Char Char Char Char Char Char Char,Body Text Char2 Char Char1"/>
    <w:rsid w:val="00FC1C5F"/>
    <w:rPr>
      <w:iCs/>
      <w:sz w:val="24"/>
      <w:lang w:val="en-US" w:eastAsia="en-US" w:bidi="ar-SA"/>
    </w:rPr>
  </w:style>
  <w:style w:type="character" w:customStyle="1" w:styleId="NormalArialChar">
    <w:name w:val="Normal+Arial Char"/>
    <w:link w:val="NormalArial"/>
    <w:rsid w:val="00FC1C5F"/>
    <w:rPr>
      <w:rFonts w:ascii="Arial" w:hAnsi="Arial"/>
      <w:sz w:val="24"/>
      <w:szCs w:val="24"/>
      <w:lang w:val="en-US" w:eastAsia="en-US" w:bidi="ar-SA"/>
    </w:rPr>
  </w:style>
  <w:style w:type="paragraph" w:styleId="DocumentMap">
    <w:name w:val="Document Map"/>
    <w:basedOn w:val="Normal"/>
    <w:rsid w:val="00FC1C5F"/>
    <w:pPr>
      <w:shd w:val="clear" w:color="auto" w:fill="000080"/>
    </w:pPr>
    <w:rPr>
      <w:rFonts w:ascii="Tahoma" w:hAnsi="Tahoma" w:cs="Tahoma"/>
      <w:sz w:val="20"/>
    </w:rPr>
  </w:style>
  <w:style w:type="character" w:customStyle="1" w:styleId="BodyTextNumberedChar1">
    <w:name w:val="Body Text Numbered Char1"/>
    <w:rsid w:val="00FC1C5F"/>
    <w:rPr>
      <w:sz w:val="24"/>
      <w:szCs w:val="24"/>
      <w:lang w:val="en-US" w:eastAsia="en-US" w:bidi="ar-SA"/>
    </w:rPr>
  </w:style>
  <w:style w:type="character" w:customStyle="1" w:styleId="Heading3Char">
    <w:name w:val="Heading 3 Char"/>
    <w:link w:val="Heading3"/>
    <w:rsid w:val="00FC1C5F"/>
    <w:rPr>
      <w:b/>
      <w:bCs/>
      <w:i/>
      <w:sz w:val="24"/>
      <w:lang w:val="en-US" w:eastAsia="en-US" w:bidi="ar-SA"/>
    </w:rPr>
  </w:style>
  <w:style w:type="paragraph" w:customStyle="1" w:styleId="Char3">
    <w:name w:val="Char3"/>
    <w:basedOn w:val="Normal"/>
    <w:rsid w:val="00FC1C5F"/>
    <w:pPr>
      <w:spacing w:after="160" w:line="240" w:lineRule="exact"/>
    </w:pPr>
    <w:rPr>
      <w:rFonts w:ascii="Verdana" w:hAnsi="Verdana"/>
      <w:sz w:val="16"/>
    </w:rPr>
  </w:style>
  <w:style w:type="character" w:customStyle="1" w:styleId="H3Char1">
    <w:name w:val="H3 Char1"/>
    <w:link w:val="H3"/>
    <w:rsid w:val="00FC1C5F"/>
    <w:rPr>
      <w:b/>
      <w:bCs/>
      <w:i/>
      <w:sz w:val="24"/>
      <w:lang w:val="en-US" w:eastAsia="en-US" w:bidi="ar-SA"/>
    </w:rPr>
  </w:style>
  <w:style w:type="character" w:customStyle="1" w:styleId="H2Char">
    <w:name w:val="H2 Char"/>
    <w:link w:val="H2"/>
    <w:rsid w:val="002B3DDF"/>
    <w:rPr>
      <w:b/>
      <w:sz w:val="24"/>
    </w:rPr>
  </w:style>
  <w:style w:type="character" w:customStyle="1" w:styleId="HeaderChar">
    <w:name w:val="Header Char"/>
    <w:link w:val="Header"/>
    <w:rsid w:val="00510CB6"/>
    <w:rPr>
      <w:smallCaps/>
    </w:rPr>
  </w:style>
  <w:style w:type="paragraph" w:styleId="Revision">
    <w:name w:val="Revision"/>
    <w:hidden/>
    <w:rsid w:val="00362E3D"/>
    <w:rPr>
      <w:sz w:val="24"/>
    </w:rPr>
  </w:style>
  <w:style w:type="paragraph" w:customStyle="1" w:styleId="TXUHeader">
    <w:name w:val="TXUHeader"/>
    <w:basedOn w:val="Normal"/>
    <w:rsid w:val="00AC2765"/>
    <w:pPr>
      <w:tabs>
        <w:tab w:val="right" w:pos="9360"/>
      </w:tabs>
    </w:pPr>
    <w:rPr>
      <w:noProof/>
      <w:sz w:val="16"/>
    </w:rPr>
  </w:style>
  <w:style w:type="character" w:customStyle="1" w:styleId="H3Char">
    <w:name w:val="H3 Char"/>
    <w:rsid w:val="00002B03"/>
    <w:rPr>
      <w:b/>
      <w:bCs/>
      <w:i/>
      <w:sz w:val="24"/>
      <w:lang w:val="en-US" w:eastAsia="en-US" w:bidi="ar-SA"/>
    </w:rPr>
  </w:style>
  <w:style w:type="paragraph" w:styleId="ListParagraph">
    <w:name w:val="List Paragraph"/>
    <w:basedOn w:val="Normal"/>
    <w:qFormat/>
    <w:rsid w:val="00002B03"/>
    <w:pPr>
      <w:spacing w:after="200" w:line="276" w:lineRule="auto"/>
      <w:ind w:left="720"/>
      <w:contextualSpacing/>
    </w:pPr>
    <w:rPr>
      <w:rFonts w:ascii="Calibri" w:hAnsi="Calibri"/>
      <w:sz w:val="22"/>
      <w:szCs w:val="22"/>
    </w:rPr>
  </w:style>
  <w:style w:type="paragraph" w:styleId="NoSpacing">
    <w:name w:val="No Spacing"/>
    <w:qFormat/>
    <w:rsid w:val="00002B03"/>
    <w:rPr>
      <w:rFonts w:ascii="Calibri" w:hAnsi="Calibri"/>
      <w:sz w:val="22"/>
      <w:szCs w:val="22"/>
    </w:rPr>
  </w:style>
  <w:style w:type="character" w:customStyle="1" w:styleId="ListIntroductionChar">
    <w:name w:val="List Introduction Char"/>
    <w:link w:val="ListIntroduction"/>
    <w:rsid w:val="004A751B"/>
    <w:rPr>
      <w:iCs/>
      <w:sz w:val="24"/>
    </w:rPr>
  </w:style>
  <w:style w:type="paragraph" w:customStyle="1" w:styleId="TXUSubject">
    <w:name w:val="TXUSubject"/>
    <w:basedOn w:val="Normal"/>
    <w:next w:val="Normal"/>
    <w:rsid w:val="002635D3"/>
    <w:pPr>
      <w:spacing w:after="240"/>
    </w:pPr>
    <w:rPr>
      <w:b/>
      <w:sz w:val="20"/>
    </w:rPr>
  </w:style>
  <w:style w:type="character" w:customStyle="1" w:styleId="FootnoteTextChar">
    <w:name w:val="Footnote Text Char"/>
    <w:link w:val="FootnoteText"/>
    <w:rsid w:val="0033404D"/>
    <w:rPr>
      <w:sz w:val="18"/>
    </w:rPr>
  </w:style>
  <w:style w:type="character" w:styleId="FootnoteReference">
    <w:name w:val="footnote reference"/>
    <w:rsid w:val="0033404D"/>
    <w:rPr>
      <w:vertAlign w:val="superscript"/>
    </w:rPr>
  </w:style>
  <w:style w:type="character" w:styleId="FollowedHyperlink">
    <w:name w:val="FollowedHyperlink"/>
    <w:rsid w:val="00D81C2C"/>
    <w:rPr>
      <w:color w:val="800080"/>
      <w:u w:val="single"/>
    </w:rPr>
  </w:style>
  <w:style w:type="character" w:customStyle="1" w:styleId="FormulaBoldChar">
    <w:name w:val="Formula Bold Char"/>
    <w:link w:val="FormulaBold"/>
    <w:rsid w:val="00823E5F"/>
    <w:rPr>
      <w:b/>
      <w:bCs/>
      <w:sz w:val="24"/>
      <w:szCs w:val="24"/>
    </w:rPr>
  </w:style>
  <w:style w:type="character" w:customStyle="1" w:styleId="CommentTextChar">
    <w:name w:val="Comment Text Char"/>
    <w:link w:val="CommentText"/>
    <w:rsid w:val="00972F74"/>
  </w:style>
  <w:style w:type="character" w:styleId="UnresolvedMention">
    <w:name w:val="Unresolved Mention"/>
    <w:basedOn w:val="DefaultParagraphFont"/>
    <w:uiPriority w:val="99"/>
    <w:semiHidden/>
    <w:unhideWhenUsed/>
    <w:rsid w:val="00F30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18272">
      <w:bodyDiv w:val="1"/>
      <w:marLeft w:val="0"/>
      <w:marRight w:val="0"/>
      <w:marTop w:val="0"/>
      <w:marBottom w:val="0"/>
      <w:divBdr>
        <w:top w:val="none" w:sz="0" w:space="0" w:color="auto"/>
        <w:left w:val="none" w:sz="0" w:space="0" w:color="auto"/>
        <w:bottom w:val="none" w:sz="0" w:space="0" w:color="auto"/>
        <w:right w:val="none" w:sz="0" w:space="0" w:color="auto"/>
      </w:divBdr>
    </w:div>
    <w:div w:id="1452936281">
      <w:bodyDiv w:val="1"/>
      <w:marLeft w:val="0"/>
      <w:marRight w:val="0"/>
      <w:marTop w:val="0"/>
      <w:marBottom w:val="0"/>
      <w:divBdr>
        <w:top w:val="none" w:sz="0" w:space="0" w:color="auto"/>
        <w:left w:val="none" w:sz="0" w:space="0" w:color="auto"/>
        <w:bottom w:val="none" w:sz="0" w:space="0" w:color="auto"/>
        <w:right w:val="none" w:sz="0" w:space="0" w:color="auto"/>
      </w:divBdr>
    </w:div>
    <w:div w:id="1854957093">
      <w:bodyDiv w:val="1"/>
      <w:marLeft w:val="0"/>
      <w:marRight w:val="0"/>
      <w:marTop w:val="0"/>
      <w:marBottom w:val="0"/>
      <w:divBdr>
        <w:top w:val="none" w:sz="0" w:space="0" w:color="auto"/>
        <w:left w:val="none" w:sz="0" w:space="0" w:color="auto"/>
        <w:bottom w:val="none" w:sz="0" w:space="0" w:color="auto"/>
        <w:right w:val="none" w:sz="0" w:space="0" w:color="auto"/>
      </w:divBdr>
    </w:div>
    <w:div w:id="1955556008">
      <w:bodyDiv w:val="1"/>
      <w:marLeft w:val="0"/>
      <w:marRight w:val="0"/>
      <w:marTop w:val="0"/>
      <w:marBottom w:val="0"/>
      <w:divBdr>
        <w:top w:val="none" w:sz="0" w:space="0" w:color="auto"/>
        <w:left w:val="none" w:sz="0" w:space="0" w:color="auto"/>
        <w:bottom w:val="none" w:sz="0" w:space="0" w:color="auto"/>
        <w:right w:val="none" w:sz="0" w:space="0" w:color="auto"/>
      </w:divBdr>
    </w:div>
    <w:div w:id="212750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oleObject" Target="embeddings/oleObject1.bin"/><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wmf"/><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yperlink" Target="http://www.ercot.com/mktrules/nprotocols/pir_process.html" TargetMode="External"/><Relationship Id="rId20" Type="http://schemas.openxmlformats.org/officeDocument/2006/relationships/oleObject" Target="embeddings/oleObject3.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mailto:NCSI@ercot.com" TargetMode="External"/><Relationship Id="rId27"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C4C19-5662-4ACF-8683-01CCCA545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Protocol.dot</Template>
  <TotalTime>10</TotalTime>
  <Pages>98</Pages>
  <Words>36197</Words>
  <Characters>206329</Characters>
  <Application>Microsoft Office Word</Application>
  <DocSecurity>0</DocSecurity>
  <Lines>1719</Lines>
  <Paragraphs>484</Paragraphs>
  <ScaleCrop>false</ScaleCrop>
  <HeadingPairs>
    <vt:vector size="2" baseType="variant">
      <vt:variant>
        <vt:lpstr>Title</vt:lpstr>
      </vt:variant>
      <vt:variant>
        <vt:i4>1</vt:i4>
      </vt:variant>
    </vt:vector>
  </HeadingPairs>
  <TitlesOfParts>
    <vt:vector size="1" baseType="lpstr">
      <vt:lpstr>ERCOT Nodal Protocols</vt:lpstr>
    </vt:vector>
  </TitlesOfParts>
  <Company>TekLink Talent</Company>
  <LinksUpToDate>false</LinksUpToDate>
  <CharactersWithSpaces>242042</CharactersWithSpaces>
  <SharedDoc>false</SharedDoc>
  <HLinks>
    <vt:vector size="606" baseType="variant">
      <vt:variant>
        <vt:i4>1114170</vt:i4>
      </vt:variant>
      <vt:variant>
        <vt:i4>602</vt:i4>
      </vt:variant>
      <vt:variant>
        <vt:i4>0</vt:i4>
      </vt:variant>
      <vt:variant>
        <vt:i4>5</vt:i4>
      </vt:variant>
      <vt:variant>
        <vt:lpwstr/>
      </vt:variant>
      <vt:variant>
        <vt:lpwstr>_Toc11053082</vt:lpwstr>
      </vt:variant>
      <vt:variant>
        <vt:i4>1179706</vt:i4>
      </vt:variant>
      <vt:variant>
        <vt:i4>596</vt:i4>
      </vt:variant>
      <vt:variant>
        <vt:i4>0</vt:i4>
      </vt:variant>
      <vt:variant>
        <vt:i4>5</vt:i4>
      </vt:variant>
      <vt:variant>
        <vt:lpwstr/>
      </vt:variant>
      <vt:variant>
        <vt:lpwstr>_Toc11053081</vt:lpwstr>
      </vt:variant>
      <vt:variant>
        <vt:i4>1245242</vt:i4>
      </vt:variant>
      <vt:variant>
        <vt:i4>590</vt:i4>
      </vt:variant>
      <vt:variant>
        <vt:i4>0</vt:i4>
      </vt:variant>
      <vt:variant>
        <vt:i4>5</vt:i4>
      </vt:variant>
      <vt:variant>
        <vt:lpwstr/>
      </vt:variant>
      <vt:variant>
        <vt:lpwstr>_Toc11053080</vt:lpwstr>
      </vt:variant>
      <vt:variant>
        <vt:i4>1703989</vt:i4>
      </vt:variant>
      <vt:variant>
        <vt:i4>584</vt:i4>
      </vt:variant>
      <vt:variant>
        <vt:i4>0</vt:i4>
      </vt:variant>
      <vt:variant>
        <vt:i4>5</vt:i4>
      </vt:variant>
      <vt:variant>
        <vt:lpwstr/>
      </vt:variant>
      <vt:variant>
        <vt:lpwstr>_Toc11053079</vt:lpwstr>
      </vt:variant>
      <vt:variant>
        <vt:i4>1769525</vt:i4>
      </vt:variant>
      <vt:variant>
        <vt:i4>578</vt:i4>
      </vt:variant>
      <vt:variant>
        <vt:i4>0</vt:i4>
      </vt:variant>
      <vt:variant>
        <vt:i4>5</vt:i4>
      </vt:variant>
      <vt:variant>
        <vt:lpwstr/>
      </vt:variant>
      <vt:variant>
        <vt:lpwstr>_Toc11053078</vt:lpwstr>
      </vt:variant>
      <vt:variant>
        <vt:i4>1310773</vt:i4>
      </vt:variant>
      <vt:variant>
        <vt:i4>572</vt:i4>
      </vt:variant>
      <vt:variant>
        <vt:i4>0</vt:i4>
      </vt:variant>
      <vt:variant>
        <vt:i4>5</vt:i4>
      </vt:variant>
      <vt:variant>
        <vt:lpwstr/>
      </vt:variant>
      <vt:variant>
        <vt:lpwstr>_Toc11053077</vt:lpwstr>
      </vt:variant>
      <vt:variant>
        <vt:i4>1376309</vt:i4>
      </vt:variant>
      <vt:variant>
        <vt:i4>566</vt:i4>
      </vt:variant>
      <vt:variant>
        <vt:i4>0</vt:i4>
      </vt:variant>
      <vt:variant>
        <vt:i4>5</vt:i4>
      </vt:variant>
      <vt:variant>
        <vt:lpwstr/>
      </vt:variant>
      <vt:variant>
        <vt:lpwstr>_Toc11053076</vt:lpwstr>
      </vt:variant>
      <vt:variant>
        <vt:i4>1441845</vt:i4>
      </vt:variant>
      <vt:variant>
        <vt:i4>560</vt:i4>
      </vt:variant>
      <vt:variant>
        <vt:i4>0</vt:i4>
      </vt:variant>
      <vt:variant>
        <vt:i4>5</vt:i4>
      </vt:variant>
      <vt:variant>
        <vt:lpwstr/>
      </vt:variant>
      <vt:variant>
        <vt:lpwstr>_Toc11053075</vt:lpwstr>
      </vt:variant>
      <vt:variant>
        <vt:i4>1507381</vt:i4>
      </vt:variant>
      <vt:variant>
        <vt:i4>554</vt:i4>
      </vt:variant>
      <vt:variant>
        <vt:i4>0</vt:i4>
      </vt:variant>
      <vt:variant>
        <vt:i4>5</vt:i4>
      </vt:variant>
      <vt:variant>
        <vt:lpwstr/>
      </vt:variant>
      <vt:variant>
        <vt:lpwstr>_Toc11053074</vt:lpwstr>
      </vt:variant>
      <vt:variant>
        <vt:i4>1048629</vt:i4>
      </vt:variant>
      <vt:variant>
        <vt:i4>548</vt:i4>
      </vt:variant>
      <vt:variant>
        <vt:i4>0</vt:i4>
      </vt:variant>
      <vt:variant>
        <vt:i4>5</vt:i4>
      </vt:variant>
      <vt:variant>
        <vt:lpwstr/>
      </vt:variant>
      <vt:variant>
        <vt:lpwstr>_Toc11053073</vt:lpwstr>
      </vt:variant>
      <vt:variant>
        <vt:i4>1114165</vt:i4>
      </vt:variant>
      <vt:variant>
        <vt:i4>542</vt:i4>
      </vt:variant>
      <vt:variant>
        <vt:i4>0</vt:i4>
      </vt:variant>
      <vt:variant>
        <vt:i4>5</vt:i4>
      </vt:variant>
      <vt:variant>
        <vt:lpwstr/>
      </vt:variant>
      <vt:variant>
        <vt:lpwstr>_Toc11053072</vt:lpwstr>
      </vt:variant>
      <vt:variant>
        <vt:i4>1179701</vt:i4>
      </vt:variant>
      <vt:variant>
        <vt:i4>536</vt:i4>
      </vt:variant>
      <vt:variant>
        <vt:i4>0</vt:i4>
      </vt:variant>
      <vt:variant>
        <vt:i4>5</vt:i4>
      </vt:variant>
      <vt:variant>
        <vt:lpwstr/>
      </vt:variant>
      <vt:variant>
        <vt:lpwstr>_Toc11053071</vt:lpwstr>
      </vt:variant>
      <vt:variant>
        <vt:i4>1245237</vt:i4>
      </vt:variant>
      <vt:variant>
        <vt:i4>530</vt:i4>
      </vt:variant>
      <vt:variant>
        <vt:i4>0</vt:i4>
      </vt:variant>
      <vt:variant>
        <vt:i4>5</vt:i4>
      </vt:variant>
      <vt:variant>
        <vt:lpwstr/>
      </vt:variant>
      <vt:variant>
        <vt:lpwstr>_Toc11053070</vt:lpwstr>
      </vt:variant>
      <vt:variant>
        <vt:i4>1703988</vt:i4>
      </vt:variant>
      <vt:variant>
        <vt:i4>524</vt:i4>
      </vt:variant>
      <vt:variant>
        <vt:i4>0</vt:i4>
      </vt:variant>
      <vt:variant>
        <vt:i4>5</vt:i4>
      </vt:variant>
      <vt:variant>
        <vt:lpwstr/>
      </vt:variant>
      <vt:variant>
        <vt:lpwstr>_Toc11053069</vt:lpwstr>
      </vt:variant>
      <vt:variant>
        <vt:i4>1769524</vt:i4>
      </vt:variant>
      <vt:variant>
        <vt:i4>518</vt:i4>
      </vt:variant>
      <vt:variant>
        <vt:i4>0</vt:i4>
      </vt:variant>
      <vt:variant>
        <vt:i4>5</vt:i4>
      </vt:variant>
      <vt:variant>
        <vt:lpwstr/>
      </vt:variant>
      <vt:variant>
        <vt:lpwstr>_Toc11053068</vt:lpwstr>
      </vt:variant>
      <vt:variant>
        <vt:i4>1310772</vt:i4>
      </vt:variant>
      <vt:variant>
        <vt:i4>512</vt:i4>
      </vt:variant>
      <vt:variant>
        <vt:i4>0</vt:i4>
      </vt:variant>
      <vt:variant>
        <vt:i4>5</vt:i4>
      </vt:variant>
      <vt:variant>
        <vt:lpwstr/>
      </vt:variant>
      <vt:variant>
        <vt:lpwstr>_Toc11053067</vt:lpwstr>
      </vt:variant>
      <vt:variant>
        <vt:i4>1376308</vt:i4>
      </vt:variant>
      <vt:variant>
        <vt:i4>506</vt:i4>
      </vt:variant>
      <vt:variant>
        <vt:i4>0</vt:i4>
      </vt:variant>
      <vt:variant>
        <vt:i4>5</vt:i4>
      </vt:variant>
      <vt:variant>
        <vt:lpwstr/>
      </vt:variant>
      <vt:variant>
        <vt:lpwstr>_Toc11053066</vt:lpwstr>
      </vt:variant>
      <vt:variant>
        <vt:i4>1441844</vt:i4>
      </vt:variant>
      <vt:variant>
        <vt:i4>500</vt:i4>
      </vt:variant>
      <vt:variant>
        <vt:i4>0</vt:i4>
      </vt:variant>
      <vt:variant>
        <vt:i4>5</vt:i4>
      </vt:variant>
      <vt:variant>
        <vt:lpwstr/>
      </vt:variant>
      <vt:variant>
        <vt:lpwstr>_Toc11053065</vt:lpwstr>
      </vt:variant>
      <vt:variant>
        <vt:i4>1507380</vt:i4>
      </vt:variant>
      <vt:variant>
        <vt:i4>494</vt:i4>
      </vt:variant>
      <vt:variant>
        <vt:i4>0</vt:i4>
      </vt:variant>
      <vt:variant>
        <vt:i4>5</vt:i4>
      </vt:variant>
      <vt:variant>
        <vt:lpwstr/>
      </vt:variant>
      <vt:variant>
        <vt:lpwstr>_Toc11053064</vt:lpwstr>
      </vt:variant>
      <vt:variant>
        <vt:i4>1048628</vt:i4>
      </vt:variant>
      <vt:variant>
        <vt:i4>488</vt:i4>
      </vt:variant>
      <vt:variant>
        <vt:i4>0</vt:i4>
      </vt:variant>
      <vt:variant>
        <vt:i4>5</vt:i4>
      </vt:variant>
      <vt:variant>
        <vt:lpwstr/>
      </vt:variant>
      <vt:variant>
        <vt:lpwstr>_Toc11053063</vt:lpwstr>
      </vt:variant>
      <vt:variant>
        <vt:i4>1114164</vt:i4>
      </vt:variant>
      <vt:variant>
        <vt:i4>482</vt:i4>
      </vt:variant>
      <vt:variant>
        <vt:i4>0</vt:i4>
      </vt:variant>
      <vt:variant>
        <vt:i4>5</vt:i4>
      </vt:variant>
      <vt:variant>
        <vt:lpwstr/>
      </vt:variant>
      <vt:variant>
        <vt:lpwstr>_Toc11053062</vt:lpwstr>
      </vt:variant>
      <vt:variant>
        <vt:i4>1179700</vt:i4>
      </vt:variant>
      <vt:variant>
        <vt:i4>476</vt:i4>
      </vt:variant>
      <vt:variant>
        <vt:i4>0</vt:i4>
      </vt:variant>
      <vt:variant>
        <vt:i4>5</vt:i4>
      </vt:variant>
      <vt:variant>
        <vt:lpwstr/>
      </vt:variant>
      <vt:variant>
        <vt:lpwstr>_Toc11053061</vt:lpwstr>
      </vt:variant>
      <vt:variant>
        <vt:i4>1245236</vt:i4>
      </vt:variant>
      <vt:variant>
        <vt:i4>470</vt:i4>
      </vt:variant>
      <vt:variant>
        <vt:i4>0</vt:i4>
      </vt:variant>
      <vt:variant>
        <vt:i4>5</vt:i4>
      </vt:variant>
      <vt:variant>
        <vt:lpwstr/>
      </vt:variant>
      <vt:variant>
        <vt:lpwstr>_Toc11053060</vt:lpwstr>
      </vt:variant>
      <vt:variant>
        <vt:i4>1703991</vt:i4>
      </vt:variant>
      <vt:variant>
        <vt:i4>464</vt:i4>
      </vt:variant>
      <vt:variant>
        <vt:i4>0</vt:i4>
      </vt:variant>
      <vt:variant>
        <vt:i4>5</vt:i4>
      </vt:variant>
      <vt:variant>
        <vt:lpwstr/>
      </vt:variant>
      <vt:variant>
        <vt:lpwstr>_Toc11053059</vt:lpwstr>
      </vt:variant>
      <vt:variant>
        <vt:i4>1769527</vt:i4>
      </vt:variant>
      <vt:variant>
        <vt:i4>458</vt:i4>
      </vt:variant>
      <vt:variant>
        <vt:i4>0</vt:i4>
      </vt:variant>
      <vt:variant>
        <vt:i4>5</vt:i4>
      </vt:variant>
      <vt:variant>
        <vt:lpwstr/>
      </vt:variant>
      <vt:variant>
        <vt:lpwstr>_Toc11053058</vt:lpwstr>
      </vt:variant>
      <vt:variant>
        <vt:i4>1310775</vt:i4>
      </vt:variant>
      <vt:variant>
        <vt:i4>452</vt:i4>
      </vt:variant>
      <vt:variant>
        <vt:i4>0</vt:i4>
      </vt:variant>
      <vt:variant>
        <vt:i4>5</vt:i4>
      </vt:variant>
      <vt:variant>
        <vt:lpwstr/>
      </vt:variant>
      <vt:variant>
        <vt:lpwstr>_Toc11053057</vt:lpwstr>
      </vt:variant>
      <vt:variant>
        <vt:i4>1376311</vt:i4>
      </vt:variant>
      <vt:variant>
        <vt:i4>446</vt:i4>
      </vt:variant>
      <vt:variant>
        <vt:i4>0</vt:i4>
      </vt:variant>
      <vt:variant>
        <vt:i4>5</vt:i4>
      </vt:variant>
      <vt:variant>
        <vt:lpwstr/>
      </vt:variant>
      <vt:variant>
        <vt:lpwstr>_Toc11053056</vt:lpwstr>
      </vt:variant>
      <vt:variant>
        <vt:i4>1441847</vt:i4>
      </vt:variant>
      <vt:variant>
        <vt:i4>440</vt:i4>
      </vt:variant>
      <vt:variant>
        <vt:i4>0</vt:i4>
      </vt:variant>
      <vt:variant>
        <vt:i4>5</vt:i4>
      </vt:variant>
      <vt:variant>
        <vt:lpwstr/>
      </vt:variant>
      <vt:variant>
        <vt:lpwstr>_Toc11053055</vt:lpwstr>
      </vt:variant>
      <vt:variant>
        <vt:i4>1507383</vt:i4>
      </vt:variant>
      <vt:variant>
        <vt:i4>434</vt:i4>
      </vt:variant>
      <vt:variant>
        <vt:i4>0</vt:i4>
      </vt:variant>
      <vt:variant>
        <vt:i4>5</vt:i4>
      </vt:variant>
      <vt:variant>
        <vt:lpwstr/>
      </vt:variant>
      <vt:variant>
        <vt:lpwstr>_Toc11053054</vt:lpwstr>
      </vt:variant>
      <vt:variant>
        <vt:i4>1048631</vt:i4>
      </vt:variant>
      <vt:variant>
        <vt:i4>428</vt:i4>
      </vt:variant>
      <vt:variant>
        <vt:i4>0</vt:i4>
      </vt:variant>
      <vt:variant>
        <vt:i4>5</vt:i4>
      </vt:variant>
      <vt:variant>
        <vt:lpwstr/>
      </vt:variant>
      <vt:variant>
        <vt:lpwstr>_Toc11053053</vt:lpwstr>
      </vt:variant>
      <vt:variant>
        <vt:i4>1114167</vt:i4>
      </vt:variant>
      <vt:variant>
        <vt:i4>422</vt:i4>
      </vt:variant>
      <vt:variant>
        <vt:i4>0</vt:i4>
      </vt:variant>
      <vt:variant>
        <vt:i4>5</vt:i4>
      </vt:variant>
      <vt:variant>
        <vt:lpwstr/>
      </vt:variant>
      <vt:variant>
        <vt:lpwstr>_Toc11053052</vt:lpwstr>
      </vt:variant>
      <vt:variant>
        <vt:i4>1179703</vt:i4>
      </vt:variant>
      <vt:variant>
        <vt:i4>416</vt:i4>
      </vt:variant>
      <vt:variant>
        <vt:i4>0</vt:i4>
      </vt:variant>
      <vt:variant>
        <vt:i4>5</vt:i4>
      </vt:variant>
      <vt:variant>
        <vt:lpwstr/>
      </vt:variant>
      <vt:variant>
        <vt:lpwstr>_Toc11053051</vt:lpwstr>
      </vt:variant>
      <vt:variant>
        <vt:i4>1245239</vt:i4>
      </vt:variant>
      <vt:variant>
        <vt:i4>410</vt:i4>
      </vt:variant>
      <vt:variant>
        <vt:i4>0</vt:i4>
      </vt:variant>
      <vt:variant>
        <vt:i4>5</vt:i4>
      </vt:variant>
      <vt:variant>
        <vt:lpwstr/>
      </vt:variant>
      <vt:variant>
        <vt:lpwstr>_Toc11053050</vt:lpwstr>
      </vt:variant>
      <vt:variant>
        <vt:i4>1703990</vt:i4>
      </vt:variant>
      <vt:variant>
        <vt:i4>404</vt:i4>
      </vt:variant>
      <vt:variant>
        <vt:i4>0</vt:i4>
      </vt:variant>
      <vt:variant>
        <vt:i4>5</vt:i4>
      </vt:variant>
      <vt:variant>
        <vt:lpwstr/>
      </vt:variant>
      <vt:variant>
        <vt:lpwstr>_Toc11053049</vt:lpwstr>
      </vt:variant>
      <vt:variant>
        <vt:i4>1769526</vt:i4>
      </vt:variant>
      <vt:variant>
        <vt:i4>398</vt:i4>
      </vt:variant>
      <vt:variant>
        <vt:i4>0</vt:i4>
      </vt:variant>
      <vt:variant>
        <vt:i4>5</vt:i4>
      </vt:variant>
      <vt:variant>
        <vt:lpwstr/>
      </vt:variant>
      <vt:variant>
        <vt:lpwstr>_Toc11053048</vt:lpwstr>
      </vt:variant>
      <vt:variant>
        <vt:i4>1310774</vt:i4>
      </vt:variant>
      <vt:variant>
        <vt:i4>392</vt:i4>
      </vt:variant>
      <vt:variant>
        <vt:i4>0</vt:i4>
      </vt:variant>
      <vt:variant>
        <vt:i4>5</vt:i4>
      </vt:variant>
      <vt:variant>
        <vt:lpwstr/>
      </vt:variant>
      <vt:variant>
        <vt:lpwstr>_Toc11053047</vt:lpwstr>
      </vt:variant>
      <vt:variant>
        <vt:i4>1376310</vt:i4>
      </vt:variant>
      <vt:variant>
        <vt:i4>386</vt:i4>
      </vt:variant>
      <vt:variant>
        <vt:i4>0</vt:i4>
      </vt:variant>
      <vt:variant>
        <vt:i4>5</vt:i4>
      </vt:variant>
      <vt:variant>
        <vt:lpwstr/>
      </vt:variant>
      <vt:variant>
        <vt:lpwstr>_Toc11053046</vt:lpwstr>
      </vt:variant>
      <vt:variant>
        <vt:i4>1441846</vt:i4>
      </vt:variant>
      <vt:variant>
        <vt:i4>380</vt:i4>
      </vt:variant>
      <vt:variant>
        <vt:i4>0</vt:i4>
      </vt:variant>
      <vt:variant>
        <vt:i4>5</vt:i4>
      </vt:variant>
      <vt:variant>
        <vt:lpwstr/>
      </vt:variant>
      <vt:variant>
        <vt:lpwstr>_Toc11053045</vt:lpwstr>
      </vt:variant>
      <vt:variant>
        <vt:i4>1507382</vt:i4>
      </vt:variant>
      <vt:variant>
        <vt:i4>374</vt:i4>
      </vt:variant>
      <vt:variant>
        <vt:i4>0</vt:i4>
      </vt:variant>
      <vt:variant>
        <vt:i4>5</vt:i4>
      </vt:variant>
      <vt:variant>
        <vt:lpwstr/>
      </vt:variant>
      <vt:variant>
        <vt:lpwstr>_Toc11053044</vt:lpwstr>
      </vt:variant>
      <vt:variant>
        <vt:i4>1048630</vt:i4>
      </vt:variant>
      <vt:variant>
        <vt:i4>368</vt:i4>
      </vt:variant>
      <vt:variant>
        <vt:i4>0</vt:i4>
      </vt:variant>
      <vt:variant>
        <vt:i4>5</vt:i4>
      </vt:variant>
      <vt:variant>
        <vt:lpwstr/>
      </vt:variant>
      <vt:variant>
        <vt:lpwstr>_Toc11053043</vt:lpwstr>
      </vt:variant>
      <vt:variant>
        <vt:i4>1114166</vt:i4>
      </vt:variant>
      <vt:variant>
        <vt:i4>362</vt:i4>
      </vt:variant>
      <vt:variant>
        <vt:i4>0</vt:i4>
      </vt:variant>
      <vt:variant>
        <vt:i4>5</vt:i4>
      </vt:variant>
      <vt:variant>
        <vt:lpwstr/>
      </vt:variant>
      <vt:variant>
        <vt:lpwstr>_Toc11053042</vt:lpwstr>
      </vt:variant>
      <vt:variant>
        <vt:i4>1179702</vt:i4>
      </vt:variant>
      <vt:variant>
        <vt:i4>356</vt:i4>
      </vt:variant>
      <vt:variant>
        <vt:i4>0</vt:i4>
      </vt:variant>
      <vt:variant>
        <vt:i4>5</vt:i4>
      </vt:variant>
      <vt:variant>
        <vt:lpwstr/>
      </vt:variant>
      <vt:variant>
        <vt:lpwstr>_Toc11053041</vt:lpwstr>
      </vt:variant>
      <vt:variant>
        <vt:i4>1245238</vt:i4>
      </vt:variant>
      <vt:variant>
        <vt:i4>350</vt:i4>
      </vt:variant>
      <vt:variant>
        <vt:i4>0</vt:i4>
      </vt:variant>
      <vt:variant>
        <vt:i4>5</vt:i4>
      </vt:variant>
      <vt:variant>
        <vt:lpwstr/>
      </vt:variant>
      <vt:variant>
        <vt:lpwstr>_Toc11053040</vt:lpwstr>
      </vt:variant>
      <vt:variant>
        <vt:i4>1703985</vt:i4>
      </vt:variant>
      <vt:variant>
        <vt:i4>344</vt:i4>
      </vt:variant>
      <vt:variant>
        <vt:i4>0</vt:i4>
      </vt:variant>
      <vt:variant>
        <vt:i4>5</vt:i4>
      </vt:variant>
      <vt:variant>
        <vt:lpwstr/>
      </vt:variant>
      <vt:variant>
        <vt:lpwstr>_Toc11053039</vt:lpwstr>
      </vt:variant>
      <vt:variant>
        <vt:i4>1769521</vt:i4>
      </vt:variant>
      <vt:variant>
        <vt:i4>338</vt:i4>
      </vt:variant>
      <vt:variant>
        <vt:i4>0</vt:i4>
      </vt:variant>
      <vt:variant>
        <vt:i4>5</vt:i4>
      </vt:variant>
      <vt:variant>
        <vt:lpwstr/>
      </vt:variant>
      <vt:variant>
        <vt:lpwstr>_Toc11053038</vt:lpwstr>
      </vt:variant>
      <vt:variant>
        <vt:i4>1310769</vt:i4>
      </vt:variant>
      <vt:variant>
        <vt:i4>332</vt:i4>
      </vt:variant>
      <vt:variant>
        <vt:i4>0</vt:i4>
      </vt:variant>
      <vt:variant>
        <vt:i4>5</vt:i4>
      </vt:variant>
      <vt:variant>
        <vt:lpwstr/>
      </vt:variant>
      <vt:variant>
        <vt:lpwstr>_Toc11053037</vt:lpwstr>
      </vt:variant>
      <vt:variant>
        <vt:i4>1376305</vt:i4>
      </vt:variant>
      <vt:variant>
        <vt:i4>326</vt:i4>
      </vt:variant>
      <vt:variant>
        <vt:i4>0</vt:i4>
      </vt:variant>
      <vt:variant>
        <vt:i4>5</vt:i4>
      </vt:variant>
      <vt:variant>
        <vt:lpwstr/>
      </vt:variant>
      <vt:variant>
        <vt:lpwstr>_Toc11053036</vt:lpwstr>
      </vt:variant>
      <vt:variant>
        <vt:i4>1441841</vt:i4>
      </vt:variant>
      <vt:variant>
        <vt:i4>320</vt:i4>
      </vt:variant>
      <vt:variant>
        <vt:i4>0</vt:i4>
      </vt:variant>
      <vt:variant>
        <vt:i4>5</vt:i4>
      </vt:variant>
      <vt:variant>
        <vt:lpwstr/>
      </vt:variant>
      <vt:variant>
        <vt:lpwstr>_Toc11053035</vt:lpwstr>
      </vt:variant>
      <vt:variant>
        <vt:i4>1507377</vt:i4>
      </vt:variant>
      <vt:variant>
        <vt:i4>314</vt:i4>
      </vt:variant>
      <vt:variant>
        <vt:i4>0</vt:i4>
      </vt:variant>
      <vt:variant>
        <vt:i4>5</vt:i4>
      </vt:variant>
      <vt:variant>
        <vt:lpwstr/>
      </vt:variant>
      <vt:variant>
        <vt:lpwstr>_Toc11053034</vt:lpwstr>
      </vt:variant>
      <vt:variant>
        <vt:i4>1048625</vt:i4>
      </vt:variant>
      <vt:variant>
        <vt:i4>308</vt:i4>
      </vt:variant>
      <vt:variant>
        <vt:i4>0</vt:i4>
      </vt:variant>
      <vt:variant>
        <vt:i4>5</vt:i4>
      </vt:variant>
      <vt:variant>
        <vt:lpwstr/>
      </vt:variant>
      <vt:variant>
        <vt:lpwstr>_Toc11053033</vt:lpwstr>
      </vt:variant>
      <vt:variant>
        <vt:i4>1114161</vt:i4>
      </vt:variant>
      <vt:variant>
        <vt:i4>302</vt:i4>
      </vt:variant>
      <vt:variant>
        <vt:i4>0</vt:i4>
      </vt:variant>
      <vt:variant>
        <vt:i4>5</vt:i4>
      </vt:variant>
      <vt:variant>
        <vt:lpwstr/>
      </vt:variant>
      <vt:variant>
        <vt:lpwstr>_Toc11053032</vt:lpwstr>
      </vt:variant>
      <vt:variant>
        <vt:i4>1179697</vt:i4>
      </vt:variant>
      <vt:variant>
        <vt:i4>296</vt:i4>
      </vt:variant>
      <vt:variant>
        <vt:i4>0</vt:i4>
      </vt:variant>
      <vt:variant>
        <vt:i4>5</vt:i4>
      </vt:variant>
      <vt:variant>
        <vt:lpwstr/>
      </vt:variant>
      <vt:variant>
        <vt:lpwstr>_Toc11053031</vt:lpwstr>
      </vt:variant>
      <vt:variant>
        <vt:i4>1245233</vt:i4>
      </vt:variant>
      <vt:variant>
        <vt:i4>290</vt:i4>
      </vt:variant>
      <vt:variant>
        <vt:i4>0</vt:i4>
      </vt:variant>
      <vt:variant>
        <vt:i4>5</vt:i4>
      </vt:variant>
      <vt:variant>
        <vt:lpwstr/>
      </vt:variant>
      <vt:variant>
        <vt:lpwstr>_Toc11053030</vt:lpwstr>
      </vt:variant>
      <vt:variant>
        <vt:i4>1703984</vt:i4>
      </vt:variant>
      <vt:variant>
        <vt:i4>284</vt:i4>
      </vt:variant>
      <vt:variant>
        <vt:i4>0</vt:i4>
      </vt:variant>
      <vt:variant>
        <vt:i4>5</vt:i4>
      </vt:variant>
      <vt:variant>
        <vt:lpwstr/>
      </vt:variant>
      <vt:variant>
        <vt:lpwstr>_Toc11053029</vt:lpwstr>
      </vt:variant>
      <vt:variant>
        <vt:i4>1769520</vt:i4>
      </vt:variant>
      <vt:variant>
        <vt:i4>278</vt:i4>
      </vt:variant>
      <vt:variant>
        <vt:i4>0</vt:i4>
      </vt:variant>
      <vt:variant>
        <vt:i4>5</vt:i4>
      </vt:variant>
      <vt:variant>
        <vt:lpwstr/>
      </vt:variant>
      <vt:variant>
        <vt:lpwstr>_Toc11053028</vt:lpwstr>
      </vt:variant>
      <vt:variant>
        <vt:i4>1310768</vt:i4>
      </vt:variant>
      <vt:variant>
        <vt:i4>272</vt:i4>
      </vt:variant>
      <vt:variant>
        <vt:i4>0</vt:i4>
      </vt:variant>
      <vt:variant>
        <vt:i4>5</vt:i4>
      </vt:variant>
      <vt:variant>
        <vt:lpwstr/>
      </vt:variant>
      <vt:variant>
        <vt:lpwstr>_Toc11053027</vt:lpwstr>
      </vt:variant>
      <vt:variant>
        <vt:i4>1376304</vt:i4>
      </vt:variant>
      <vt:variant>
        <vt:i4>266</vt:i4>
      </vt:variant>
      <vt:variant>
        <vt:i4>0</vt:i4>
      </vt:variant>
      <vt:variant>
        <vt:i4>5</vt:i4>
      </vt:variant>
      <vt:variant>
        <vt:lpwstr/>
      </vt:variant>
      <vt:variant>
        <vt:lpwstr>_Toc11053026</vt:lpwstr>
      </vt:variant>
      <vt:variant>
        <vt:i4>1441840</vt:i4>
      </vt:variant>
      <vt:variant>
        <vt:i4>260</vt:i4>
      </vt:variant>
      <vt:variant>
        <vt:i4>0</vt:i4>
      </vt:variant>
      <vt:variant>
        <vt:i4>5</vt:i4>
      </vt:variant>
      <vt:variant>
        <vt:lpwstr/>
      </vt:variant>
      <vt:variant>
        <vt:lpwstr>_Toc11053025</vt:lpwstr>
      </vt:variant>
      <vt:variant>
        <vt:i4>1507376</vt:i4>
      </vt:variant>
      <vt:variant>
        <vt:i4>254</vt:i4>
      </vt:variant>
      <vt:variant>
        <vt:i4>0</vt:i4>
      </vt:variant>
      <vt:variant>
        <vt:i4>5</vt:i4>
      </vt:variant>
      <vt:variant>
        <vt:lpwstr/>
      </vt:variant>
      <vt:variant>
        <vt:lpwstr>_Toc11053024</vt:lpwstr>
      </vt:variant>
      <vt:variant>
        <vt:i4>1048624</vt:i4>
      </vt:variant>
      <vt:variant>
        <vt:i4>248</vt:i4>
      </vt:variant>
      <vt:variant>
        <vt:i4>0</vt:i4>
      </vt:variant>
      <vt:variant>
        <vt:i4>5</vt:i4>
      </vt:variant>
      <vt:variant>
        <vt:lpwstr/>
      </vt:variant>
      <vt:variant>
        <vt:lpwstr>_Toc11053023</vt:lpwstr>
      </vt:variant>
      <vt:variant>
        <vt:i4>1114160</vt:i4>
      </vt:variant>
      <vt:variant>
        <vt:i4>242</vt:i4>
      </vt:variant>
      <vt:variant>
        <vt:i4>0</vt:i4>
      </vt:variant>
      <vt:variant>
        <vt:i4>5</vt:i4>
      </vt:variant>
      <vt:variant>
        <vt:lpwstr/>
      </vt:variant>
      <vt:variant>
        <vt:lpwstr>_Toc11053022</vt:lpwstr>
      </vt:variant>
      <vt:variant>
        <vt:i4>1179696</vt:i4>
      </vt:variant>
      <vt:variant>
        <vt:i4>236</vt:i4>
      </vt:variant>
      <vt:variant>
        <vt:i4>0</vt:i4>
      </vt:variant>
      <vt:variant>
        <vt:i4>5</vt:i4>
      </vt:variant>
      <vt:variant>
        <vt:lpwstr/>
      </vt:variant>
      <vt:variant>
        <vt:lpwstr>_Toc11053021</vt:lpwstr>
      </vt:variant>
      <vt:variant>
        <vt:i4>1245232</vt:i4>
      </vt:variant>
      <vt:variant>
        <vt:i4>230</vt:i4>
      </vt:variant>
      <vt:variant>
        <vt:i4>0</vt:i4>
      </vt:variant>
      <vt:variant>
        <vt:i4>5</vt:i4>
      </vt:variant>
      <vt:variant>
        <vt:lpwstr/>
      </vt:variant>
      <vt:variant>
        <vt:lpwstr>_Toc11053020</vt:lpwstr>
      </vt:variant>
      <vt:variant>
        <vt:i4>1703987</vt:i4>
      </vt:variant>
      <vt:variant>
        <vt:i4>224</vt:i4>
      </vt:variant>
      <vt:variant>
        <vt:i4>0</vt:i4>
      </vt:variant>
      <vt:variant>
        <vt:i4>5</vt:i4>
      </vt:variant>
      <vt:variant>
        <vt:lpwstr/>
      </vt:variant>
      <vt:variant>
        <vt:lpwstr>_Toc11053019</vt:lpwstr>
      </vt:variant>
      <vt:variant>
        <vt:i4>1769523</vt:i4>
      </vt:variant>
      <vt:variant>
        <vt:i4>218</vt:i4>
      </vt:variant>
      <vt:variant>
        <vt:i4>0</vt:i4>
      </vt:variant>
      <vt:variant>
        <vt:i4>5</vt:i4>
      </vt:variant>
      <vt:variant>
        <vt:lpwstr/>
      </vt:variant>
      <vt:variant>
        <vt:lpwstr>_Toc11053018</vt:lpwstr>
      </vt:variant>
      <vt:variant>
        <vt:i4>1310771</vt:i4>
      </vt:variant>
      <vt:variant>
        <vt:i4>212</vt:i4>
      </vt:variant>
      <vt:variant>
        <vt:i4>0</vt:i4>
      </vt:variant>
      <vt:variant>
        <vt:i4>5</vt:i4>
      </vt:variant>
      <vt:variant>
        <vt:lpwstr/>
      </vt:variant>
      <vt:variant>
        <vt:lpwstr>_Toc11053017</vt:lpwstr>
      </vt:variant>
      <vt:variant>
        <vt:i4>1376307</vt:i4>
      </vt:variant>
      <vt:variant>
        <vt:i4>206</vt:i4>
      </vt:variant>
      <vt:variant>
        <vt:i4>0</vt:i4>
      </vt:variant>
      <vt:variant>
        <vt:i4>5</vt:i4>
      </vt:variant>
      <vt:variant>
        <vt:lpwstr/>
      </vt:variant>
      <vt:variant>
        <vt:lpwstr>_Toc11053016</vt:lpwstr>
      </vt:variant>
      <vt:variant>
        <vt:i4>1441843</vt:i4>
      </vt:variant>
      <vt:variant>
        <vt:i4>200</vt:i4>
      </vt:variant>
      <vt:variant>
        <vt:i4>0</vt:i4>
      </vt:variant>
      <vt:variant>
        <vt:i4>5</vt:i4>
      </vt:variant>
      <vt:variant>
        <vt:lpwstr/>
      </vt:variant>
      <vt:variant>
        <vt:lpwstr>_Toc11053015</vt:lpwstr>
      </vt:variant>
      <vt:variant>
        <vt:i4>1507379</vt:i4>
      </vt:variant>
      <vt:variant>
        <vt:i4>194</vt:i4>
      </vt:variant>
      <vt:variant>
        <vt:i4>0</vt:i4>
      </vt:variant>
      <vt:variant>
        <vt:i4>5</vt:i4>
      </vt:variant>
      <vt:variant>
        <vt:lpwstr/>
      </vt:variant>
      <vt:variant>
        <vt:lpwstr>_Toc11053014</vt:lpwstr>
      </vt:variant>
      <vt:variant>
        <vt:i4>1048627</vt:i4>
      </vt:variant>
      <vt:variant>
        <vt:i4>188</vt:i4>
      </vt:variant>
      <vt:variant>
        <vt:i4>0</vt:i4>
      </vt:variant>
      <vt:variant>
        <vt:i4>5</vt:i4>
      </vt:variant>
      <vt:variant>
        <vt:lpwstr/>
      </vt:variant>
      <vt:variant>
        <vt:lpwstr>_Toc11053013</vt:lpwstr>
      </vt:variant>
      <vt:variant>
        <vt:i4>1114163</vt:i4>
      </vt:variant>
      <vt:variant>
        <vt:i4>182</vt:i4>
      </vt:variant>
      <vt:variant>
        <vt:i4>0</vt:i4>
      </vt:variant>
      <vt:variant>
        <vt:i4>5</vt:i4>
      </vt:variant>
      <vt:variant>
        <vt:lpwstr/>
      </vt:variant>
      <vt:variant>
        <vt:lpwstr>_Toc11053012</vt:lpwstr>
      </vt:variant>
      <vt:variant>
        <vt:i4>1179699</vt:i4>
      </vt:variant>
      <vt:variant>
        <vt:i4>176</vt:i4>
      </vt:variant>
      <vt:variant>
        <vt:i4>0</vt:i4>
      </vt:variant>
      <vt:variant>
        <vt:i4>5</vt:i4>
      </vt:variant>
      <vt:variant>
        <vt:lpwstr/>
      </vt:variant>
      <vt:variant>
        <vt:lpwstr>_Toc11053011</vt:lpwstr>
      </vt:variant>
      <vt:variant>
        <vt:i4>1245235</vt:i4>
      </vt:variant>
      <vt:variant>
        <vt:i4>170</vt:i4>
      </vt:variant>
      <vt:variant>
        <vt:i4>0</vt:i4>
      </vt:variant>
      <vt:variant>
        <vt:i4>5</vt:i4>
      </vt:variant>
      <vt:variant>
        <vt:lpwstr/>
      </vt:variant>
      <vt:variant>
        <vt:lpwstr>_Toc11053010</vt:lpwstr>
      </vt:variant>
      <vt:variant>
        <vt:i4>1703986</vt:i4>
      </vt:variant>
      <vt:variant>
        <vt:i4>164</vt:i4>
      </vt:variant>
      <vt:variant>
        <vt:i4>0</vt:i4>
      </vt:variant>
      <vt:variant>
        <vt:i4>5</vt:i4>
      </vt:variant>
      <vt:variant>
        <vt:lpwstr/>
      </vt:variant>
      <vt:variant>
        <vt:lpwstr>_Toc11053009</vt:lpwstr>
      </vt:variant>
      <vt:variant>
        <vt:i4>1769522</vt:i4>
      </vt:variant>
      <vt:variant>
        <vt:i4>158</vt:i4>
      </vt:variant>
      <vt:variant>
        <vt:i4>0</vt:i4>
      </vt:variant>
      <vt:variant>
        <vt:i4>5</vt:i4>
      </vt:variant>
      <vt:variant>
        <vt:lpwstr/>
      </vt:variant>
      <vt:variant>
        <vt:lpwstr>_Toc11053008</vt:lpwstr>
      </vt:variant>
      <vt:variant>
        <vt:i4>1310770</vt:i4>
      </vt:variant>
      <vt:variant>
        <vt:i4>152</vt:i4>
      </vt:variant>
      <vt:variant>
        <vt:i4>0</vt:i4>
      </vt:variant>
      <vt:variant>
        <vt:i4>5</vt:i4>
      </vt:variant>
      <vt:variant>
        <vt:lpwstr/>
      </vt:variant>
      <vt:variant>
        <vt:lpwstr>_Toc11053007</vt:lpwstr>
      </vt:variant>
      <vt:variant>
        <vt:i4>1376306</vt:i4>
      </vt:variant>
      <vt:variant>
        <vt:i4>146</vt:i4>
      </vt:variant>
      <vt:variant>
        <vt:i4>0</vt:i4>
      </vt:variant>
      <vt:variant>
        <vt:i4>5</vt:i4>
      </vt:variant>
      <vt:variant>
        <vt:lpwstr/>
      </vt:variant>
      <vt:variant>
        <vt:lpwstr>_Toc11053006</vt:lpwstr>
      </vt:variant>
      <vt:variant>
        <vt:i4>1441842</vt:i4>
      </vt:variant>
      <vt:variant>
        <vt:i4>140</vt:i4>
      </vt:variant>
      <vt:variant>
        <vt:i4>0</vt:i4>
      </vt:variant>
      <vt:variant>
        <vt:i4>5</vt:i4>
      </vt:variant>
      <vt:variant>
        <vt:lpwstr/>
      </vt:variant>
      <vt:variant>
        <vt:lpwstr>_Toc11053005</vt:lpwstr>
      </vt:variant>
      <vt:variant>
        <vt:i4>1507378</vt:i4>
      </vt:variant>
      <vt:variant>
        <vt:i4>134</vt:i4>
      </vt:variant>
      <vt:variant>
        <vt:i4>0</vt:i4>
      </vt:variant>
      <vt:variant>
        <vt:i4>5</vt:i4>
      </vt:variant>
      <vt:variant>
        <vt:lpwstr/>
      </vt:variant>
      <vt:variant>
        <vt:lpwstr>_Toc11053004</vt:lpwstr>
      </vt:variant>
      <vt:variant>
        <vt:i4>1048626</vt:i4>
      </vt:variant>
      <vt:variant>
        <vt:i4>128</vt:i4>
      </vt:variant>
      <vt:variant>
        <vt:i4>0</vt:i4>
      </vt:variant>
      <vt:variant>
        <vt:i4>5</vt:i4>
      </vt:variant>
      <vt:variant>
        <vt:lpwstr/>
      </vt:variant>
      <vt:variant>
        <vt:lpwstr>_Toc11053003</vt:lpwstr>
      </vt:variant>
      <vt:variant>
        <vt:i4>1114162</vt:i4>
      </vt:variant>
      <vt:variant>
        <vt:i4>122</vt:i4>
      </vt:variant>
      <vt:variant>
        <vt:i4>0</vt:i4>
      </vt:variant>
      <vt:variant>
        <vt:i4>5</vt:i4>
      </vt:variant>
      <vt:variant>
        <vt:lpwstr/>
      </vt:variant>
      <vt:variant>
        <vt:lpwstr>_Toc11053002</vt:lpwstr>
      </vt:variant>
      <vt:variant>
        <vt:i4>1179698</vt:i4>
      </vt:variant>
      <vt:variant>
        <vt:i4>116</vt:i4>
      </vt:variant>
      <vt:variant>
        <vt:i4>0</vt:i4>
      </vt:variant>
      <vt:variant>
        <vt:i4>5</vt:i4>
      </vt:variant>
      <vt:variant>
        <vt:lpwstr/>
      </vt:variant>
      <vt:variant>
        <vt:lpwstr>_Toc11053001</vt:lpwstr>
      </vt:variant>
      <vt:variant>
        <vt:i4>1245234</vt:i4>
      </vt:variant>
      <vt:variant>
        <vt:i4>110</vt:i4>
      </vt:variant>
      <vt:variant>
        <vt:i4>0</vt:i4>
      </vt:variant>
      <vt:variant>
        <vt:i4>5</vt:i4>
      </vt:variant>
      <vt:variant>
        <vt:lpwstr/>
      </vt:variant>
      <vt:variant>
        <vt:lpwstr>_Toc11053000</vt:lpwstr>
      </vt:variant>
      <vt:variant>
        <vt:i4>1245242</vt:i4>
      </vt:variant>
      <vt:variant>
        <vt:i4>104</vt:i4>
      </vt:variant>
      <vt:variant>
        <vt:i4>0</vt:i4>
      </vt:variant>
      <vt:variant>
        <vt:i4>5</vt:i4>
      </vt:variant>
      <vt:variant>
        <vt:lpwstr/>
      </vt:variant>
      <vt:variant>
        <vt:lpwstr>_Toc11052999</vt:lpwstr>
      </vt:variant>
      <vt:variant>
        <vt:i4>1179706</vt:i4>
      </vt:variant>
      <vt:variant>
        <vt:i4>98</vt:i4>
      </vt:variant>
      <vt:variant>
        <vt:i4>0</vt:i4>
      </vt:variant>
      <vt:variant>
        <vt:i4>5</vt:i4>
      </vt:variant>
      <vt:variant>
        <vt:lpwstr/>
      </vt:variant>
      <vt:variant>
        <vt:lpwstr>_Toc11052998</vt:lpwstr>
      </vt:variant>
      <vt:variant>
        <vt:i4>1900602</vt:i4>
      </vt:variant>
      <vt:variant>
        <vt:i4>92</vt:i4>
      </vt:variant>
      <vt:variant>
        <vt:i4>0</vt:i4>
      </vt:variant>
      <vt:variant>
        <vt:i4>5</vt:i4>
      </vt:variant>
      <vt:variant>
        <vt:lpwstr/>
      </vt:variant>
      <vt:variant>
        <vt:lpwstr>_Toc11052997</vt:lpwstr>
      </vt:variant>
      <vt:variant>
        <vt:i4>1835066</vt:i4>
      </vt:variant>
      <vt:variant>
        <vt:i4>86</vt:i4>
      </vt:variant>
      <vt:variant>
        <vt:i4>0</vt:i4>
      </vt:variant>
      <vt:variant>
        <vt:i4>5</vt:i4>
      </vt:variant>
      <vt:variant>
        <vt:lpwstr/>
      </vt:variant>
      <vt:variant>
        <vt:lpwstr>_Toc11052996</vt:lpwstr>
      </vt:variant>
      <vt:variant>
        <vt:i4>2031674</vt:i4>
      </vt:variant>
      <vt:variant>
        <vt:i4>80</vt:i4>
      </vt:variant>
      <vt:variant>
        <vt:i4>0</vt:i4>
      </vt:variant>
      <vt:variant>
        <vt:i4>5</vt:i4>
      </vt:variant>
      <vt:variant>
        <vt:lpwstr/>
      </vt:variant>
      <vt:variant>
        <vt:lpwstr>_Toc11052995</vt:lpwstr>
      </vt:variant>
      <vt:variant>
        <vt:i4>1966138</vt:i4>
      </vt:variant>
      <vt:variant>
        <vt:i4>74</vt:i4>
      </vt:variant>
      <vt:variant>
        <vt:i4>0</vt:i4>
      </vt:variant>
      <vt:variant>
        <vt:i4>5</vt:i4>
      </vt:variant>
      <vt:variant>
        <vt:lpwstr/>
      </vt:variant>
      <vt:variant>
        <vt:lpwstr>_Toc11052994</vt:lpwstr>
      </vt:variant>
      <vt:variant>
        <vt:i4>1638458</vt:i4>
      </vt:variant>
      <vt:variant>
        <vt:i4>68</vt:i4>
      </vt:variant>
      <vt:variant>
        <vt:i4>0</vt:i4>
      </vt:variant>
      <vt:variant>
        <vt:i4>5</vt:i4>
      </vt:variant>
      <vt:variant>
        <vt:lpwstr/>
      </vt:variant>
      <vt:variant>
        <vt:lpwstr>_Toc11052993</vt:lpwstr>
      </vt:variant>
      <vt:variant>
        <vt:i4>1572922</vt:i4>
      </vt:variant>
      <vt:variant>
        <vt:i4>62</vt:i4>
      </vt:variant>
      <vt:variant>
        <vt:i4>0</vt:i4>
      </vt:variant>
      <vt:variant>
        <vt:i4>5</vt:i4>
      </vt:variant>
      <vt:variant>
        <vt:lpwstr/>
      </vt:variant>
      <vt:variant>
        <vt:lpwstr>_Toc11052992</vt:lpwstr>
      </vt:variant>
      <vt:variant>
        <vt:i4>1769530</vt:i4>
      </vt:variant>
      <vt:variant>
        <vt:i4>56</vt:i4>
      </vt:variant>
      <vt:variant>
        <vt:i4>0</vt:i4>
      </vt:variant>
      <vt:variant>
        <vt:i4>5</vt:i4>
      </vt:variant>
      <vt:variant>
        <vt:lpwstr/>
      </vt:variant>
      <vt:variant>
        <vt:lpwstr>_Toc11052991</vt:lpwstr>
      </vt:variant>
      <vt:variant>
        <vt:i4>1703994</vt:i4>
      </vt:variant>
      <vt:variant>
        <vt:i4>50</vt:i4>
      </vt:variant>
      <vt:variant>
        <vt:i4>0</vt:i4>
      </vt:variant>
      <vt:variant>
        <vt:i4>5</vt:i4>
      </vt:variant>
      <vt:variant>
        <vt:lpwstr/>
      </vt:variant>
      <vt:variant>
        <vt:lpwstr>_Toc11052990</vt:lpwstr>
      </vt:variant>
      <vt:variant>
        <vt:i4>1245243</vt:i4>
      </vt:variant>
      <vt:variant>
        <vt:i4>44</vt:i4>
      </vt:variant>
      <vt:variant>
        <vt:i4>0</vt:i4>
      </vt:variant>
      <vt:variant>
        <vt:i4>5</vt:i4>
      </vt:variant>
      <vt:variant>
        <vt:lpwstr/>
      </vt:variant>
      <vt:variant>
        <vt:lpwstr>_Toc11052989</vt:lpwstr>
      </vt:variant>
      <vt:variant>
        <vt:i4>1179707</vt:i4>
      </vt:variant>
      <vt:variant>
        <vt:i4>38</vt:i4>
      </vt:variant>
      <vt:variant>
        <vt:i4>0</vt:i4>
      </vt:variant>
      <vt:variant>
        <vt:i4>5</vt:i4>
      </vt:variant>
      <vt:variant>
        <vt:lpwstr/>
      </vt:variant>
      <vt:variant>
        <vt:lpwstr>_Toc11052988</vt:lpwstr>
      </vt:variant>
      <vt:variant>
        <vt:i4>1900603</vt:i4>
      </vt:variant>
      <vt:variant>
        <vt:i4>32</vt:i4>
      </vt:variant>
      <vt:variant>
        <vt:i4>0</vt:i4>
      </vt:variant>
      <vt:variant>
        <vt:i4>5</vt:i4>
      </vt:variant>
      <vt:variant>
        <vt:lpwstr/>
      </vt:variant>
      <vt:variant>
        <vt:lpwstr>_Toc11052987</vt:lpwstr>
      </vt:variant>
      <vt:variant>
        <vt:i4>1835067</vt:i4>
      </vt:variant>
      <vt:variant>
        <vt:i4>26</vt:i4>
      </vt:variant>
      <vt:variant>
        <vt:i4>0</vt:i4>
      </vt:variant>
      <vt:variant>
        <vt:i4>5</vt:i4>
      </vt:variant>
      <vt:variant>
        <vt:lpwstr/>
      </vt:variant>
      <vt:variant>
        <vt:lpwstr>_Toc11052986</vt:lpwstr>
      </vt:variant>
      <vt:variant>
        <vt:i4>2031675</vt:i4>
      </vt:variant>
      <vt:variant>
        <vt:i4>20</vt:i4>
      </vt:variant>
      <vt:variant>
        <vt:i4>0</vt:i4>
      </vt:variant>
      <vt:variant>
        <vt:i4>5</vt:i4>
      </vt:variant>
      <vt:variant>
        <vt:lpwstr/>
      </vt:variant>
      <vt:variant>
        <vt:lpwstr>_Toc11052985</vt:lpwstr>
      </vt:variant>
      <vt:variant>
        <vt:i4>1966139</vt:i4>
      </vt:variant>
      <vt:variant>
        <vt:i4>14</vt:i4>
      </vt:variant>
      <vt:variant>
        <vt:i4>0</vt:i4>
      </vt:variant>
      <vt:variant>
        <vt:i4>5</vt:i4>
      </vt:variant>
      <vt:variant>
        <vt:lpwstr/>
      </vt:variant>
      <vt:variant>
        <vt:lpwstr>_Toc11052984</vt:lpwstr>
      </vt:variant>
      <vt:variant>
        <vt:i4>1638459</vt:i4>
      </vt:variant>
      <vt:variant>
        <vt:i4>8</vt:i4>
      </vt:variant>
      <vt:variant>
        <vt:i4>0</vt:i4>
      </vt:variant>
      <vt:variant>
        <vt:i4>5</vt:i4>
      </vt:variant>
      <vt:variant>
        <vt:lpwstr/>
      </vt:variant>
      <vt:variant>
        <vt:lpwstr>_Toc11052983</vt:lpwstr>
      </vt:variant>
      <vt:variant>
        <vt:i4>1572923</vt:i4>
      </vt:variant>
      <vt:variant>
        <vt:i4>2</vt:i4>
      </vt:variant>
      <vt:variant>
        <vt:i4>0</vt:i4>
      </vt:variant>
      <vt:variant>
        <vt:i4>5</vt:i4>
      </vt:variant>
      <vt:variant>
        <vt:lpwstr/>
      </vt:variant>
      <vt:variant>
        <vt:lpwstr>_Toc11052982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ERCOT Nodal Protocols</dc:title>
  <dc:subject>ERCOT Nodal Protocols</dc:subject>
  <dc:creator>CEHE</dc:creator>
  <cp:keywords/>
  <dc:description/>
  <cp:lastModifiedBy>TCPA 04XX24</cp:lastModifiedBy>
  <cp:revision>5</cp:revision>
  <cp:lastPrinted>2019-04-29T19:52:00Z</cp:lastPrinted>
  <dcterms:created xsi:type="dcterms:W3CDTF">2024-04-22T14:31:00Z</dcterms:created>
  <dcterms:modified xsi:type="dcterms:W3CDTF">2024-04-22T17:25:00Z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7084cbda-52b8-46fb-a7b7-cb5bd465ed85_Enabled">
    <vt:lpwstr>true</vt:lpwstr>
  </property>
  <property fmtid="{D5CDD505-2E9C-101B-9397-08002B2CF9AE}" pid="4" name="MSIP_Label_7084cbda-52b8-46fb-a7b7-cb5bd465ed85_SetDate">
    <vt:lpwstr>2023-07-28T14:22:57Z</vt:lpwstr>
  </property>
  <property fmtid="{D5CDD505-2E9C-101B-9397-08002B2CF9AE}" pid="5" name="MSIP_Label_7084cbda-52b8-46fb-a7b7-cb5bd465ed85_Method">
    <vt:lpwstr>Standard</vt:lpwstr>
  </property>
  <property fmtid="{D5CDD505-2E9C-101B-9397-08002B2CF9AE}" pid="6" name="MSIP_Label_7084cbda-52b8-46fb-a7b7-cb5bd465ed85_Name">
    <vt:lpwstr>Internal</vt:lpwstr>
  </property>
  <property fmtid="{D5CDD505-2E9C-101B-9397-08002B2CF9AE}" pid="7" name="MSIP_Label_7084cbda-52b8-46fb-a7b7-cb5bd465ed85_SiteId">
    <vt:lpwstr>0afb747d-bff7-4596-a9fc-950ef9e0ec45</vt:lpwstr>
  </property>
  <property fmtid="{D5CDD505-2E9C-101B-9397-08002B2CF9AE}" pid="8" name="MSIP_Label_7084cbda-52b8-46fb-a7b7-cb5bd465ed85_ActionId">
    <vt:lpwstr>4bdf00fe-fb24-4ebf-9918-a28839dd2e38</vt:lpwstr>
  </property>
  <property fmtid="{D5CDD505-2E9C-101B-9397-08002B2CF9AE}" pid="9" name="MSIP_Label_7084cbda-52b8-46fb-a7b7-cb5bd465ed85_ContentBits">
    <vt:lpwstr>0</vt:lpwstr>
  </property>
</Properties>
</file>