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84E" w:rsidRDefault="001C484E" w:rsidP="00C841D8">
      <w:pPr>
        <w:spacing w:before="2400"/>
        <w:jc w:val="center"/>
        <w:rPr>
          <w:b/>
          <w:sz w:val="36"/>
          <w:szCs w:val="36"/>
        </w:rPr>
      </w:pPr>
      <w:r>
        <w:rPr>
          <w:b/>
          <w:sz w:val="36"/>
          <w:szCs w:val="36"/>
        </w:rPr>
        <w:t>ERCO</w:t>
      </w:r>
      <w:bookmarkStart w:id="0" w:name="_GoBack"/>
      <w:bookmarkEnd w:id="0"/>
      <w:r>
        <w:rPr>
          <w:b/>
          <w:sz w:val="36"/>
          <w:szCs w:val="36"/>
        </w:rPr>
        <w:t>T Nodal Protocols</w:t>
      </w:r>
    </w:p>
    <w:p w:rsidR="001C484E" w:rsidRDefault="001C484E">
      <w:pPr>
        <w:jc w:val="center"/>
        <w:rPr>
          <w:b/>
          <w:sz w:val="36"/>
          <w:szCs w:val="36"/>
        </w:rPr>
      </w:pPr>
    </w:p>
    <w:p w:rsidR="001C484E" w:rsidRDefault="001C484E" w:rsidP="00C841D8">
      <w:pPr>
        <w:spacing w:after="240"/>
        <w:jc w:val="center"/>
        <w:rPr>
          <w:b/>
          <w:sz w:val="36"/>
          <w:szCs w:val="36"/>
        </w:rPr>
      </w:pPr>
      <w:r>
        <w:rPr>
          <w:b/>
          <w:sz w:val="36"/>
          <w:szCs w:val="36"/>
        </w:rPr>
        <w:t>Section 17:  Market Monitoring and Data Collection</w:t>
      </w:r>
    </w:p>
    <w:p w:rsidR="001C484E" w:rsidRDefault="001C484E" w:rsidP="00C841D8">
      <w:pPr>
        <w:jc w:val="center"/>
      </w:pPr>
    </w:p>
    <w:p w:rsidR="001C484E" w:rsidRDefault="004E4F22" w:rsidP="00C841D8">
      <w:pPr>
        <w:spacing w:before="360"/>
        <w:jc w:val="center"/>
        <w:rPr>
          <w:b/>
          <w:szCs w:val="24"/>
        </w:rPr>
      </w:pPr>
      <w:r>
        <w:rPr>
          <w:b/>
          <w:szCs w:val="24"/>
        </w:rPr>
        <w:t>June</w:t>
      </w:r>
      <w:r w:rsidR="005606B7">
        <w:rPr>
          <w:b/>
          <w:szCs w:val="24"/>
        </w:rPr>
        <w:t xml:space="preserve"> </w:t>
      </w:r>
      <w:r w:rsidR="007C08D7">
        <w:rPr>
          <w:b/>
          <w:szCs w:val="24"/>
        </w:rPr>
        <w:t>1, 20</w:t>
      </w:r>
      <w:r w:rsidR="00F773FD">
        <w:rPr>
          <w:b/>
          <w:szCs w:val="24"/>
        </w:rPr>
        <w:t>2</w:t>
      </w:r>
      <w:r w:rsidR="00F4367D">
        <w:rPr>
          <w:b/>
          <w:szCs w:val="24"/>
        </w:rPr>
        <w:t>1</w:t>
      </w:r>
    </w:p>
    <w:p w:rsidR="001C484E" w:rsidRDefault="001C484E" w:rsidP="00C841D8">
      <w:pPr>
        <w:spacing w:before="360"/>
        <w:jc w:val="center"/>
      </w:pPr>
    </w:p>
    <w:p w:rsidR="001C484E" w:rsidRDefault="001C484E" w:rsidP="00C4495D">
      <w:pPr>
        <w:pBdr>
          <w:top w:val="single" w:sz="4" w:space="1" w:color="auto"/>
        </w:pBdr>
      </w:pPr>
    </w:p>
    <w:p w:rsidR="001C484E" w:rsidRDefault="001C484E"/>
    <w:p w:rsidR="001C484E" w:rsidRDefault="001C484E">
      <w:pPr>
        <w:pStyle w:val="TOC1"/>
      </w:pPr>
    </w:p>
    <w:p w:rsidR="001C484E" w:rsidRDefault="001C484E">
      <w:pPr>
        <w:pStyle w:val="TOC1"/>
        <w:sectPr w:rsidR="001C484E">
          <w:headerReference w:type="default" r:id="rId8"/>
          <w:footerReference w:type="default" r:id="rId9"/>
          <w:headerReference w:type="first" r:id="rId10"/>
          <w:footerReference w:type="first" r:id="rId11"/>
          <w:pgSz w:w="12240" w:h="15840" w:code="1"/>
          <w:pgMar w:top="1440" w:right="1440" w:bottom="1440" w:left="1440" w:header="720" w:footer="720" w:gutter="0"/>
          <w:pgNumType w:start="1" w:chapStyle="1"/>
          <w:cols w:space="720"/>
          <w:titlePg/>
        </w:sectPr>
      </w:pPr>
      <w:bookmarkStart w:id="1" w:name="_Toc69524049"/>
    </w:p>
    <w:p w:rsidR="00AD25F3" w:rsidRPr="00B66824" w:rsidRDefault="009639BF">
      <w:pPr>
        <w:pStyle w:val="TOC1"/>
        <w:tabs>
          <w:tab w:val="left" w:pos="1260"/>
        </w:tabs>
        <w:rPr>
          <w:rFonts w:ascii="Calibri" w:hAnsi="Calibri"/>
          <w:b w:val="0"/>
          <w:bCs w:val="0"/>
          <w:i w:val="0"/>
          <w:noProof/>
          <w:sz w:val="22"/>
          <w:szCs w:val="22"/>
        </w:rPr>
      </w:pPr>
      <w:r w:rsidRPr="009639BF">
        <w:lastRenderedPageBreak/>
        <w:fldChar w:fldCharType="begin"/>
      </w:r>
      <w:r w:rsidR="001C484E">
        <w:instrText xml:space="preserve"> TOC \o "1-3" \h \z \u </w:instrText>
      </w:r>
      <w:r w:rsidRPr="009639BF">
        <w:fldChar w:fldCharType="separate"/>
      </w:r>
      <w:hyperlink w:anchor="_Toc406742829" w:history="1">
        <w:r w:rsidR="00AD25F3" w:rsidRPr="004E03D4">
          <w:rPr>
            <w:rStyle w:val="Hyperlink"/>
            <w:noProof/>
          </w:rPr>
          <w:t>17</w:t>
        </w:r>
        <w:r w:rsidR="00AD25F3" w:rsidRPr="00B66824">
          <w:rPr>
            <w:rFonts w:ascii="Calibri" w:hAnsi="Calibri"/>
            <w:b w:val="0"/>
            <w:bCs w:val="0"/>
            <w:i w:val="0"/>
            <w:noProof/>
            <w:sz w:val="22"/>
            <w:szCs w:val="22"/>
          </w:rPr>
          <w:tab/>
        </w:r>
        <w:r w:rsidR="00AD25F3" w:rsidRPr="004E03D4">
          <w:rPr>
            <w:rStyle w:val="Hyperlink"/>
            <w:noProof/>
          </w:rPr>
          <w:t>MARKET MONITORING AND DATA COLLECTION</w:t>
        </w:r>
        <w:r w:rsidR="00AD25F3">
          <w:rPr>
            <w:noProof/>
            <w:webHidden/>
          </w:rPr>
          <w:tab/>
        </w:r>
        <w:r w:rsidR="00AD25F3">
          <w:rPr>
            <w:noProof/>
            <w:webHidden/>
          </w:rPr>
          <w:fldChar w:fldCharType="begin"/>
        </w:r>
        <w:r w:rsidR="00AD25F3">
          <w:rPr>
            <w:noProof/>
            <w:webHidden/>
          </w:rPr>
          <w:instrText xml:space="preserve"> PAGEREF _Toc406742829 \h </w:instrText>
        </w:r>
        <w:r w:rsidR="00AD25F3">
          <w:rPr>
            <w:noProof/>
            <w:webHidden/>
          </w:rPr>
        </w:r>
        <w:r w:rsidR="00AD25F3">
          <w:rPr>
            <w:noProof/>
            <w:webHidden/>
          </w:rPr>
          <w:fldChar w:fldCharType="separate"/>
        </w:r>
        <w:r w:rsidR="00523D6F">
          <w:rPr>
            <w:noProof/>
            <w:webHidden/>
          </w:rPr>
          <w:t>17-1</w:t>
        </w:r>
        <w:r w:rsidR="00AD25F3">
          <w:rPr>
            <w:noProof/>
            <w:webHidden/>
          </w:rPr>
          <w:fldChar w:fldCharType="end"/>
        </w:r>
      </w:hyperlink>
    </w:p>
    <w:p w:rsidR="00AD25F3" w:rsidRPr="00B66824" w:rsidRDefault="00AD25F3">
      <w:pPr>
        <w:pStyle w:val="TOC2"/>
        <w:rPr>
          <w:rFonts w:ascii="Calibri" w:hAnsi="Calibri"/>
          <w:noProof/>
          <w:sz w:val="22"/>
          <w:szCs w:val="22"/>
        </w:rPr>
      </w:pPr>
      <w:hyperlink w:anchor="_Toc406742830" w:history="1">
        <w:r w:rsidRPr="004E03D4">
          <w:rPr>
            <w:rStyle w:val="Hyperlink"/>
            <w:noProof/>
          </w:rPr>
          <w:t>17.1</w:t>
        </w:r>
        <w:r w:rsidRPr="00B66824">
          <w:rPr>
            <w:rFonts w:ascii="Calibri" w:hAnsi="Calibri"/>
            <w:noProof/>
            <w:sz w:val="22"/>
            <w:szCs w:val="22"/>
          </w:rPr>
          <w:tab/>
        </w:r>
        <w:r w:rsidRPr="004E03D4">
          <w:rPr>
            <w:rStyle w:val="Hyperlink"/>
            <w:noProof/>
          </w:rPr>
          <w:t>Overview</w:t>
        </w:r>
        <w:r>
          <w:rPr>
            <w:noProof/>
            <w:webHidden/>
          </w:rPr>
          <w:tab/>
        </w:r>
        <w:r>
          <w:rPr>
            <w:noProof/>
            <w:webHidden/>
          </w:rPr>
          <w:fldChar w:fldCharType="begin"/>
        </w:r>
        <w:r>
          <w:rPr>
            <w:noProof/>
            <w:webHidden/>
          </w:rPr>
          <w:instrText xml:space="preserve"> PAGEREF _Toc406742830 \h </w:instrText>
        </w:r>
        <w:r>
          <w:rPr>
            <w:noProof/>
            <w:webHidden/>
          </w:rPr>
        </w:r>
        <w:r>
          <w:rPr>
            <w:noProof/>
            <w:webHidden/>
          </w:rPr>
          <w:fldChar w:fldCharType="separate"/>
        </w:r>
        <w:r w:rsidR="00523D6F">
          <w:rPr>
            <w:noProof/>
            <w:webHidden/>
          </w:rPr>
          <w:t>17-1</w:t>
        </w:r>
        <w:r>
          <w:rPr>
            <w:noProof/>
            <w:webHidden/>
          </w:rPr>
          <w:fldChar w:fldCharType="end"/>
        </w:r>
      </w:hyperlink>
    </w:p>
    <w:p w:rsidR="00AD25F3" w:rsidRPr="00B66824" w:rsidRDefault="00AD25F3">
      <w:pPr>
        <w:pStyle w:val="TOC2"/>
        <w:rPr>
          <w:rFonts w:ascii="Calibri" w:hAnsi="Calibri"/>
          <w:noProof/>
          <w:sz w:val="22"/>
          <w:szCs w:val="22"/>
        </w:rPr>
      </w:pPr>
      <w:hyperlink w:anchor="_Toc406742831" w:history="1">
        <w:r w:rsidRPr="004E03D4">
          <w:rPr>
            <w:rStyle w:val="Hyperlink"/>
            <w:noProof/>
          </w:rPr>
          <w:t>17.2</w:t>
        </w:r>
        <w:r w:rsidRPr="00B66824">
          <w:rPr>
            <w:rFonts w:ascii="Calibri" w:hAnsi="Calibri"/>
            <w:noProof/>
            <w:sz w:val="22"/>
            <w:szCs w:val="22"/>
          </w:rPr>
          <w:tab/>
        </w:r>
        <w:r w:rsidRPr="004E03D4">
          <w:rPr>
            <w:rStyle w:val="Hyperlink"/>
            <w:noProof/>
          </w:rPr>
          <w:t>Objectives and Scope of Market Monitoring Data Collection</w:t>
        </w:r>
        <w:r>
          <w:rPr>
            <w:noProof/>
            <w:webHidden/>
          </w:rPr>
          <w:tab/>
        </w:r>
        <w:r>
          <w:rPr>
            <w:noProof/>
            <w:webHidden/>
          </w:rPr>
          <w:fldChar w:fldCharType="begin"/>
        </w:r>
        <w:r>
          <w:rPr>
            <w:noProof/>
            <w:webHidden/>
          </w:rPr>
          <w:instrText xml:space="preserve"> PAGEREF _Toc406742831 \h </w:instrText>
        </w:r>
        <w:r>
          <w:rPr>
            <w:noProof/>
            <w:webHidden/>
          </w:rPr>
        </w:r>
        <w:r>
          <w:rPr>
            <w:noProof/>
            <w:webHidden/>
          </w:rPr>
          <w:fldChar w:fldCharType="separate"/>
        </w:r>
        <w:r w:rsidR="00523D6F">
          <w:rPr>
            <w:noProof/>
            <w:webHidden/>
          </w:rPr>
          <w:t>17-1</w:t>
        </w:r>
        <w:r>
          <w:rPr>
            <w:noProof/>
            <w:webHidden/>
          </w:rPr>
          <w:fldChar w:fldCharType="end"/>
        </w:r>
      </w:hyperlink>
    </w:p>
    <w:p w:rsidR="00AD25F3" w:rsidRPr="003D4D45" w:rsidRDefault="00AD25F3">
      <w:pPr>
        <w:pStyle w:val="TOC2"/>
        <w:rPr>
          <w:rFonts w:ascii="Calibri" w:hAnsi="Calibri"/>
          <w:noProof/>
          <w:sz w:val="22"/>
          <w:szCs w:val="22"/>
        </w:rPr>
      </w:pPr>
      <w:hyperlink w:anchor="_Toc406742832" w:history="1">
        <w:r w:rsidRPr="003D4D45">
          <w:rPr>
            <w:rStyle w:val="Hyperlink"/>
            <w:noProof/>
          </w:rPr>
          <w:t>17.3</w:t>
        </w:r>
        <w:r w:rsidRPr="003D4D45">
          <w:rPr>
            <w:rFonts w:ascii="Calibri" w:hAnsi="Calibri"/>
            <w:noProof/>
            <w:sz w:val="22"/>
            <w:szCs w:val="22"/>
          </w:rPr>
          <w:tab/>
        </w:r>
        <w:r w:rsidRPr="003D4D45">
          <w:rPr>
            <w:rStyle w:val="Hyperlink"/>
            <w:noProof/>
          </w:rPr>
          <w:t>Market Data Collection and Use</w:t>
        </w:r>
        <w:r w:rsidRPr="003D4D45">
          <w:rPr>
            <w:noProof/>
            <w:webHidden/>
          </w:rPr>
          <w:tab/>
        </w:r>
        <w:r w:rsidRPr="003D4D45">
          <w:rPr>
            <w:noProof/>
            <w:webHidden/>
          </w:rPr>
          <w:fldChar w:fldCharType="begin"/>
        </w:r>
        <w:r w:rsidRPr="003D4D45">
          <w:rPr>
            <w:noProof/>
            <w:webHidden/>
          </w:rPr>
          <w:instrText xml:space="preserve"> PAGEREF _Toc406742832 \h </w:instrText>
        </w:r>
        <w:r w:rsidRPr="003D4D45">
          <w:rPr>
            <w:noProof/>
            <w:webHidden/>
          </w:rPr>
        </w:r>
        <w:r w:rsidRPr="003D4D45">
          <w:rPr>
            <w:noProof/>
            <w:webHidden/>
          </w:rPr>
          <w:fldChar w:fldCharType="separate"/>
        </w:r>
        <w:r w:rsidR="00523D6F">
          <w:rPr>
            <w:noProof/>
            <w:webHidden/>
          </w:rPr>
          <w:t>17-1</w:t>
        </w:r>
        <w:r w:rsidRPr="003D4D45">
          <w:rPr>
            <w:noProof/>
            <w:webHidden/>
          </w:rPr>
          <w:fldChar w:fldCharType="end"/>
        </w:r>
      </w:hyperlink>
    </w:p>
    <w:p w:rsidR="00AD25F3" w:rsidRPr="003D4D45" w:rsidRDefault="00AD25F3">
      <w:pPr>
        <w:pStyle w:val="TOC3"/>
        <w:rPr>
          <w:rFonts w:ascii="Calibri" w:hAnsi="Calibri"/>
          <w:i w:val="0"/>
          <w:iCs w:val="0"/>
          <w:noProof/>
          <w:sz w:val="22"/>
          <w:szCs w:val="22"/>
        </w:rPr>
      </w:pPr>
      <w:hyperlink w:anchor="_Toc406742833" w:history="1">
        <w:r w:rsidRPr="003D4D45">
          <w:rPr>
            <w:rStyle w:val="Hyperlink"/>
            <w:i w:val="0"/>
            <w:noProof/>
          </w:rPr>
          <w:t>17.3.1</w:t>
        </w:r>
        <w:r w:rsidRPr="003D4D45">
          <w:rPr>
            <w:rFonts w:ascii="Calibri" w:hAnsi="Calibri"/>
            <w:i w:val="0"/>
            <w:iCs w:val="0"/>
            <w:noProof/>
            <w:sz w:val="22"/>
            <w:szCs w:val="22"/>
          </w:rPr>
          <w:tab/>
        </w:r>
        <w:r w:rsidRPr="003D4D45">
          <w:rPr>
            <w:rStyle w:val="Hyperlink"/>
            <w:i w:val="0"/>
            <w:noProof/>
          </w:rPr>
          <w:t>Information System Data Collection and Retention</w:t>
        </w:r>
        <w:r w:rsidRPr="003D4D45">
          <w:rPr>
            <w:i w:val="0"/>
            <w:noProof/>
            <w:webHidden/>
          </w:rPr>
          <w:tab/>
        </w:r>
        <w:r w:rsidRPr="003D4D45">
          <w:rPr>
            <w:i w:val="0"/>
            <w:noProof/>
            <w:webHidden/>
          </w:rPr>
          <w:fldChar w:fldCharType="begin"/>
        </w:r>
        <w:r w:rsidRPr="003D4D45">
          <w:rPr>
            <w:i w:val="0"/>
            <w:noProof/>
            <w:webHidden/>
          </w:rPr>
          <w:instrText xml:space="preserve"> PAGEREF _Toc406742833 \h </w:instrText>
        </w:r>
        <w:r w:rsidRPr="003D4D45">
          <w:rPr>
            <w:i w:val="0"/>
            <w:noProof/>
            <w:webHidden/>
          </w:rPr>
        </w:r>
        <w:r w:rsidRPr="003D4D45">
          <w:rPr>
            <w:i w:val="0"/>
            <w:noProof/>
            <w:webHidden/>
          </w:rPr>
          <w:fldChar w:fldCharType="separate"/>
        </w:r>
        <w:r w:rsidR="00523D6F">
          <w:rPr>
            <w:i w:val="0"/>
            <w:noProof/>
            <w:webHidden/>
          </w:rPr>
          <w:t>17-1</w:t>
        </w:r>
        <w:r w:rsidRPr="003D4D45">
          <w:rPr>
            <w:i w:val="0"/>
            <w:noProof/>
            <w:webHidden/>
          </w:rPr>
          <w:fldChar w:fldCharType="end"/>
        </w:r>
      </w:hyperlink>
    </w:p>
    <w:p w:rsidR="00AD25F3" w:rsidRPr="003D4D45" w:rsidRDefault="00AD25F3">
      <w:pPr>
        <w:pStyle w:val="TOC3"/>
        <w:rPr>
          <w:rFonts w:ascii="Calibri" w:hAnsi="Calibri"/>
          <w:i w:val="0"/>
          <w:iCs w:val="0"/>
          <w:noProof/>
          <w:sz w:val="22"/>
          <w:szCs w:val="22"/>
        </w:rPr>
      </w:pPr>
      <w:hyperlink w:anchor="_Toc406742834" w:history="1">
        <w:r w:rsidRPr="003D4D45">
          <w:rPr>
            <w:rStyle w:val="Hyperlink"/>
            <w:i w:val="0"/>
            <w:noProof/>
          </w:rPr>
          <w:t>17.3.2</w:t>
        </w:r>
        <w:r w:rsidRPr="003D4D45">
          <w:rPr>
            <w:rFonts w:ascii="Calibri" w:hAnsi="Calibri"/>
            <w:i w:val="0"/>
            <w:iCs w:val="0"/>
            <w:noProof/>
            <w:sz w:val="22"/>
            <w:szCs w:val="22"/>
          </w:rPr>
          <w:tab/>
        </w:r>
        <w:r w:rsidRPr="003D4D45">
          <w:rPr>
            <w:rStyle w:val="Hyperlink"/>
            <w:i w:val="0"/>
            <w:noProof/>
          </w:rPr>
          <w:t>Data Categories and Handling Procedures</w:t>
        </w:r>
        <w:r w:rsidRPr="003D4D45">
          <w:rPr>
            <w:i w:val="0"/>
            <w:noProof/>
            <w:webHidden/>
          </w:rPr>
          <w:tab/>
        </w:r>
        <w:r w:rsidRPr="003D4D45">
          <w:rPr>
            <w:i w:val="0"/>
            <w:noProof/>
            <w:webHidden/>
          </w:rPr>
          <w:fldChar w:fldCharType="begin"/>
        </w:r>
        <w:r w:rsidRPr="003D4D45">
          <w:rPr>
            <w:i w:val="0"/>
            <w:noProof/>
            <w:webHidden/>
          </w:rPr>
          <w:instrText xml:space="preserve"> PAGEREF _Toc406742834 \h </w:instrText>
        </w:r>
        <w:r w:rsidRPr="003D4D45">
          <w:rPr>
            <w:i w:val="0"/>
            <w:noProof/>
            <w:webHidden/>
          </w:rPr>
        </w:r>
        <w:r w:rsidRPr="003D4D45">
          <w:rPr>
            <w:i w:val="0"/>
            <w:noProof/>
            <w:webHidden/>
          </w:rPr>
          <w:fldChar w:fldCharType="separate"/>
        </w:r>
        <w:r w:rsidR="00523D6F">
          <w:rPr>
            <w:i w:val="0"/>
            <w:noProof/>
            <w:webHidden/>
          </w:rPr>
          <w:t>17-2</w:t>
        </w:r>
        <w:r w:rsidRPr="003D4D45">
          <w:rPr>
            <w:i w:val="0"/>
            <w:noProof/>
            <w:webHidden/>
          </w:rPr>
          <w:fldChar w:fldCharType="end"/>
        </w:r>
      </w:hyperlink>
    </w:p>
    <w:p w:rsidR="00AD25F3" w:rsidRPr="003D4D45" w:rsidRDefault="00AD25F3">
      <w:pPr>
        <w:pStyle w:val="TOC3"/>
        <w:rPr>
          <w:rFonts w:ascii="Calibri" w:hAnsi="Calibri"/>
          <w:i w:val="0"/>
          <w:iCs w:val="0"/>
          <w:noProof/>
          <w:sz w:val="22"/>
          <w:szCs w:val="22"/>
        </w:rPr>
      </w:pPr>
      <w:hyperlink w:anchor="_Toc406742835" w:history="1">
        <w:r w:rsidRPr="003D4D45">
          <w:rPr>
            <w:rStyle w:val="Hyperlink"/>
            <w:i w:val="0"/>
            <w:noProof/>
          </w:rPr>
          <w:t>17.3.3</w:t>
        </w:r>
        <w:r w:rsidRPr="003D4D45">
          <w:rPr>
            <w:rFonts w:ascii="Calibri" w:hAnsi="Calibri"/>
            <w:i w:val="0"/>
            <w:iCs w:val="0"/>
            <w:noProof/>
            <w:sz w:val="22"/>
            <w:szCs w:val="22"/>
          </w:rPr>
          <w:tab/>
        </w:r>
        <w:r w:rsidRPr="003D4D45">
          <w:rPr>
            <w:rStyle w:val="Hyperlink"/>
            <w:i w:val="0"/>
            <w:noProof/>
          </w:rPr>
          <w:t>Accuracy of Data Collection</w:t>
        </w:r>
        <w:r w:rsidRPr="003D4D45">
          <w:rPr>
            <w:i w:val="0"/>
            <w:noProof/>
            <w:webHidden/>
          </w:rPr>
          <w:tab/>
        </w:r>
        <w:r w:rsidRPr="003D4D45">
          <w:rPr>
            <w:i w:val="0"/>
            <w:noProof/>
            <w:webHidden/>
          </w:rPr>
          <w:fldChar w:fldCharType="begin"/>
        </w:r>
        <w:r w:rsidRPr="003D4D45">
          <w:rPr>
            <w:i w:val="0"/>
            <w:noProof/>
            <w:webHidden/>
          </w:rPr>
          <w:instrText xml:space="preserve"> PAGEREF _Toc406742835 \h </w:instrText>
        </w:r>
        <w:r w:rsidRPr="003D4D45">
          <w:rPr>
            <w:i w:val="0"/>
            <w:noProof/>
            <w:webHidden/>
          </w:rPr>
        </w:r>
        <w:r w:rsidRPr="003D4D45">
          <w:rPr>
            <w:i w:val="0"/>
            <w:noProof/>
            <w:webHidden/>
          </w:rPr>
          <w:fldChar w:fldCharType="separate"/>
        </w:r>
        <w:r w:rsidR="00523D6F">
          <w:rPr>
            <w:i w:val="0"/>
            <w:noProof/>
            <w:webHidden/>
          </w:rPr>
          <w:t>17-2</w:t>
        </w:r>
        <w:r w:rsidRPr="003D4D45">
          <w:rPr>
            <w:i w:val="0"/>
            <w:noProof/>
            <w:webHidden/>
          </w:rPr>
          <w:fldChar w:fldCharType="end"/>
        </w:r>
      </w:hyperlink>
    </w:p>
    <w:p w:rsidR="00AD25F3" w:rsidRPr="003D4D45" w:rsidRDefault="00AD25F3">
      <w:pPr>
        <w:pStyle w:val="TOC3"/>
        <w:rPr>
          <w:rFonts w:ascii="Calibri" w:hAnsi="Calibri"/>
          <w:i w:val="0"/>
          <w:iCs w:val="0"/>
          <w:noProof/>
          <w:sz w:val="22"/>
          <w:szCs w:val="22"/>
        </w:rPr>
      </w:pPr>
      <w:hyperlink w:anchor="_Toc406742836" w:history="1">
        <w:r w:rsidRPr="003D4D45">
          <w:rPr>
            <w:rStyle w:val="Hyperlink"/>
            <w:i w:val="0"/>
            <w:noProof/>
          </w:rPr>
          <w:t>17.3.4</w:t>
        </w:r>
        <w:r w:rsidRPr="003D4D45">
          <w:rPr>
            <w:rFonts w:ascii="Calibri" w:hAnsi="Calibri"/>
            <w:i w:val="0"/>
            <w:iCs w:val="0"/>
            <w:noProof/>
            <w:sz w:val="22"/>
            <w:szCs w:val="22"/>
          </w:rPr>
          <w:tab/>
        </w:r>
        <w:r w:rsidRPr="003D4D45">
          <w:rPr>
            <w:rStyle w:val="Hyperlink"/>
            <w:i w:val="0"/>
            <w:noProof/>
          </w:rPr>
          <w:t>PUCT Staff and IMM Review of Data Collection</w:t>
        </w:r>
        <w:r w:rsidRPr="003D4D45">
          <w:rPr>
            <w:i w:val="0"/>
            <w:noProof/>
            <w:webHidden/>
          </w:rPr>
          <w:tab/>
        </w:r>
        <w:r w:rsidRPr="003D4D45">
          <w:rPr>
            <w:i w:val="0"/>
            <w:noProof/>
            <w:webHidden/>
          </w:rPr>
          <w:fldChar w:fldCharType="begin"/>
        </w:r>
        <w:r w:rsidRPr="003D4D45">
          <w:rPr>
            <w:i w:val="0"/>
            <w:noProof/>
            <w:webHidden/>
          </w:rPr>
          <w:instrText xml:space="preserve"> PAGEREF _Toc406742836 \h </w:instrText>
        </w:r>
        <w:r w:rsidRPr="003D4D45">
          <w:rPr>
            <w:i w:val="0"/>
            <w:noProof/>
            <w:webHidden/>
          </w:rPr>
        </w:r>
        <w:r w:rsidRPr="003D4D45">
          <w:rPr>
            <w:i w:val="0"/>
            <w:noProof/>
            <w:webHidden/>
          </w:rPr>
          <w:fldChar w:fldCharType="separate"/>
        </w:r>
        <w:r w:rsidR="00523D6F">
          <w:rPr>
            <w:i w:val="0"/>
            <w:noProof/>
            <w:webHidden/>
          </w:rPr>
          <w:t>17-2</w:t>
        </w:r>
        <w:r w:rsidRPr="003D4D45">
          <w:rPr>
            <w:i w:val="0"/>
            <w:noProof/>
            <w:webHidden/>
          </w:rPr>
          <w:fldChar w:fldCharType="end"/>
        </w:r>
      </w:hyperlink>
    </w:p>
    <w:p w:rsidR="00AD25F3" w:rsidRPr="003D4D45" w:rsidRDefault="00AD25F3">
      <w:pPr>
        <w:pStyle w:val="TOC3"/>
        <w:rPr>
          <w:rFonts w:ascii="Calibri" w:hAnsi="Calibri"/>
          <w:i w:val="0"/>
          <w:iCs w:val="0"/>
          <w:noProof/>
          <w:sz w:val="22"/>
          <w:szCs w:val="22"/>
        </w:rPr>
      </w:pPr>
      <w:hyperlink w:anchor="_Toc406742837" w:history="1">
        <w:r w:rsidRPr="003D4D45">
          <w:rPr>
            <w:rStyle w:val="Hyperlink"/>
            <w:i w:val="0"/>
            <w:noProof/>
          </w:rPr>
          <w:t>17.3.5</w:t>
        </w:r>
        <w:r w:rsidRPr="003D4D45">
          <w:rPr>
            <w:rFonts w:ascii="Calibri" w:hAnsi="Calibri"/>
            <w:i w:val="0"/>
            <w:iCs w:val="0"/>
            <w:noProof/>
            <w:sz w:val="22"/>
            <w:szCs w:val="22"/>
          </w:rPr>
          <w:tab/>
        </w:r>
        <w:r w:rsidRPr="003D4D45">
          <w:rPr>
            <w:rStyle w:val="Hyperlink"/>
            <w:i w:val="0"/>
            <w:noProof/>
          </w:rPr>
          <w:t>Data Retention</w:t>
        </w:r>
        <w:r w:rsidRPr="003D4D45">
          <w:rPr>
            <w:i w:val="0"/>
            <w:noProof/>
            <w:webHidden/>
          </w:rPr>
          <w:tab/>
        </w:r>
        <w:r w:rsidRPr="003D4D45">
          <w:rPr>
            <w:i w:val="0"/>
            <w:noProof/>
            <w:webHidden/>
          </w:rPr>
          <w:fldChar w:fldCharType="begin"/>
        </w:r>
        <w:r w:rsidRPr="003D4D45">
          <w:rPr>
            <w:i w:val="0"/>
            <w:noProof/>
            <w:webHidden/>
          </w:rPr>
          <w:instrText xml:space="preserve"> PAGEREF _Toc406742837 \h </w:instrText>
        </w:r>
        <w:r w:rsidRPr="003D4D45">
          <w:rPr>
            <w:i w:val="0"/>
            <w:noProof/>
            <w:webHidden/>
          </w:rPr>
        </w:r>
        <w:r w:rsidRPr="003D4D45">
          <w:rPr>
            <w:i w:val="0"/>
            <w:noProof/>
            <w:webHidden/>
          </w:rPr>
          <w:fldChar w:fldCharType="separate"/>
        </w:r>
        <w:r w:rsidR="00523D6F">
          <w:rPr>
            <w:i w:val="0"/>
            <w:noProof/>
            <w:webHidden/>
          </w:rPr>
          <w:t>17-3</w:t>
        </w:r>
        <w:r w:rsidRPr="003D4D45">
          <w:rPr>
            <w:i w:val="0"/>
            <w:noProof/>
            <w:webHidden/>
          </w:rPr>
          <w:fldChar w:fldCharType="end"/>
        </w:r>
      </w:hyperlink>
    </w:p>
    <w:p w:rsidR="00AD25F3" w:rsidRPr="00B66824" w:rsidRDefault="00AD25F3">
      <w:pPr>
        <w:pStyle w:val="TOC2"/>
        <w:rPr>
          <w:rFonts w:ascii="Calibri" w:hAnsi="Calibri"/>
          <w:noProof/>
          <w:sz w:val="22"/>
          <w:szCs w:val="22"/>
        </w:rPr>
      </w:pPr>
      <w:hyperlink w:anchor="_Toc406742838" w:history="1">
        <w:r w:rsidRPr="003D4D45">
          <w:rPr>
            <w:rStyle w:val="Hyperlink"/>
            <w:noProof/>
          </w:rPr>
          <w:t>17.4</w:t>
        </w:r>
        <w:r w:rsidRPr="003D4D45">
          <w:rPr>
            <w:rFonts w:ascii="Calibri" w:hAnsi="Calibri"/>
            <w:noProof/>
            <w:sz w:val="22"/>
            <w:szCs w:val="22"/>
          </w:rPr>
          <w:tab/>
        </w:r>
        <w:r w:rsidRPr="003D4D45">
          <w:rPr>
            <w:rStyle w:val="Hyperlink"/>
            <w:noProof/>
          </w:rPr>
          <w:t>Provision of Data to Individual Market Participants</w:t>
        </w:r>
        <w:r w:rsidRPr="003D4D45">
          <w:rPr>
            <w:noProof/>
            <w:webHidden/>
          </w:rPr>
          <w:tab/>
        </w:r>
        <w:r w:rsidRPr="003D4D45">
          <w:rPr>
            <w:noProof/>
            <w:webHidden/>
          </w:rPr>
          <w:fldChar w:fldCharType="begin"/>
        </w:r>
        <w:r w:rsidRPr="003D4D45">
          <w:rPr>
            <w:noProof/>
            <w:webHidden/>
          </w:rPr>
          <w:instrText xml:space="preserve"> PAGEREF _Toc406742838 \h </w:instrText>
        </w:r>
        <w:r w:rsidRPr="003D4D45">
          <w:rPr>
            <w:noProof/>
            <w:webHidden/>
          </w:rPr>
        </w:r>
        <w:r w:rsidRPr="003D4D45">
          <w:rPr>
            <w:noProof/>
            <w:webHidden/>
          </w:rPr>
          <w:fldChar w:fldCharType="separate"/>
        </w:r>
        <w:r w:rsidR="00523D6F">
          <w:rPr>
            <w:noProof/>
            <w:webHidden/>
          </w:rPr>
          <w:t>17-3</w:t>
        </w:r>
        <w:r w:rsidRPr="003D4D45">
          <w:rPr>
            <w:noProof/>
            <w:webHidden/>
          </w:rPr>
          <w:fldChar w:fldCharType="end"/>
        </w:r>
      </w:hyperlink>
    </w:p>
    <w:p w:rsidR="00AD25F3" w:rsidRPr="00B66824" w:rsidRDefault="00AD25F3">
      <w:pPr>
        <w:pStyle w:val="TOC2"/>
        <w:rPr>
          <w:rFonts w:ascii="Calibri" w:hAnsi="Calibri"/>
          <w:noProof/>
          <w:sz w:val="22"/>
          <w:szCs w:val="22"/>
        </w:rPr>
      </w:pPr>
      <w:hyperlink w:anchor="_Toc406742839" w:history="1">
        <w:r w:rsidRPr="004E03D4">
          <w:rPr>
            <w:rStyle w:val="Hyperlink"/>
            <w:noProof/>
          </w:rPr>
          <w:t>17.5</w:t>
        </w:r>
        <w:r w:rsidRPr="00B66824">
          <w:rPr>
            <w:rFonts w:ascii="Calibri" w:hAnsi="Calibri"/>
            <w:noProof/>
            <w:sz w:val="22"/>
            <w:szCs w:val="22"/>
          </w:rPr>
          <w:tab/>
        </w:r>
        <w:r w:rsidRPr="004E03D4">
          <w:rPr>
            <w:rStyle w:val="Hyperlink"/>
            <w:noProof/>
          </w:rPr>
          <w:t>Reports to PUCT Staff, IMM, and the FERC</w:t>
        </w:r>
        <w:r>
          <w:rPr>
            <w:noProof/>
            <w:webHidden/>
          </w:rPr>
          <w:tab/>
        </w:r>
        <w:r>
          <w:rPr>
            <w:noProof/>
            <w:webHidden/>
          </w:rPr>
          <w:fldChar w:fldCharType="begin"/>
        </w:r>
        <w:r>
          <w:rPr>
            <w:noProof/>
            <w:webHidden/>
          </w:rPr>
          <w:instrText xml:space="preserve"> PAGEREF _Toc406742839 \h </w:instrText>
        </w:r>
        <w:r>
          <w:rPr>
            <w:noProof/>
            <w:webHidden/>
          </w:rPr>
        </w:r>
        <w:r>
          <w:rPr>
            <w:noProof/>
            <w:webHidden/>
          </w:rPr>
          <w:fldChar w:fldCharType="separate"/>
        </w:r>
        <w:r w:rsidR="00523D6F">
          <w:rPr>
            <w:noProof/>
            <w:webHidden/>
          </w:rPr>
          <w:t>17-3</w:t>
        </w:r>
        <w:r>
          <w:rPr>
            <w:noProof/>
            <w:webHidden/>
          </w:rPr>
          <w:fldChar w:fldCharType="end"/>
        </w:r>
      </w:hyperlink>
    </w:p>
    <w:p w:rsidR="00AD25F3" w:rsidRPr="00B66824" w:rsidRDefault="00AD25F3">
      <w:pPr>
        <w:pStyle w:val="TOC2"/>
        <w:rPr>
          <w:rFonts w:ascii="Calibri" w:hAnsi="Calibri"/>
          <w:noProof/>
          <w:sz w:val="22"/>
          <w:szCs w:val="22"/>
        </w:rPr>
      </w:pPr>
      <w:hyperlink w:anchor="_Toc406742840" w:history="1">
        <w:r w:rsidRPr="004E03D4">
          <w:rPr>
            <w:rStyle w:val="Hyperlink"/>
            <w:noProof/>
          </w:rPr>
          <w:t>17.6</w:t>
        </w:r>
        <w:r w:rsidRPr="00B66824">
          <w:rPr>
            <w:rFonts w:ascii="Calibri" w:hAnsi="Calibri"/>
            <w:noProof/>
            <w:sz w:val="22"/>
            <w:szCs w:val="22"/>
          </w:rPr>
          <w:tab/>
        </w:r>
        <w:r w:rsidRPr="004E03D4">
          <w:rPr>
            <w:rStyle w:val="Hyperlink"/>
            <w:noProof/>
          </w:rPr>
          <w:t>Changes to Facilitate Market Operation</w:t>
        </w:r>
        <w:r>
          <w:rPr>
            <w:noProof/>
            <w:webHidden/>
          </w:rPr>
          <w:tab/>
        </w:r>
        <w:r>
          <w:rPr>
            <w:noProof/>
            <w:webHidden/>
          </w:rPr>
          <w:fldChar w:fldCharType="begin"/>
        </w:r>
        <w:r>
          <w:rPr>
            <w:noProof/>
            <w:webHidden/>
          </w:rPr>
          <w:instrText xml:space="preserve"> PAGEREF _Toc406742840 \h </w:instrText>
        </w:r>
        <w:r>
          <w:rPr>
            <w:noProof/>
            <w:webHidden/>
          </w:rPr>
        </w:r>
        <w:r>
          <w:rPr>
            <w:noProof/>
            <w:webHidden/>
          </w:rPr>
          <w:fldChar w:fldCharType="separate"/>
        </w:r>
        <w:r w:rsidR="00523D6F">
          <w:rPr>
            <w:noProof/>
            <w:webHidden/>
          </w:rPr>
          <w:t>17-3</w:t>
        </w:r>
        <w:r>
          <w:rPr>
            <w:noProof/>
            <w:webHidden/>
          </w:rPr>
          <w:fldChar w:fldCharType="end"/>
        </w:r>
      </w:hyperlink>
    </w:p>
    <w:p w:rsidR="001C484E" w:rsidRDefault="009639BF" w:rsidP="00012604">
      <w:pPr>
        <w:pStyle w:val="Instructions"/>
        <w:spacing w:after="0"/>
        <w:rPr>
          <w:bCs/>
          <w:i w:val="0"/>
          <w:caps/>
          <w:szCs w:val="20"/>
        </w:rPr>
      </w:pPr>
      <w:r>
        <w:rPr>
          <w:bCs/>
          <w:i w:val="0"/>
          <w:caps/>
          <w:szCs w:val="20"/>
        </w:rPr>
        <w:fldChar w:fldCharType="end"/>
      </w:r>
    </w:p>
    <w:p w:rsidR="001C484E" w:rsidRDefault="001C484E">
      <w:pPr>
        <w:pStyle w:val="Instructions"/>
        <w:rPr>
          <w:bCs/>
          <w:i w:val="0"/>
          <w:caps/>
          <w:szCs w:val="20"/>
        </w:rPr>
      </w:pPr>
    </w:p>
    <w:p w:rsidR="00012604" w:rsidRDefault="00012604" w:rsidP="00012604">
      <w:pPr>
        <w:pStyle w:val="Instructions"/>
        <w:tabs>
          <w:tab w:val="left" w:pos="5370"/>
        </w:tabs>
        <w:rPr>
          <w:bCs/>
          <w:i w:val="0"/>
          <w:caps/>
          <w:szCs w:val="20"/>
        </w:rPr>
      </w:pPr>
      <w:r>
        <w:rPr>
          <w:bCs/>
          <w:i w:val="0"/>
          <w:caps/>
          <w:szCs w:val="20"/>
        </w:rPr>
        <w:tab/>
      </w:r>
    </w:p>
    <w:p w:rsidR="00012604" w:rsidRDefault="00012604" w:rsidP="00012604"/>
    <w:p w:rsidR="001C484E" w:rsidRPr="00012604" w:rsidRDefault="001C484E" w:rsidP="00012604">
      <w:pPr>
        <w:sectPr w:rsidR="001C484E" w:rsidRPr="00012604">
          <w:headerReference w:type="first" r:id="rId12"/>
          <w:footerReference w:type="first" r:id="rId13"/>
          <w:pgSz w:w="12240" w:h="15840" w:code="1"/>
          <w:pgMar w:top="1440" w:right="1440" w:bottom="1440" w:left="1440" w:header="720" w:footer="720" w:gutter="0"/>
          <w:pgNumType w:start="1" w:chapStyle="1"/>
          <w:cols w:space="720"/>
          <w:titlePg/>
        </w:sectPr>
      </w:pPr>
    </w:p>
    <w:p w:rsidR="001C484E" w:rsidRDefault="001C484E">
      <w:pPr>
        <w:pStyle w:val="Heading1"/>
      </w:pPr>
      <w:bookmarkStart w:id="2" w:name="_Toc406742829"/>
      <w:r>
        <w:t>MARKET MONITORING AND DATA COLLECTION</w:t>
      </w:r>
      <w:bookmarkEnd w:id="2"/>
    </w:p>
    <w:p w:rsidR="001C484E" w:rsidRDefault="001C484E">
      <w:pPr>
        <w:pStyle w:val="H2"/>
      </w:pPr>
      <w:bookmarkStart w:id="3" w:name="_Toc406742830"/>
      <w:r>
        <w:t>17.1</w:t>
      </w:r>
      <w:r>
        <w:tab/>
        <w:t>Overview</w:t>
      </w:r>
      <w:bookmarkEnd w:id="3"/>
    </w:p>
    <w:p w:rsidR="001C484E" w:rsidRDefault="00F773FD" w:rsidP="003D4D45">
      <w:pPr>
        <w:pStyle w:val="BodyTextNumbered"/>
      </w:pPr>
      <w:r>
        <w:t>(1)</w:t>
      </w:r>
      <w:r>
        <w:tab/>
      </w:r>
      <w:r w:rsidR="001C484E">
        <w:t>The Public Utility Commission of Texas (PUCT), with the assistance of the Independent Market Monitor (IMM) established in accordance with PUCT rules, has the ultimate responsibility for market oversight in ERCOT.  ERCOT shall assist the PUCT and the IMM by performing the data collection functions specified in this Section.</w:t>
      </w:r>
    </w:p>
    <w:p w:rsidR="001C484E" w:rsidRDefault="001C484E">
      <w:pPr>
        <w:pStyle w:val="H2"/>
      </w:pPr>
      <w:bookmarkStart w:id="4" w:name="_Toc406742831"/>
      <w:r>
        <w:t>17.2</w:t>
      </w:r>
      <w:r>
        <w:tab/>
        <w:t>Objectives and Scope of Market Monitoring Data Collection</w:t>
      </w:r>
      <w:bookmarkEnd w:id="4"/>
    </w:p>
    <w:p w:rsidR="001C484E" w:rsidRDefault="00F773FD" w:rsidP="003D4D45">
      <w:pPr>
        <w:pStyle w:val="BodyTextNumbered"/>
      </w:pPr>
      <w:r>
        <w:t>(1)</w:t>
      </w:r>
      <w:r>
        <w:tab/>
      </w:r>
      <w:r w:rsidR="001C484E">
        <w:t xml:space="preserve">The market monitoring data collection is designed to assist the </w:t>
      </w:r>
      <w:r w:rsidR="00341DAB">
        <w:t>Public Utility Commission of Texas (</w:t>
      </w:r>
      <w:r w:rsidR="001C484E">
        <w:t>PUCT</w:t>
      </w:r>
      <w:r w:rsidR="00341DAB">
        <w:t>)</w:t>
      </w:r>
      <w:r w:rsidR="001C484E">
        <w:t xml:space="preserve"> and Independent Market Monitor (IMM) to:</w:t>
      </w:r>
    </w:p>
    <w:p w:rsidR="001C484E" w:rsidRDefault="001C484E">
      <w:pPr>
        <w:pStyle w:val="List"/>
        <w:ind w:left="1260" w:hanging="540"/>
      </w:pPr>
      <w:r>
        <w:t>(a)</w:t>
      </w:r>
      <w:r>
        <w:tab/>
        <w:t>Protect Market Participants and Customers from the exercise of market power and from market manipulations;</w:t>
      </w:r>
    </w:p>
    <w:p w:rsidR="001C484E" w:rsidRDefault="001C484E">
      <w:pPr>
        <w:pStyle w:val="List"/>
        <w:ind w:left="1260" w:hanging="540"/>
      </w:pPr>
      <w:r>
        <w:t>(b)</w:t>
      </w:r>
      <w:r>
        <w:tab/>
        <w:t xml:space="preserve">Ensure that there is effective and persistent competition for events that are not mitigated; </w:t>
      </w:r>
    </w:p>
    <w:p w:rsidR="001C484E" w:rsidRDefault="001C484E">
      <w:pPr>
        <w:pStyle w:val="List"/>
        <w:ind w:left="1260" w:hanging="540"/>
      </w:pPr>
      <w:r>
        <w:t>(c)</w:t>
      </w:r>
      <w:r>
        <w:tab/>
        <w:t xml:space="preserve">Ensure that the market design and implementation are efficient;  </w:t>
      </w:r>
    </w:p>
    <w:p w:rsidR="001C484E" w:rsidRDefault="001C484E">
      <w:pPr>
        <w:pStyle w:val="List"/>
        <w:ind w:left="1260" w:hanging="540"/>
      </w:pPr>
      <w:r>
        <w:t>(d)</w:t>
      </w:r>
      <w:r>
        <w:tab/>
        <w:t xml:space="preserve">Guard against inefficiencies in the market and market manipulations; </w:t>
      </w:r>
    </w:p>
    <w:p w:rsidR="001C484E" w:rsidRDefault="001C484E">
      <w:pPr>
        <w:pStyle w:val="List"/>
        <w:ind w:left="1260" w:hanging="540"/>
      </w:pPr>
      <w:r>
        <w:t>(e)</w:t>
      </w:r>
      <w:r>
        <w:tab/>
        <w:t xml:space="preserve">Ensure a justifiable and reasonable price impact; and </w:t>
      </w:r>
    </w:p>
    <w:p w:rsidR="001C484E" w:rsidRDefault="001C484E">
      <w:pPr>
        <w:pStyle w:val="List"/>
        <w:ind w:left="1260" w:hanging="540"/>
      </w:pPr>
      <w:r>
        <w:t>(f)</w:t>
      </w:r>
      <w:r>
        <w:tab/>
        <w:t xml:space="preserve">Ensure that data posted on the </w:t>
      </w:r>
      <w:r w:rsidR="00F4367D">
        <w:t>ERCOT website</w:t>
      </w:r>
      <w:r>
        <w:t xml:space="preserve"> fulfills the objective of transparency of market information consistent with Section 1.3, Confidentiality. </w:t>
      </w:r>
    </w:p>
    <w:p w:rsidR="001C484E" w:rsidRDefault="001C484E">
      <w:pPr>
        <w:pStyle w:val="H2"/>
      </w:pPr>
      <w:bookmarkStart w:id="5" w:name="_Toc69524051"/>
      <w:bookmarkStart w:id="6" w:name="_Toc406742832"/>
      <w:bookmarkEnd w:id="1"/>
      <w:r>
        <w:t>17.3</w:t>
      </w:r>
      <w:r>
        <w:tab/>
        <w:t>Market Data Collection and Use</w:t>
      </w:r>
      <w:bookmarkEnd w:id="6"/>
    </w:p>
    <w:bookmarkEnd w:id="5"/>
    <w:p w:rsidR="001C484E" w:rsidRDefault="00F773FD" w:rsidP="003D4D45">
      <w:pPr>
        <w:pStyle w:val="BodyTextNumbered"/>
      </w:pPr>
      <w:r>
        <w:rPr>
          <w:szCs w:val="24"/>
        </w:rPr>
        <w:t>(1)</w:t>
      </w:r>
      <w:r>
        <w:rPr>
          <w:szCs w:val="24"/>
        </w:rPr>
        <w:tab/>
      </w:r>
      <w:r w:rsidR="001C484E">
        <w:rPr>
          <w:szCs w:val="24"/>
        </w:rPr>
        <w:t xml:space="preserve">ERCOT shall establish procedures to ensure that the </w:t>
      </w:r>
      <w:r w:rsidR="001F3680">
        <w:rPr>
          <w:szCs w:val="24"/>
        </w:rPr>
        <w:t>Public Utility Commission of Texas (</w:t>
      </w:r>
      <w:r w:rsidR="001C484E">
        <w:rPr>
          <w:szCs w:val="24"/>
        </w:rPr>
        <w:t>PUCT</w:t>
      </w:r>
      <w:r w:rsidR="001F3680">
        <w:rPr>
          <w:szCs w:val="24"/>
        </w:rPr>
        <w:t>)</w:t>
      </w:r>
      <w:r w:rsidR="001C484E">
        <w:rPr>
          <w:szCs w:val="24"/>
        </w:rPr>
        <w:t xml:space="preserve"> </w:t>
      </w:r>
      <w:r w:rsidR="001F3680">
        <w:rPr>
          <w:szCs w:val="24"/>
        </w:rPr>
        <w:t>S</w:t>
      </w:r>
      <w:r w:rsidR="001C484E">
        <w:rPr>
          <w:szCs w:val="24"/>
        </w:rPr>
        <w:t>taff and Independent Market Monitor (IMM) may access all data maintained by ERCOT and deemed necessary by the PUCT staff and IMM to perform its market oversight activities, pursuant to subsection (e) of P.U.C. S</w:t>
      </w:r>
      <w:r w:rsidR="001C484E">
        <w:rPr>
          <w:smallCaps/>
          <w:szCs w:val="24"/>
        </w:rPr>
        <w:t>ubst</w:t>
      </w:r>
      <w:r w:rsidR="001C484E">
        <w:rPr>
          <w:szCs w:val="24"/>
        </w:rPr>
        <w:t xml:space="preserve">. R. 25.362, </w:t>
      </w:r>
      <w:r w:rsidR="001C484E" w:rsidRPr="00F773FD">
        <w:t>Electric</w:t>
      </w:r>
      <w:r w:rsidR="001C484E">
        <w:rPr>
          <w:szCs w:val="24"/>
        </w:rPr>
        <w:t xml:space="preserve"> Reliability Council of Texas (ERCOT) Governance.</w:t>
      </w:r>
      <w:r w:rsidR="001C484E">
        <w:rPr>
          <w:rFonts w:ascii="Verdana" w:hAnsi="Verdana"/>
          <w:sz w:val="18"/>
          <w:szCs w:val="18"/>
        </w:rPr>
        <w:t xml:space="preserve"> </w:t>
      </w:r>
      <w:r w:rsidR="001C484E">
        <w:t xml:space="preserve">The following sections explain the collection, handling, verification, and retention of information by ERCOT that is accessible by the PUCT </w:t>
      </w:r>
      <w:r w:rsidR="001F3680">
        <w:t>S</w:t>
      </w:r>
      <w:r w:rsidR="001C484E">
        <w:t xml:space="preserve">taff and IMM. </w:t>
      </w:r>
    </w:p>
    <w:p w:rsidR="001C484E" w:rsidRDefault="001C484E">
      <w:pPr>
        <w:pStyle w:val="H3"/>
      </w:pPr>
      <w:bookmarkStart w:id="7" w:name="_Toc69524052"/>
      <w:bookmarkStart w:id="8" w:name="_Toc406742833"/>
      <w:r>
        <w:t>17.3.1</w:t>
      </w:r>
      <w:r>
        <w:tab/>
        <w:t>Information System</w:t>
      </w:r>
      <w:bookmarkEnd w:id="7"/>
      <w:r>
        <w:t xml:space="preserve"> Data Collection and Retention</w:t>
      </w:r>
      <w:bookmarkEnd w:id="8"/>
      <w:r>
        <w:t xml:space="preserve"> </w:t>
      </w:r>
    </w:p>
    <w:p w:rsidR="001C484E" w:rsidRDefault="00F773FD" w:rsidP="003D4D45">
      <w:pPr>
        <w:pStyle w:val="BodyTextNumbered"/>
      </w:pPr>
      <w:r>
        <w:t>(1)</w:t>
      </w:r>
      <w:r>
        <w:tab/>
      </w:r>
      <w:r w:rsidR="001C484E">
        <w:t xml:space="preserve">ERCOT shall develop and operate an information system to collect and to store data required by these Protocols.  ERCOT shall provide adequate communication equipment and necessary software packages to enable the PUCT </w:t>
      </w:r>
      <w:r w:rsidR="001F3680">
        <w:t>S</w:t>
      </w:r>
      <w:r w:rsidR="001C484E">
        <w:t>taff and the IMM to establish electronic access to the information system and to facilitate the development and application of quantitative tools necessary for the market monitoring function.  Data from source systems must be replicated near Real</w:t>
      </w:r>
      <w:r w:rsidR="001F3680">
        <w:t>-</w:t>
      </w:r>
      <w:r w:rsidR="001C484E">
        <w:t xml:space="preserve">Time and available for remote query by the PUCT </w:t>
      </w:r>
      <w:r w:rsidR="001F3680">
        <w:t>S</w:t>
      </w:r>
      <w:r w:rsidR="001C484E">
        <w:t xml:space="preserve">taff and the IMM until data is available in the Data Archive and Data Warehouse.  The Data Warehouse and Data Archive must be designed to accommodate a remote query function by the PUCT </w:t>
      </w:r>
      <w:r w:rsidR="001F3680">
        <w:t>S</w:t>
      </w:r>
      <w:r w:rsidR="001C484E">
        <w:t>taff and the IMM at any time.</w:t>
      </w:r>
    </w:p>
    <w:p w:rsidR="001C484E" w:rsidRDefault="001C484E">
      <w:pPr>
        <w:pStyle w:val="H3"/>
      </w:pPr>
      <w:bookmarkStart w:id="9" w:name="_Toc69524053"/>
      <w:bookmarkStart w:id="10" w:name="_Toc406742834"/>
      <w:r>
        <w:t>17.3.2</w:t>
      </w:r>
      <w:r>
        <w:tab/>
        <w:t>Data Categories and Handling Procedures</w:t>
      </w:r>
      <w:bookmarkEnd w:id="9"/>
      <w:bookmarkEnd w:id="10"/>
    </w:p>
    <w:p w:rsidR="00F773FD" w:rsidRDefault="00F773FD" w:rsidP="003D4D45">
      <w:pPr>
        <w:pStyle w:val="BodyTextNumbered"/>
      </w:pPr>
      <w:r>
        <w:t>(1)</w:t>
      </w:r>
      <w:r>
        <w:tab/>
      </w:r>
      <w:r w:rsidR="004E4F22" w:rsidRPr="00F773FD">
        <w:rPr>
          <w:szCs w:val="24"/>
        </w:rPr>
        <w:t>ERCOT shall develop, and refine based on experience, a detailed catalog of all data categories that it can acquire and the procedures that it will use to handle such data, including procedures for protecting Protected Information and ERCOT Critical Energy Infrastructure Information (ECEII).</w:t>
      </w:r>
      <w:r w:rsidR="00073E64">
        <w:rPr>
          <w:szCs w:val="24"/>
        </w:rPr>
        <w:t xml:space="preserve">  </w:t>
      </w:r>
      <w:r w:rsidR="004E4F22" w:rsidRPr="00F773FD">
        <w:rPr>
          <w:szCs w:val="24"/>
        </w:rPr>
        <w:t>This catalog must include documentation of the meaning of the data elements, and must be updated upon any change in systems (e.g. Energy and Market Management System (EMMS) or Settlements) that affect the data elements or interpretation of these elements.</w:t>
      </w:r>
    </w:p>
    <w:p w:rsidR="001C484E" w:rsidRDefault="001C484E" w:rsidP="00523D6F">
      <w:pPr>
        <w:pStyle w:val="H3"/>
      </w:pPr>
      <w:bookmarkStart w:id="11" w:name="_Toc69524054"/>
      <w:bookmarkStart w:id="12" w:name="_Toc406742835"/>
      <w:r>
        <w:t>17.3.3</w:t>
      </w:r>
      <w:r>
        <w:tab/>
        <w:t>Accuracy of Data Collection</w:t>
      </w:r>
      <w:bookmarkEnd w:id="11"/>
      <w:bookmarkEnd w:id="12"/>
    </w:p>
    <w:p w:rsidR="001C484E" w:rsidRDefault="001C484E">
      <w:pPr>
        <w:pStyle w:val="BodyTextNumbered"/>
      </w:pPr>
      <w:r>
        <w:t>(1)</w:t>
      </w:r>
      <w:r>
        <w:tab/>
        <w:t xml:space="preserve">ERCOT shall continuously apply appropriate procedures for the accurate collection of data into the Data Warehouse and accurate communication of that data for use by the PUCT </w:t>
      </w:r>
      <w:r w:rsidR="00DA2680">
        <w:t>S</w:t>
      </w:r>
      <w:r>
        <w:t>taff and IMM.  By written notice, ERCOT may require Market Participants to verify the accuracy of data previously submitted to ERCOT.</w:t>
      </w:r>
    </w:p>
    <w:p w:rsidR="001C484E" w:rsidRDefault="001C484E">
      <w:pPr>
        <w:pStyle w:val="BodyTextNumbered"/>
      </w:pPr>
      <w:r>
        <w:t>(2)</w:t>
      </w:r>
      <w:r>
        <w:tab/>
        <w:t xml:space="preserve">ERCOT shall report to the PUCT and IMM any failure by a Market Participant to provide accurate and complete </w:t>
      </w:r>
      <w:smartTag w:uri="urn:schemas-microsoft-com:office:smarttags" w:element="date">
        <w:r>
          <w:t>info</w:t>
        </w:r>
      </w:smartTag>
      <w:r>
        <w:t>rmation in the manner and time requested under these Protocols, and that failure may be treated as grounds for action against the Market Participant.</w:t>
      </w:r>
    </w:p>
    <w:p w:rsidR="001C484E" w:rsidRDefault="001C484E">
      <w:pPr>
        <w:pStyle w:val="BodyTextNumbered"/>
      </w:pPr>
      <w:r>
        <w:t>(3)</w:t>
      </w:r>
      <w:r>
        <w:tab/>
        <w:t xml:space="preserve">ERCOT shall cause to be performed an audit </w:t>
      </w:r>
      <w:r w:rsidR="008563AF">
        <w:t xml:space="preserve">on a periodic basis no less than once every three years </w:t>
      </w:r>
      <w:r>
        <w:t>of ERCOT data, data collection, and data documentation for adequacy and accuracy.  The auditor will provide recommendations to address potential areas of improvements.</w:t>
      </w:r>
    </w:p>
    <w:p w:rsidR="001C484E" w:rsidRDefault="001C484E">
      <w:pPr>
        <w:pStyle w:val="H3"/>
      </w:pPr>
      <w:bookmarkStart w:id="13" w:name="_Toc406742836"/>
      <w:r>
        <w:t>17.3.4</w:t>
      </w:r>
      <w:r>
        <w:tab/>
        <w:t>PUCT Staff and IMM Review of Data Collection</w:t>
      </w:r>
      <w:bookmarkEnd w:id="13"/>
    </w:p>
    <w:p w:rsidR="001C484E" w:rsidRDefault="00F773FD" w:rsidP="003D4D45">
      <w:pPr>
        <w:pStyle w:val="BodyTextNumbered"/>
      </w:pPr>
      <w:r>
        <w:t>(1)</w:t>
      </w:r>
      <w:r>
        <w:tab/>
      </w:r>
      <w:r w:rsidR="001C484E">
        <w:t xml:space="preserve">The PUCT </w:t>
      </w:r>
      <w:r w:rsidR="001F3680">
        <w:t>S</w:t>
      </w:r>
      <w:r w:rsidR="001C484E">
        <w:t xml:space="preserve">taff and IMM may review the catalogs of information and data collection verification criteria, developed by ERCOT according to these Protocols, and may propose such changes, additions, or deletions to the catalogs and criteria as it sees fit.  In so doing, the PUCT </w:t>
      </w:r>
      <w:r w:rsidR="001F3680">
        <w:t>S</w:t>
      </w:r>
      <w:r w:rsidR="001C484E">
        <w:t xml:space="preserve">taff or IMM may require database items or evaluation criteria to be included in the pertinent catalogs.  </w:t>
      </w:r>
    </w:p>
    <w:p w:rsidR="001C484E" w:rsidRDefault="001C484E">
      <w:pPr>
        <w:pStyle w:val="H3"/>
      </w:pPr>
      <w:bookmarkStart w:id="14" w:name="_Toc406742837"/>
      <w:r>
        <w:t>17.3.5</w:t>
      </w:r>
      <w:r>
        <w:tab/>
        <w:t>Data Retention</w:t>
      </w:r>
      <w:bookmarkEnd w:id="14"/>
    </w:p>
    <w:p w:rsidR="001C484E" w:rsidRDefault="00F773FD" w:rsidP="003D4D45">
      <w:pPr>
        <w:pStyle w:val="BodyTextNumbered"/>
      </w:pPr>
      <w:r>
        <w:t>(1)</w:t>
      </w:r>
      <w:r>
        <w:tab/>
      </w:r>
      <w:r w:rsidR="001C484E">
        <w:t>Data stored in the Data Warehouse and Data Archive must be available online for four years from ERCOT’s creation or receipt of the data.  Data stored in the Data Archive must be maintained by ERCOT for a total of seven years from ERCOT’s creation or receipt of the data.</w:t>
      </w:r>
    </w:p>
    <w:p w:rsidR="001C484E" w:rsidRDefault="001C484E">
      <w:pPr>
        <w:pStyle w:val="H2"/>
      </w:pPr>
      <w:bookmarkStart w:id="15" w:name="_Toc69524056"/>
      <w:bookmarkStart w:id="16" w:name="_Toc406742838"/>
      <w:r>
        <w:t>17.4</w:t>
      </w:r>
      <w:r>
        <w:tab/>
        <w:t>Provision of Data to Individual Market Participants</w:t>
      </w:r>
      <w:bookmarkEnd w:id="15"/>
      <w:bookmarkEnd w:id="16"/>
    </w:p>
    <w:p w:rsidR="001C484E" w:rsidRDefault="00F773FD" w:rsidP="003D4D45">
      <w:pPr>
        <w:pStyle w:val="BodyTextNumbered"/>
      </w:pPr>
      <w:r>
        <w:t>(1)</w:t>
      </w:r>
      <w:r>
        <w:tab/>
      </w:r>
      <w:r w:rsidR="004E4F22" w:rsidRPr="00F773FD">
        <w:rPr>
          <w:szCs w:val="24"/>
        </w:rPr>
        <w:t>Data requested by a Market Participant that is not available to the requesting Market Participant via the Market Information System (MIS) may be provided by ERCOT to the requesting Market Participant subject to constraints on ERCOT’s resources and applicable restrictions on Protected Information and ERCOT Critical Energy Infrastructure Information (ECEII), but this Section is not an authorization to release Protected Information or ECEII of other Entities.  ERCOT shall accommodate these requests on a nondiscriminatory basis.</w:t>
      </w:r>
    </w:p>
    <w:p w:rsidR="001C484E" w:rsidRDefault="001C484E" w:rsidP="00523D6F">
      <w:pPr>
        <w:pStyle w:val="H2"/>
      </w:pPr>
      <w:bookmarkStart w:id="17" w:name="_Toc69524057"/>
      <w:bookmarkStart w:id="18" w:name="_Toc406742839"/>
      <w:r>
        <w:t>17.5</w:t>
      </w:r>
      <w:r>
        <w:tab/>
        <w:t>Reports to PUCT Staff, IMM, and the FERC</w:t>
      </w:r>
      <w:bookmarkEnd w:id="17"/>
      <w:bookmarkEnd w:id="18"/>
      <w:r>
        <w:t xml:space="preserve"> </w:t>
      </w:r>
    </w:p>
    <w:p w:rsidR="001C484E" w:rsidRDefault="001C484E">
      <w:pPr>
        <w:pStyle w:val="BodyTextNumbered"/>
      </w:pPr>
      <w:r>
        <w:t>(1)</w:t>
      </w:r>
      <w:r>
        <w:tab/>
        <w:t xml:space="preserve">ERCOT shall make data available to the </w:t>
      </w:r>
      <w:r w:rsidR="000308AC">
        <w:t>Public Utility Commission of Texas (</w:t>
      </w:r>
      <w:r>
        <w:t>PUCT</w:t>
      </w:r>
      <w:r w:rsidR="000308AC">
        <w:t>)</w:t>
      </w:r>
      <w:r>
        <w:t xml:space="preserve"> </w:t>
      </w:r>
      <w:r w:rsidR="000308AC">
        <w:t>S</w:t>
      </w:r>
      <w:r>
        <w:t xml:space="preserve">taff and Independent Market Monitor (IMM).  PUCT </w:t>
      </w:r>
      <w:r w:rsidR="000308AC">
        <w:t>S</w:t>
      </w:r>
      <w:r>
        <w:t xml:space="preserve">taff or IMM may require, after consultation with ERCOT, changes to the form of </w:t>
      </w:r>
      <w:r w:rsidR="000308AC">
        <w:t>the data</w:t>
      </w:r>
      <w:r>
        <w:t xml:space="preserve">, limited to data ERCOT is </w:t>
      </w:r>
      <w:r w:rsidR="000308AC">
        <w:t xml:space="preserve">reasonably </w:t>
      </w:r>
      <w:r>
        <w:t>able to collect.</w:t>
      </w:r>
    </w:p>
    <w:p w:rsidR="001C484E" w:rsidRDefault="001C484E">
      <w:pPr>
        <w:pStyle w:val="BodyTextNumbered"/>
      </w:pPr>
      <w:r>
        <w:t>(2)</w:t>
      </w:r>
      <w:r>
        <w:tab/>
        <w:t xml:space="preserve">ERCOT shall </w:t>
      </w:r>
      <w:r w:rsidR="0001465E">
        <w:t xml:space="preserve">submit reports in accordance with its regulatory obligations under the applicable rules, laws, and orders of the PUCT and the </w:t>
      </w:r>
      <w:r>
        <w:t>Federal Energy Regulatory Commission (FERC)</w:t>
      </w:r>
      <w:r w:rsidR="0001465E">
        <w:t>.</w:t>
      </w:r>
    </w:p>
    <w:p w:rsidR="001C484E" w:rsidRDefault="001C484E">
      <w:pPr>
        <w:pStyle w:val="H2"/>
      </w:pPr>
      <w:bookmarkStart w:id="19" w:name="_Toc69524058"/>
      <w:bookmarkStart w:id="20" w:name="_Toc406742840"/>
      <w:r>
        <w:t>17.6</w:t>
      </w:r>
      <w:r>
        <w:tab/>
        <w:t>Changes to Facilitate Market Operation</w:t>
      </w:r>
      <w:bookmarkEnd w:id="19"/>
      <w:bookmarkEnd w:id="20"/>
      <w:r>
        <w:t xml:space="preserve"> </w:t>
      </w:r>
    </w:p>
    <w:p w:rsidR="001C484E" w:rsidRDefault="00F773FD" w:rsidP="003D4D45">
      <w:pPr>
        <w:pStyle w:val="BodyTextNumbered"/>
      </w:pPr>
      <w:r>
        <w:t>(1)</w:t>
      </w:r>
      <w:r>
        <w:tab/>
      </w:r>
      <w:r w:rsidR="001C484E">
        <w:t xml:space="preserve">ERCOT shall evaluate its system operation and market performance to identify potential areas for improvements.  This evaluation must consider impacts on system operations and market performance of </w:t>
      </w:r>
      <w:r w:rsidR="007C7E0A">
        <w:t>Public Utility Commission of Texas (</w:t>
      </w:r>
      <w:r w:rsidR="001C484E">
        <w:t>PUCT</w:t>
      </w:r>
      <w:r w:rsidR="007C7E0A">
        <w:t>)</w:t>
      </w:r>
      <w:r w:rsidR="001C484E">
        <w:t xml:space="preserve"> rules, these Protocols, Operating Guides, and any other ERCOT operating procedures.  Upon identification of areas that require improvements, ERCOT shall take appropriate actions to make those improvements including revising its procedures, proposing changes to these Protocols through the process specified in Section 21, </w:t>
      </w:r>
      <w:r w:rsidR="007C08D7">
        <w:t>Revision Request Process</w:t>
      </w:r>
      <w:r w:rsidR="001C484E">
        <w:t xml:space="preserve">, and submitting recommendations to the PUCT or other appropriate Governmental Authorities.  In performing these tasks, ERCOT shall seek comments and recommendations from the Independent Market Monitor (IMM), PUCT </w:t>
      </w:r>
      <w:r w:rsidR="007C7E0A">
        <w:t>Staff</w:t>
      </w:r>
      <w:r w:rsidR="001C484E">
        <w:t xml:space="preserve">, Market Participants, and other interested Entities. </w:t>
      </w:r>
    </w:p>
    <w:p w:rsidR="001C484E" w:rsidRDefault="001C484E">
      <w:pPr>
        <w:pStyle w:val="BodyText"/>
      </w:pPr>
    </w:p>
    <w:sectPr w:rsidR="001C484E" w:rsidSect="009639BF">
      <w:headerReference w:type="default" r:id="rId14"/>
      <w:footerReference w:type="default" r:id="rId15"/>
      <w:pgSz w:w="12240" w:h="15840" w:code="1"/>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F22" w:rsidRDefault="006F5F22">
      <w:r>
        <w:separator/>
      </w:r>
    </w:p>
  </w:endnote>
  <w:endnote w:type="continuationSeparator" w:id="0">
    <w:p w:rsidR="006F5F22" w:rsidRDefault="006F5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8AC" w:rsidRDefault="000308AC">
    <w:pPr>
      <w:pStyle w:val="Footer"/>
      <w:spacing w:before="0" w:after="0"/>
    </w:pPr>
    <w:r>
      <w:t xml:space="preserve">ERCOT NODAL Protocols – February 1, 2008 (Effective Upon </w:t>
    </w:r>
    <w:smartTag w:uri="urn:schemas-microsoft-com:office:smarttags" w:element="place">
      <w:smartTag w:uri="urn:schemas-microsoft-com:office:smarttags" w:element="State">
        <w:r>
          <w:t>Texas</w:t>
        </w:r>
      </w:smartTag>
    </w:smartTag>
    <w:r>
      <w:t xml:space="preserve"> Nodal Market Implementation)</w:t>
    </w:r>
  </w:p>
  <w:p w:rsidR="000308AC" w:rsidRDefault="000308AC">
    <w:pPr>
      <w:pStyle w:val="Footer"/>
      <w:spacing w:before="0" w:after="0"/>
      <w:jc w:val="center"/>
    </w:pPr>
    <w:r>
      <w:t>Public</w:t>
    </w:r>
  </w:p>
  <w:p w:rsidR="000308AC" w:rsidRDefault="000308AC">
    <w:pPr>
      <w:pStyle w:val="Footer"/>
      <w:tabs>
        <w:tab w:val="left" w:pos="504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8AC" w:rsidRDefault="000308AC" w:rsidP="0001465E">
    <w:pPr>
      <w:pStyle w:val="Footer"/>
      <w:pBdr>
        <w:top w:val="none" w:sz="0" w:space="0" w:color="auto"/>
      </w:pBdr>
      <w:spacing w:before="0" w:after="0"/>
      <w:jc w:val="center"/>
    </w:pPr>
    <w:r>
      <w:t>P</w:t>
    </w:r>
    <w:r w:rsidR="0001465E">
      <w:t>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65E" w:rsidRDefault="0001465E">
    <w:pPr>
      <w:pStyle w:val="Footer"/>
      <w:spacing w:before="0" w:after="0"/>
    </w:pPr>
    <w:r>
      <w:t xml:space="preserve">ERCOT Nodal Protocols – </w:t>
    </w:r>
    <w:r w:rsidR="004E4F22">
      <w:t>June</w:t>
    </w:r>
    <w:r w:rsidR="007C08D7">
      <w:t xml:space="preserve"> 1, 20</w:t>
    </w:r>
    <w:r w:rsidR="00F773FD">
      <w:t>2</w:t>
    </w:r>
    <w:r w:rsidR="00F4367D">
      <w:t>1</w:t>
    </w:r>
  </w:p>
  <w:p w:rsidR="0001465E" w:rsidRDefault="0001465E" w:rsidP="006C6000">
    <w:pPr>
      <w:pStyle w:val="Footer"/>
      <w:spacing w:before="0" w:after="0"/>
      <w:jc w:val="center"/>
    </w:pPr>
    <w:r>
      <w:t>PUBLIC</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8AC" w:rsidRDefault="000308AC">
    <w:pPr>
      <w:pStyle w:val="Footer"/>
      <w:spacing w:before="0" w:after="0"/>
    </w:pPr>
    <w:r>
      <w:t xml:space="preserve">ERCOT NODAL Protocols – </w:t>
    </w:r>
    <w:r w:rsidR="004E4F22">
      <w:t>June</w:t>
    </w:r>
    <w:r w:rsidR="007C08D7">
      <w:t xml:space="preserve"> 1, 20</w:t>
    </w:r>
    <w:r w:rsidR="00F773FD">
      <w:t>2</w:t>
    </w:r>
    <w:r w:rsidR="00F4367D">
      <w:t>1</w:t>
    </w:r>
    <w:r>
      <w:t xml:space="preserve"> </w:t>
    </w:r>
    <w:r>
      <w:tab/>
    </w:r>
    <w:r w:rsidR="00012604">
      <w:tab/>
    </w:r>
    <w:r w:rsidR="009639BF">
      <w:rPr>
        <w:rStyle w:val="PageNumber"/>
      </w:rPr>
      <w:fldChar w:fldCharType="begin"/>
    </w:r>
    <w:r>
      <w:rPr>
        <w:rStyle w:val="PageNumber"/>
      </w:rPr>
      <w:instrText xml:space="preserve"> PAGE </w:instrText>
    </w:r>
    <w:r w:rsidR="009639BF">
      <w:rPr>
        <w:rStyle w:val="PageNumber"/>
      </w:rPr>
      <w:fldChar w:fldCharType="separate"/>
    </w:r>
    <w:r w:rsidR="00523D6F">
      <w:rPr>
        <w:rStyle w:val="PageNumber"/>
        <w:noProof/>
      </w:rPr>
      <w:t>17-3</w:t>
    </w:r>
    <w:r w:rsidR="009639BF">
      <w:rPr>
        <w:rStyle w:val="PageNumber"/>
      </w:rPr>
      <w:fldChar w:fldCharType="end"/>
    </w:r>
  </w:p>
  <w:p w:rsidR="000308AC" w:rsidRDefault="0001465E" w:rsidP="006C6000">
    <w:pPr>
      <w:pStyle w:val="Footer"/>
      <w:spacing w:before="0" w:after="0"/>
      <w:jc w:val="center"/>
    </w:pPr>
    <w:r>
      <w:t>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F22" w:rsidRDefault="006F5F22">
      <w:r>
        <w:separator/>
      </w:r>
    </w:p>
  </w:footnote>
  <w:footnote w:type="continuationSeparator" w:id="0">
    <w:p w:rsidR="006F5F22" w:rsidRDefault="006F5F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8AC" w:rsidRDefault="000308AC">
    <w:pPr>
      <w:pStyle w:val="Header"/>
    </w:pPr>
    <w:r>
      <w:t>Section 17: 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8AC" w:rsidRDefault="000308AC">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8AC" w:rsidRDefault="000308AC">
    <w:pPr>
      <w:pStyle w:val="Header"/>
    </w:pPr>
    <w:r>
      <w:t xml:space="preserve">Section 17: </w:t>
    </w:r>
    <w:r w:rsidR="006B0AC1">
      <w:t xml:space="preserve"> </w:t>
    </w:r>
    <w:r>
      <w:t>Table of Contents</w:t>
    </w:r>
  </w:p>
  <w:p w:rsidR="000308AC" w:rsidRDefault="000308AC">
    <w:pPr>
      <w:pStyle w:val="Header"/>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8AC" w:rsidRDefault="000308AC">
    <w:pPr>
      <w:pStyle w:val="Header"/>
    </w:pPr>
    <w:r>
      <w:t xml:space="preserve">Section 17: </w:t>
    </w:r>
    <w:r w:rsidR="006B0AC1">
      <w:t xml:space="preserve"> </w:t>
    </w:r>
    <w:r>
      <w:t>Market Monitoring and Data Collection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24A34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F52BF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A2DB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2F8C3F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76F1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6247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20C2D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6743D2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94E1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FAD3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18"/>
    <w:multiLevelType w:val="singleLevel"/>
    <w:tmpl w:val="0BD2B42E"/>
    <w:lvl w:ilvl="0">
      <w:start w:val="1"/>
      <w:numFmt w:val="bullet"/>
      <w:pStyle w:val="BulletIndent"/>
      <w:lvlText w:val=""/>
      <w:lvlJc w:val="left"/>
      <w:pPr>
        <w:tabs>
          <w:tab w:val="num" w:pos="360"/>
        </w:tabs>
        <w:ind w:left="360" w:hanging="360"/>
      </w:pPr>
      <w:rPr>
        <w:rFonts w:ascii="Symbol" w:hAnsi="Symbol" w:hint="default"/>
      </w:rPr>
    </w:lvl>
  </w:abstractNum>
  <w:abstractNum w:abstractNumId="11" w15:restartNumberingAfterBreak="0">
    <w:nsid w:val="00474B90"/>
    <w:multiLevelType w:val="multilevel"/>
    <w:tmpl w:val="640C9FA6"/>
    <w:lvl w:ilvl="0">
      <w:start w:val="3"/>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0E866E2"/>
    <w:multiLevelType w:val="multilevel"/>
    <w:tmpl w:val="136803B8"/>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0134639B"/>
    <w:multiLevelType w:val="multilevel"/>
    <w:tmpl w:val="640C9FA6"/>
    <w:lvl w:ilvl="0">
      <w:start w:val="3"/>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990"/>
        </w:tabs>
        <w:ind w:left="99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035E4D0A"/>
    <w:multiLevelType w:val="multilevel"/>
    <w:tmpl w:val="4328D4C0"/>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0B804CE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7C349A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0DF51AB"/>
    <w:multiLevelType w:val="hybridMultilevel"/>
    <w:tmpl w:val="C41A9A32"/>
    <w:lvl w:ilvl="0" w:tplc="CDF0F1EA">
      <w:start w:val="1"/>
      <w:numFmt w:val="bullet"/>
      <w:pStyle w:val="Table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2DD363E"/>
    <w:multiLevelType w:val="hybridMultilevel"/>
    <w:tmpl w:val="4816E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3E40B42"/>
    <w:multiLevelType w:val="multilevel"/>
    <w:tmpl w:val="BDC230AA"/>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26A54F06"/>
    <w:multiLevelType w:val="multilevel"/>
    <w:tmpl w:val="78CEE07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B17412D"/>
    <w:multiLevelType w:val="multilevel"/>
    <w:tmpl w:val="737E1340"/>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C4C1AB9"/>
    <w:multiLevelType w:val="multilevel"/>
    <w:tmpl w:val="4D4E01F0"/>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3015457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26F0B0E"/>
    <w:multiLevelType w:val="multilevel"/>
    <w:tmpl w:val="B778143E"/>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350B1B86"/>
    <w:multiLevelType w:val="multilevel"/>
    <w:tmpl w:val="7662317E"/>
    <w:lvl w:ilvl="0">
      <w:start w:val="17"/>
      <w:numFmt w:val="decimal"/>
      <w:lvlText w:val="%1"/>
      <w:lvlJc w:val="left"/>
      <w:pPr>
        <w:tabs>
          <w:tab w:val="num" w:pos="1440"/>
        </w:tabs>
        <w:ind w:left="1440" w:hanging="1440"/>
      </w:pPr>
      <w:rPr>
        <w:rFonts w:hint="default"/>
      </w:rPr>
    </w:lvl>
    <w:lvl w:ilvl="1">
      <w:start w:val="3"/>
      <w:numFmt w:val="decimal"/>
      <w:lvlText w:val="%1.%2"/>
      <w:lvlJc w:val="left"/>
      <w:pPr>
        <w:tabs>
          <w:tab w:val="num" w:pos="1440"/>
        </w:tabs>
        <w:ind w:left="1440" w:hanging="1440"/>
      </w:pPr>
      <w:rPr>
        <w:rFonts w:hint="default"/>
      </w:rPr>
    </w:lvl>
    <w:lvl w:ilvl="2">
      <w:start w:val="5"/>
      <w:numFmt w:val="decimal"/>
      <w:lvlText w:val="%1.%2.%3"/>
      <w:lvlJc w:val="left"/>
      <w:pPr>
        <w:tabs>
          <w:tab w:val="num" w:pos="1440"/>
        </w:tabs>
        <w:ind w:left="1440" w:hanging="1440"/>
      </w:pPr>
      <w:rPr>
        <w:rFonts w:hint="default"/>
      </w:rPr>
    </w:lvl>
    <w:lvl w:ilvl="3">
      <w:start w:val="4"/>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39E5411C"/>
    <w:multiLevelType w:val="multilevel"/>
    <w:tmpl w:val="BDC230AA"/>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D0247AE"/>
    <w:multiLevelType w:val="multilevel"/>
    <w:tmpl w:val="633674AC"/>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F335921"/>
    <w:multiLevelType w:val="multilevel"/>
    <w:tmpl w:val="479A345C"/>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FDF0784"/>
    <w:multiLevelType w:val="hybridMultilevel"/>
    <w:tmpl w:val="3C8298CE"/>
    <w:lvl w:ilvl="0" w:tplc="D7208240">
      <w:start w:val="2"/>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0" w15:restartNumberingAfterBreak="0">
    <w:nsid w:val="427D7AF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44FD6A5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461B2DB2"/>
    <w:multiLevelType w:val="multilevel"/>
    <w:tmpl w:val="BDC230AA"/>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4F2910E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67A5874"/>
    <w:multiLevelType w:val="multilevel"/>
    <w:tmpl w:val="640C9FA6"/>
    <w:lvl w:ilvl="0">
      <w:start w:val="3"/>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6A3728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595675FF"/>
    <w:multiLevelType w:val="multilevel"/>
    <w:tmpl w:val="BDC230AA"/>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6510064"/>
    <w:multiLevelType w:val="multilevel"/>
    <w:tmpl w:val="A59AA39E"/>
    <w:lvl w:ilvl="0">
      <w:start w:val="17"/>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8" w15:restartNumberingAfterBreak="0">
    <w:nsid w:val="69D57125"/>
    <w:multiLevelType w:val="multilevel"/>
    <w:tmpl w:val="A90CDAA2"/>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6A492FB2"/>
    <w:multiLevelType w:val="multilevel"/>
    <w:tmpl w:val="E8F8349A"/>
    <w:lvl w:ilvl="0">
      <w:start w:val="1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79E2385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A4C121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B331525"/>
    <w:multiLevelType w:val="singleLevel"/>
    <w:tmpl w:val="C4C65388"/>
    <w:lvl w:ilvl="0">
      <w:start w:val="1"/>
      <w:numFmt w:val="bullet"/>
      <w:pStyle w:val="Bullet"/>
      <w:lvlText w:val=""/>
      <w:lvlJc w:val="left"/>
      <w:pPr>
        <w:tabs>
          <w:tab w:val="num" w:pos="360"/>
        </w:tabs>
        <w:ind w:left="360" w:hanging="360"/>
      </w:pPr>
      <w:rPr>
        <w:rFonts w:ascii="Symbol" w:hAnsi="Symbol" w:hint="default"/>
      </w:rPr>
    </w:lvl>
  </w:abstractNum>
  <w:num w:numId="1">
    <w:abstractNumId w:val="42"/>
  </w:num>
  <w:num w:numId="2">
    <w:abstractNumId w:val="10"/>
  </w:num>
  <w:num w:numId="3">
    <w:abstractNumId w:val="13"/>
  </w:num>
  <w:num w:numId="4">
    <w:abstractNumId w:val="11"/>
  </w:num>
  <w:num w:numId="5">
    <w:abstractNumId w:val="18"/>
  </w:num>
  <w:num w:numId="6">
    <w:abstractNumId w:val="34"/>
  </w:num>
  <w:num w:numId="7">
    <w:abstractNumId w:val="16"/>
  </w:num>
  <w:num w:numId="8">
    <w:abstractNumId w:val="35"/>
  </w:num>
  <w:num w:numId="9">
    <w:abstractNumId w:val="40"/>
  </w:num>
  <w:num w:numId="10">
    <w:abstractNumId w:val="33"/>
  </w:num>
  <w:num w:numId="11">
    <w:abstractNumId w:val="15"/>
  </w:num>
  <w:num w:numId="12">
    <w:abstractNumId w:val="31"/>
  </w:num>
  <w:num w:numId="13">
    <w:abstractNumId w:val="23"/>
  </w:num>
  <w:num w:numId="14">
    <w:abstractNumId w:val="30"/>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37"/>
  </w:num>
  <w:num w:numId="26">
    <w:abstractNumId w:val="39"/>
  </w:num>
  <w:num w:numId="27">
    <w:abstractNumId w:val="41"/>
  </w:num>
  <w:num w:numId="28">
    <w:abstractNumId w:val="24"/>
  </w:num>
  <w:num w:numId="29">
    <w:abstractNumId w:val="28"/>
  </w:num>
  <w:num w:numId="30">
    <w:abstractNumId w:val="12"/>
  </w:num>
  <w:num w:numId="31">
    <w:abstractNumId w:val="27"/>
  </w:num>
  <w:num w:numId="32">
    <w:abstractNumId w:val="21"/>
  </w:num>
  <w:num w:numId="33">
    <w:abstractNumId w:val="22"/>
  </w:num>
  <w:num w:numId="34">
    <w:abstractNumId w:val="38"/>
  </w:num>
  <w:num w:numId="35">
    <w:abstractNumId w:val="36"/>
  </w:num>
  <w:num w:numId="36">
    <w:abstractNumId w:val="19"/>
  </w:num>
  <w:num w:numId="37">
    <w:abstractNumId w:val="26"/>
  </w:num>
  <w:num w:numId="38">
    <w:abstractNumId w:val="32"/>
  </w:num>
  <w:num w:numId="39">
    <w:abstractNumId w:val="14"/>
  </w:num>
  <w:num w:numId="40">
    <w:abstractNumId w:val="17"/>
  </w:num>
  <w:num w:numId="41">
    <w:abstractNumId w:val="29"/>
  </w:num>
  <w:num w:numId="42">
    <w:abstractNumId w:val="25"/>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B84"/>
    <w:rsid w:val="00012604"/>
    <w:rsid w:val="0001465E"/>
    <w:rsid w:val="000308AC"/>
    <w:rsid w:val="0003778B"/>
    <w:rsid w:val="00073E64"/>
    <w:rsid w:val="000A42F8"/>
    <w:rsid w:val="000E2010"/>
    <w:rsid w:val="000F2EFF"/>
    <w:rsid w:val="00116957"/>
    <w:rsid w:val="00133844"/>
    <w:rsid w:val="0015280A"/>
    <w:rsid w:val="00157532"/>
    <w:rsid w:val="00166185"/>
    <w:rsid w:val="0019358C"/>
    <w:rsid w:val="001938C0"/>
    <w:rsid w:val="001C484E"/>
    <w:rsid w:val="001F3680"/>
    <w:rsid w:val="00257952"/>
    <w:rsid w:val="00260C58"/>
    <w:rsid w:val="00341DAB"/>
    <w:rsid w:val="00351648"/>
    <w:rsid w:val="003B45E8"/>
    <w:rsid w:val="003C5596"/>
    <w:rsid w:val="003D4D45"/>
    <w:rsid w:val="004306B6"/>
    <w:rsid w:val="004B3215"/>
    <w:rsid w:val="004E4F22"/>
    <w:rsid w:val="00523D6F"/>
    <w:rsid w:val="00540D23"/>
    <w:rsid w:val="005606B7"/>
    <w:rsid w:val="005A255E"/>
    <w:rsid w:val="006B0AC1"/>
    <w:rsid w:val="006C6000"/>
    <w:rsid w:val="006F5F22"/>
    <w:rsid w:val="00707DD7"/>
    <w:rsid w:val="007119A9"/>
    <w:rsid w:val="007358D8"/>
    <w:rsid w:val="00762C9B"/>
    <w:rsid w:val="00790419"/>
    <w:rsid w:val="007A14BB"/>
    <w:rsid w:val="007C08D7"/>
    <w:rsid w:val="007C7E0A"/>
    <w:rsid w:val="007E1A16"/>
    <w:rsid w:val="0081694D"/>
    <w:rsid w:val="0085457C"/>
    <w:rsid w:val="008563AF"/>
    <w:rsid w:val="00871F2F"/>
    <w:rsid w:val="00884363"/>
    <w:rsid w:val="0089172A"/>
    <w:rsid w:val="008A48A3"/>
    <w:rsid w:val="008D3B84"/>
    <w:rsid w:val="009275DA"/>
    <w:rsid w:val="00943941"/>
    <w:rsid w:val="009639BF"/>
    <w:rsid w:val="00973AB8"/>
    <w:rsid w:val="009A0464"/>
    <w:rsid w:val="009B08AD"/>
    <w:rsid w:val="009E67FD"/>
    <w:rsid w:val="00A219B9"/>
    <w:rsid w:val="00A976C0"/>
    <w:rsid w:val="00AD25F3"/>
    <w:rsid w:val="00B05E0E"/>
    <w:rsid w:val="00B10768"/>
    <w:rsid w:val="00B21A80"/>
    <w:rsid w:val="00B65A95"/>
    <w:rsid w:val="00B66824"/>
    <w:rsid w:val="00B80719"/>
    <w:rsid w:val="00BA7136"/>
    <w:rsid w:val="00BD6F96"/>
    <w:rsid w:val="00C4495D"/>
    <w:rsid w:val="00C52574"/>
    <w:rsid w:val="00C54D79"/>
    <w:rsid w:val="00C841D8"/>
    <w:rsid w:val="00C8658B"/>
    <w:rsid w:val="00CE1AFA"/>
    <w:rsid w:val="00CE6D49"/>
    <w:rsid w:val="00D05FE6"/>
    <w:rsid w:val="00D439F1"/>
    <w:rsid w:val="00D65945"/>
    <w:rsid w:val="00DA2680"/>
    <w:rsid w:val="00E26B8B"/>
    <w:rsid w:val="00EF1FAB"/>
    <w:rsid w:val="00F32A66"/>
    <w:rsid w:val="00F4367D"/>
    <w:rsid w:val="00F72E84"/>
    <w:rsid w:val="00F773FD"/>
    <w:rsid w:val="00F9760F"/>
    <w:rsid w:val="00FD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ate"/>
  <w:smartTagType w:namespaceuri="urn:schemas-microsoft-com:office:smarttags" w:name="place"/>
  <w:shapeDefaults>
    <o:shapedefaults v:ext="edit" spidmax="3074"/>
    <o:shapelayout v:ext="edit">
      <o:idmap v:ext="edit" data="1"/>
    </o:shapelayout>
  </w:shapeDefaults>
  <w:decimalSymbol w:val="."/>
  <w:listSeparator w:val=","/>
  <w15:chartTrackingRefBased/>
  <w15:docId w15:val="{82A7DDAA-54C6-4965-B2E9-5657F8E3A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9BF"/>
    <w:rPr>
      <w:sz w:val="24"/>
    </w:rPr>
  </w:style>
  <w:style w:type="paragraph" w:styleId="Heading1">
    <w:name w:val="heading 1"/>
    <w:basedOn w:val="Normal"/>
    <w:next w:val="BodyText"/>
    <w:qFormat/>
    <w:rsid w:val="009639BF"/>
    <w:pPr>
      <w:keepNext/>
      <w:numPr>
        <w:numId w:val="25"/>
      </w:numPr>
      <w:spacing w:after="240"/>
      <w:outlineLvl w:val="0"/>
    </w:pPr>
    <w:rPr>
      <w:b/>
      <w:caps/>
    </w:rPr>
  </w:style>
  <w:style w:type="paragraph" w:styleId="Heading2">
    <w:name w:val="heading 2"/>
    <w:basedOn w:val="Normal"/>
    <w:next w:val="BodyText"/>
    <w:qFormat/>
    <w:rsid w:val="009639BF"/>
    <w:pPr>
      <w:keepNext/>
      <w:numPr>
        <w:ilvl w:val="1"/>
        <w:numId w:val="25"/>
      </w:numPr>
      <w:tabs>
        <w:tab w:val="left" w:pos="720"/>
      </w:tabs>
      <w:spacing w:before="240" w:after="240"/>
      <w:outlineLvl w:val="1"/>
    </w:pPr>
    <w:rPr>
      <w:b/>
    </w:rPr>
  </w:style>
  <w:style w:type="paragraph" w:styleId="Heading3">
    <w:name w:val="heading 3"/>
    <w:basedOn w:val="Normal"/>
    <w:next w:val="BodyText"/>
    <w:qFormat/>
    <w:rsid w:val="009639BF"/>
    <w:pPr>
      <w:keepNext/>
      <w:numPr>
        <w:ilvl w:val="2"/>
        <w:numId w:val="25"/>
      </w:numPr>
      <w:tabs>
        <w:tab w:val="left" w:pos="1008"/>
      </w:tabs>
      <w:spacing w:before="240" w:after="240"/>
      <w:outlineLvl w:val="2"/>
    </w:pPr>
    <w:rPr>
      <w:b/>
      <w:bCs/>
      <w:i/>
    </w:rPr>
  </w:style>
  <w:style w:type="paragraph" w:styleId="Heading4">
    <w:name w:val="heading 4"/>
    <w:basedOn w:val="Normal"/>
    <w:next w:val="BodyText"/>
    <w:qFormat/>
    <w:rsid w:val="009639BF"/>
    <w:pPr>
      <w:keepNext/>
      <w:widowControl w:val="0"/>
      <w:numPr>
        <w:ilvl w:val="3"/>
        <w:numId w:val="25"/>
      </w:numPr>
      <w:tabs>
        <w:tab w:val="left" w:pos="1296"/>
      </w:tabs>
      <w:spacing w:before="240" w:after="240"/>
      <w:outlineLvl w:val="3"/>
    </w:pPr>
    <w:rPr>
      <w:b/>
      <w:bCs/>
      <w:snapToGrid w:val="0"/>
    </w:rPr>
  </w:style>
  <w:style w:type="paragraph" w:styleId="Heading5">
    <w:name w:val="heading 5"/>
    <w:basedOn w:val="Normal"/>
    <w:next w:val="BodyText"/>
    <w:qFormat/>
    <w:rsid w:val="009639BF"/>
    <w:pPr>
      <w:keepNext/>
      <w:numPr>
        <w:ilvl w:val="4"/>
        <w:numId w:val="25"/>
      </w:numPr>
      <w:tabs>
        <w:tab w:val="left" w:pos="1440"/>
      </w:tabs>
      <w:spacing w:before="240" w:after="240"/>
      <w:outlineLvl w:val="4"/>
    </w:pPr>
    <w:rPr>
      <w:b/>
      <w:bCs/>
      <w:i/>
      <w:iCs/>
      <w:szCs w:val="26"/>
    </w:rPr>
  </w:style>
  <w:style w:type="paragraph" w:styleId="Heading6">
    <w:name w:val="heading 6"/>
    <w:basedOn w:val="Normal"/>
    <w:next w:val="BodyText"/>
    <w:qFormat/>
    <w:rsid w:val="009639BF"/>
    <w:pPr>
      <w:keepNext/>
      <w:numPr>
        <w:ilvl w:val="5"/>
        <w:numId w:val="25"/>
      </w:numPr>
      <w:tabs>
        <w:tab w:val="left" w:pos="1584"/>
      </w:tabs>
      <w:spacing w:before="240" w:after="240"/>
      <w:outlineLvl w:val="5"/>
    </w:pPr>
    <w:rPr>
      <w:b/>
      <w:bCs/>
      <w:szCs w:val="22"/>
    </w:rPr>
  </w:style>
  <w:style w:type="paragraph" w:styleId="Heading7">
    <w:name w:val="heading 7"/>
    <w:basedOn w:val="Normal"/>
    <w:next w:val="BodyText"/>
    <w:qFormat/>
    <w:rsid w:val="009639BF"/>
    <w:pPr>
      <w:keepNext/>
      <w:numPr>
        <w:ilvl w:val="6"/>
        <w:numId w:val="25"/>
      </w:numPr>
      <w:tabs>
        <w:tab w:val="left" w:pos="1728"/>
      </w:tabs>
      <w:spacing w:before="240" w:after="240"/>
      <w:outlineLvl w:val="6"/>
    </w:pPr>
    <w:rPr>
      <w:szCs w:val="24"/>
    </w:rPr>
  </w:style>
  <w:style w:type="paragraph" w:styleId="Heading8">
    <w:name w:val="heading 8"/>
    <w:basedOn w:val="Normal"/>
    <w:next w:val="BodyText"/>
    <w:qFormat/>
    <w:rsid w:val="009639BF"/>
    <w:pPr>
      <w:keepNext/>
      <w:numPr>
        <w:ilvl w:val="7"/>
        <w:numId w:val="25"/>
      </w:numPr>
      <w:tabs>
        <w:tab w:val="left" w:pos="1872"/>
      </w:tabs>
      <w:spacing w:before="240" w:after="240"/>
      <w:outlineLvl w:val="7"/>
    </w:pPr>
    <w:rPr>
      <w:i/>
      <w:iCs/>
      <w:szCs w:val="24"/>
    </w:rPr>
  </w:style>
  <w:style w:type="paragraph" w:styleId="Heading9">
    <w:name w:val="heading 9"/>
    <w:basedOn w:val="Normal"/>
    <w:next w:val="BodyText"/>
    <w:qFormat/>
    <w:rsid w:val="009639BF"/>
    <w:pPr>
      <w:keepNext/>
      <w:numPr>
        <w:ilvl w:val="8"/>
        <w:numId w:val="25"/>
      </w:numPr>
      <w:tabs>
        <w:tab w:val="left" w:pos="2160"/>
      </w:tabs>
      <w:spacing w:before="240" w:after="240"/>
      <w:outlineLvl w:val="8"/>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BodyText"/>
    <w:rsid w:val="009639BF"/>
    <w:rPr>
      <w:b/>
      <w:i/>
      <w:szCs w:val="24"/>
    </w:rPr>
  </w:style>
  <w:style w:type="paragraph" w:styleId="List">
    <w:name w:val="List"/>
    <w:basedOn w:val="Normal"/>
    <w:link w:val="ListChar"/>
    <w:rsid w:val="009639BF"/>
    <w:pPr>
      <w:spacing w:after="240"/>
      <w:ind w:left="1440" w:hanging="720"/>
    </w:pPr>
  </w:style>
  <w:style w:type="paragraph" w:styleId="BodyText">
    <w:name w:val="Body Text"/>
    <w:aliases w:val=" Char Char Char, Char1,Body Text Char Char, Char Char Char Char Char,Body Text Char2 Char Char,Body Text Char2 Char Char Char Char Char Char Char Char Char Char Char,Body Text Char2 Char,Body Text Char2,Body Text Char1 Char Ch, Char1 Char Char"/>
    <w:basedOn w:val="Normal"/>
    <w:rsid w:val="009639BF"/>
    <w:pPr>
      <w:spacing w:after="240"/>
    </w:pPr>
    <w:rPr>
      <w:iCs/>
    </w:rPr>
  </w:style>
  <w:style w:type="paragraph" w:styleId="BodyTextIndent">
    <w:name w:val="Body Text Indent"/>
    <w:basedOn w:val="Normal"/>
    <w:rsid w:val="009639BF"/>
    <w:pPr>
      <w:spacing w:after="240"/>
      <w:ind w:left="720"/>
    </w:pPr>
    <w:rPr>
      <w:iCs/>
    </w:rPr>
  </w:style>
  <w:style w:type="paragraph" w:customStyle="1" w:styleId="Bullet">
    <w:name w:val="Bullet"/>
    <w:basedOn w:val="Normal"/>
    <w:rsid w:val="009639BF"/>
    <w:pPr>
      <w:numPr>
        <w:numId w:val="1"/>
      </w:numPr>
      <w:tabs>
        <w:tab w:val="clear" w:pos="360"/>
        <w:tab w:val="num" w:pos="1440"/>
      </w:tabs>
      <w:spacing w:after="180"/>
      <w:ind w:left="1440"/>
    </w:pPr>
  </w:style>
  <w:style w:type="paragraph" w:customStyle="1" w:styleId="BulletIndent">
    <w:name w:val="Bullet Indent"/>
    <w:basedOn w:val="Normal"/>
    <w:rsid w:val="009639BF"/>
    <w:pPr>
      <w:numPr>
        <w:numId w:val="2"/>
      </w:numPr>
      <w:tabs>
        <w:tab w:val="clear" w:pos="360"/>
      </w:tabs>
      <w:spacing w:after="180"/>
      <w:ind w:left="2340" w:hanging="547"/>
    </w:pPr>
  </w:style>
  <w:style w:type="paragraph" w:styleId="Footer">
    <w:name w:val="footer"/>
    <w:basedOn w:val="Normal"/>
    <w:rsid w:val="009639BF"/>
    <w:pPr>
      <w:pBdr>
        <w:top w:val="single" w:sz="4" w:space="0" w:color="auto"/>
      </w:pBdr>
      <w:tabs>
        <w:tab w:val="center" w:pos="4680"/>
        <w:tab w:val="right" w:pos="9360"/>
      </w:tabs>
      <w:spacing w:before="120" w:after="120"/>
    </w:pPr>
    <w:rPr>
      <w:smallCaps/>
      <w:sz w:val="20"/>
    </w:rPr>
  </w:style>
  <w:style w:type="paragraph" w:styleId="FootnoteText">
    <w:name w:val="footnote text"/>
    <w:basedOn w:val="Normal"/>
    <w:semiHidden/>
    <w:rsid w:val="009639BF"/>
    <w:rPr>
      <w:sz w:val="18"/>
    </w:rPr>
  </w:style>
  <w:style w:type="paragraph" w:styleId="Header">
    <w:name w:val="header"/>
    <w:basedOn w:val="Normal"/>
    <w:rsid w:val="009639BF"/>
    <w:pPr>
      <w:pBdr>
        <w:bottom w:val="single" w:sz="4" w:space="1" w:color="auto"/>
      </w:pBdr>
      <w:tabs>
        <w:tab w:val="center" w:pos="4680"/>
        <w:tab w:val="right" w:pos="9360"/>
      </w:tabs>
      <w:jc w:val="right"/>
    </w:pPr>
    <w:rPr>
      <w:smallCaps/>
      <w:sz w:val="20"/>
    </w:rPr>
  </w:style>
  <w:style w:type="character" w:styleId="Hyperlink">
    <w:name w:val="Hyperlink"/>
    <w:uiPriority w:val="99"/>
    <w:rsid w:val="009639BF"/>
    <w:rPr>
      <w:color w:val="0000FF"/>
      <w:u w:val="single"/>
    </w:rPr>
  </w:style>
  <w:style w:type="paragraph" w:styleId="TOC1">
    <w:name w:val="toc 1"/>
    <w:basedOn w:val="Normal"/>
    <w:next w:val="Normal"/>
    <w:autoRedefine/>
    <w:uiPriority w:val="39"/>
    <w:rsid w:val="009639BF"/>
    <w:pPr>
      <w:tabs>
        <w:tab w:val="right" w:leader="dot" w:pos="9360"/>
      </w:tabs>
      <w:spacing w:before="120" w:after="120"/>
      <w:ind w:right="720"/>
    </w:pPr>
    <w:rPr>
      <w:b/>
      <w:bCs/>
      <w:i/>
      <w:szCs w:val="24"/>
    </w:rPr>
  </w:style>
  <w:style w:type="paragraph" w:styleId="TOC2">
    <w:name w:val="toc 2"/>
    <w:basedOn w:val="Normal"/>
    <w:next w:val="Normal"/>
    <w:autoRedefine/>
    <w:uiPriority w:val="39"/>
    <w:rsid w:val="009639BF"/>
    <w:pPr>
      <w:tabs>
        <w:tab w:val="left" w:pos="1260"/>
        <w:tab w:val="right" w:leader="dot" w:pos="9360"/>
      </w:tabs>
      <w:ind w:left="1260" w:right="720" w:hanging="720"/>
    </w:pPr>
    <w:rPr>
      <w:sz w:val="20"/>
    </w:rPr>
  </w:style>
  <w:style w:type="paragraph" w:styleId="TOC3">
    <w:name w:val="toc 3"/>
    <w:basedOn w:val="Normal"/>
    <w:next w:val="Normal"/>
    <w:autoRedefine/>
    <w:uiPriority w:val="39"/>
    <w:rsid w:val="009639BF"/>
    <w:pPr>
      <w:tabs>
        <w:tab w:val="left" w:pos="1980"/>
        <w:tab w:val="right" w:leader="dot" w:pos="9360"/>
      </w:tabs>
      <w:ind w:left="1980" w:right="720" w:hanging="900"/>
    </w:pPr>
    <w:rPr>
      <w:i/>
      <w:iCs/>
      <w:sz w:val="20"/>
    </w:rPr>
  </w:style>
  <w:style w:type="character" w:styleId="PageNumber">
    <w:name w:val="page number"/>
    <w:basedOn w:val="DefaultParagraphFont"/>
    <w:rsid w:val="009639BF"/>
  </w:style>
  <w:style w:type="table" w:styleId="TableGrid">
    <w:name w:val="Table Grid"/>
    <w:basedOn w:val="TableNormal"/>
    <w:rsid w:val="00963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9639BF"/>
    <w:pPr>
      <w:tabs>
        <w:tab w:val="left" w:pos="2700"/>
        <w:tab w:val="right" w:leader="dot" w:pos="9360"/>
      </w:tabs>
      <w:ind w:left="2700" w:right="720" w:hanging="1080"/>
    </w:pPr>
    <w:rPr>
      <w:sz w:val="18"/>
      <w:szCs w:val="18"/>
    </w:rPr>
  </w:style>
  <w:style w:type="paragraph" w:styleId="TOC5">
    <w:name w:val="toc 5"/>
    <w:basedOn w:val="Normal"/>
    <w:next w:val="Normal"/>
    <w:autoRedefine/>
    <w:semiHidden/>
    <w:rsid w:val="009639BF"/>
    <w:pPr>
      <w:tabs>
        <w:tab w:val="left" w:pos="3600"/>
        <w:tab w:val="right" w:leader="dot" w:pos="9360"/>
      </w:tabs>
      <w:ind w:left="3600" w:right="720" w:hanging="1260"/>
    </w:pPr>
    <w:rPr>
      <w:i/>
      <w:noProof/>
      <w:sz w:val="18"/>
      <w:szCs w:val="18"/>
    </w:rPr>
  </w:style>
  <w:style w:type="paragraph" w:styleId="List2">
    <w:name w:val="List 2"/>
    <w:basedOn w:val="Normal"/>
    <w:rsid w:val="009639BF"/>
    <w:pPr>
      <w:spacing w:after="240"/>
      <w:ind w:left="2160" w:hanging="720"/>
    </w:pPr>
  </w:style>
  <w:style w:type="paragraph" w:styleId="List3">
    <w:name w:val="List 3"/>
    <w:basedOn w:val="Normal"/>
    <w:rsid w:val="009639BF"/>
    <w:pPr>
      <w:spacing w:after="240"/>
      <w:ind w:left="2880" w:hanging="720"/>
    </w:pPr>
  </w:style>
  <w:style w:type="paragraph" w:styleId="TOC6">
    <w:name w:val="toc 6"/>
    <w:basedOn w:val="Normal"/>
    <w:next w:val="Normal"/>
    <w:autoRedefine/>
    <w:semiHidden/>
    <w:rsid w:val="009639BF"/>
    <w:pPr>
      <w:tabs>
        <w:tab w:val="left" w:pos="4500"/>
        <w:tab w:val="right" w:leader="dot" w:pos="9360"/>
      </w:tabs>
      <w:ind w:left="4500" w:right="720" w:hanging="1440"/>
    </w:pPr>
    <w:rPr>
      <w:sz w:val="18"/>
      <w:szCs w:val="18"/>
    </w:rPr>
  </w:style>
  <w:style w:type="paragraph" w:styleId="TOC7">
    <w:name w:val="toc 7"/>
    <w:basedOn w:val="Normal"/>
    <w:next w:val="Normal"/>
    <w:autoRedefine/>
    <w:semiHidden/>
    <w:rsid w:val="009639BF"/>
    <w:pPr>
      <w:tabs>
        <w:tab w:val="left" w:pos="5400"/>
        <w:tab w:val="right" w:leader="dot" w:pos="9360"/>
      </w:tabs>
      <w:ind w:left="5400" w:right="720" w:hanging="1620"/>
    </w:pPr>
    <w:rPr>
      <w:i/>
      <w:noProof/>
      <w:sz w:val="18"/>
      <w:szCs w:val="18"/>
    </w:rPr>
  </w:style>
  <w:style w:type="paragraph" w:styleId="TOC8">
    <w:name w:val="toc 8"/>
    <w:basedOn w:val="Normal"/>
    <w:next w:val="Normal"/>
    <w:autoRedefine/>
    <w:semiHidden/>
    <w:rsid w:val="009639BF"/>
    <w:pPr>
      <w:ind w:left="1680"/>
    </w:pPr>
    <w:rPr>
      <w:sz w:val="18"/>
      <w:szCs w:val="18"/>
    </w:rPr>
  </w:style>
  <w:style w:type="paragraph" w:styleId="TOC9">
    <w:name w:val="toc 9"/>
    <w:basedOn w:val="Normal"/>
    <w:next w:val="Normal"/>
    <w:autoRedefine/>
    <w:semiHidden/>
    <w:rsid w:val="009639BF"/>
    <w:pPr>
      <w:ind w:left="1920"/>
    </w:pPr>
    <w:rPr>
      <w:sz w:val="18"/>
      <w:szCs w:val="18"/>
    </w:rPr>
  </w:style>
  <w:style w:type="paragraph" w:customStyle="1" w:styleId="H5">
    <w:name w:val="H5"/>
    <w:basedOn w:val="Heading5"/>
    <w:next w:val="BodyText"/>
    <w:rsid w:val="009639BF"/>
    <w:pPr>
      <w:numPr>
        <w:ilvl w:val="0"/>
        <w:numId w:val="0"/>
      </w:numPr>
      <w:tabs>
        <w:tab w:val="clear" w:pos="1440"/>
        <w:tab w:val="left" w:pos="1620"/>
      </w:tabs>
      <w:ind w:left="1620" w:hanging="1620"/>
    </w:pPr>
  </w:style>
  <w:style w:type="paragraph" w:customStyle="1" w:styleId="H2">
    <w:name w:val="H2"/>
    <w:basedOn w:val="Heading2"/>
    <w:next w:val="BodyText"/>
    <w:rsid w:val="009639BF"/>
    <w:pPr>
      <w:numPr>
        <w:ilvl w:val="0"/>
        <w:numId w:val="0"/>
      </w:numPr>
      <w:tabs>
        <w:tab w:val="clear" w:pos="720"/>
        <w:tab w:val="left" w:pos="900"/>
      </w:tabs>
      <w:ind w:left="900" w:hanging="900"/>
    </w:pPr>
  </w:style>
  <w:style w:type="paragraph" w:customStyle="1" w:styleId="H3">
    <w:name w:val="H3"/>
    <w:basedOn w:val="Heading3"/>
    <w:next w:val="BodyText"/>
    <w:rsid w:val="009639BF"/>
    <w:pPr>
      <w:numPr>
        <w:ilvl w:val="0"/>
        <w:numId w:val="0"/>
      </w:numPr>
      <w:tabs>
        <w:tab w:val="clear" w:pos="1008"/>
        <w:tab w:val="left" w:pos="1080"/>
      </w:tabs>
      <w:ind w:left="1080" w:hanging="1080"/>
    </w:pPr>
  </w:style>
  <w:style w:type="paragraph" w:customStyle="1" w:styleId="H4">
    <w:name w:val="H4"/>
    <w:basedOn w:val="Heading4"/>
    <w:next w:val="BodyText"/>
    <w:rsid w:val="009639BF"/>
    <w:pPr>
      <w:numPr>
        <w:ilvl w:val="0"/>
        <w:numId w:val="0"/>
      </w:numPr>
      <w:tabs>
        <w:tab w:val="clear" w:pos="1296"/>
        <w:tab w:val="left" w:pos="1260"/>
      </w:tabs>
      <w:ind w:left="1260" w:hanging="1260"/>
    </w:pPr>
  </w:style>
  <w:style w:type="paragraph" w:customStyle="1" w:styleId="H6">
    <w:name w:val="H6"/>
    <w:basedOn w:val="Heading6"/>
    <w:next w:val="BodyText"/>
    <w:rsid w:val="009639BF"/>
    <w:pPr>
      <w:numPr>
        <w:ilvl w:val="0"/>
        <w:numId w:val="0"/>
      </w:numPr>
      <w:tabs>
        <w:tab w:val="clear" w:pos="1584"/>
        <w:tab w:val="left" w:pos="1800"/>
      </w:tabs>
      <w:ind w:left="1800" w:hanging="1800"/>
    </w:pPr>
  </w:style>
  <w:style w:type="paragraph" w:customStyle="1" w:styleId="H7">
    <w:name w:val="H7"/>
    <w:basedOn w:val="Heading7"/>
    <w:next w:val="BodyText"/>
    <w:rsid w:val="009639BF"/>
    <w:pPr>
      <w:numPr>
        <w:ilvl w:val="0"/>
        <w:numId w:val="0"/>
      </w:numPr>
      <w:tabs>
        <w:tab w:val="clear" w:pos="1728"/>
        <w:tab w:val="left" w:pos="1980"/>
      </w:tabs>
      <w:ind w:left="1980" w:hanging="1980"/>
    </w:pPr>
    <w:rPr>
      <w:b/>
      <w:i/>
    </w:rPr>
  </w:style>
  <w:style w:type="paragraph" w:customStyle="1" w:styleId="H8">
    <w:name w:val="H8"/>
    <w:basedOn w:val="Heading8"/>
    <w:next w:val="BodyText"/>
    <w:rsid w:val="009639BF"/>
    <w:pPr>
      <w:numPr>
        <w:ilvl w:val="0"/>
        <w:numId w:val="0"/>
      </w:numPr>
      <w:tabs>
        <w:tab w:val="clear" w:pos="1872"/>
        <w:tab w:val="left" w:pos="2160"/>
      </w:tabs>
      <w:ind w:left="2160" w:hanging="2160"/>
    </w:pPr>
    <w:rPr>
      <w:b/>
      <w:i w:val="0"/>
    </w:rPr>
  </w:style>
  <w:style w:type="paragraph" w:customStyle="1" w:styleId="H9">
    <w:name w:val="H9"/>
    <w:basedOn w:val="Heading9"/>
    <w:next w:val="BodyText"/>
    <w:rsid w:val="009639BF"/>
    <w:pPr>
      <w:numPr>
        <w:ilvl w:val="0"/>
        <w:numId w:val="0"/>
      </w:numPr>
      <w:tabs>
        <w:tab w:val="clear" w:pos="2160"/>
        <w:tab w:val="left" w:pos="2340"/>
      </w:tabs>
      <w:ind w:left="2340" w:hanging="2340"/>
    </w:pPr>
    <w:rPr>
      <w:i/>
    </w:rPr>
  </w:style>
  <w:style w:type="table" w:customStyle="1" w:styleId="BoxedLanguage">
    <w:name w:val="Boxed Language"/>
    <w:basedOn w:val="TableNormal"/>
    <w:rsid w:val="009639BF"/>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paragraph" w:customStyle="1" w:styleId="Spaceafterbox">
    <w:name w:val="Space after box"/>
    <w:basedOn w:val="Normal"/>
    <w:rsid w:val="009639BF"/>
  </w:style>
  <w:style w:type="paragraph" w:customStyle="1" w:styleId="ListIntroduction">
    <w:name w:val="List Introduction"/>
    <w:basedOn w:val="BodyText"/>
    <w:rsid w:val="009639BF"/>
    <w:pPr>
      <w:keepNext/>
    </w:pPr>
  </w:style>
  <w:style w:type="paragraph" w:customStyle="1" w:styleId="VariableDefinition">
    <w:name w:val="Variable Definition"/>
    <w:basedOn w:val="BodyTextIndent"/>
    <w:rsid w:val="009639BF"/>
    <w:pPr>
      <w:tabs>
        <w:tab w:val="left" w:pos="2160"/>
      </w:tabs>
      <w:ind w:left="2160" w:hanging="1440"/>
      <w:contextualSpacing/>
    </w:pPr>
  </w:style>
  <w:style w:type="paragraph" w:customStyle="1" w:styleId="FormulaBold">
    <w:name w:val="Formula Bold"/>
    <w:basedOn w:val="Normal"/>
    <w:autoRedefine/>
    <w:rsid w:val="009639BF"/>
    <w:pPr>
      <w:tabs>
        <w:tab w:val="left" w:pos="2340"/>
        <w:tab w:val="left" w:pos="3420"/>
      </w:tabs>
      <w:spacing w:after="240"/>
      <w:ind w:left="3420" w:hanging="2700"/>
    </w:pPr>
    <w:rPr>
      <w:b/>
      <w:bCs/>
      <w:szCs w:val="24"/>
    </w:rPr>
  </w:style>
  <w:style w:type="paragraph" w:customStyle="1" w:styleId="Formula">
    <w:name w:val="Formula"/>
    <w:basedOn w:val="Normal"/>
    <w:autoRedefine/>
    <w:rsid w:val="009639BF"/>
    <w:pPr>
      <w:tabs>
        <w:tab w:val="left" w:pos="2340"/>
        <w:tab w:val="left" w:pos="3420"/>
      </w:tabs>
      <w:spacing w:after="240"/>
      <w:ind w:left="3420" w:hanging="2700"/>
    </w:pPr>
    <w:rPr>
      <w:bCs/>
      <w:szCs w:val="24"/>
    </w:rPr>
  </w:style>
  <w:style w:type="paragraph" w:customStyle="1" w:styleId="ListSub">
    <w:name w:val="List Sub"/>
    <w:basedOn w:val="List"/>
    <w:rsid w:val="009639BF"/>
    <w:pPr>
      <w:ind w:firstLine="0"/>
    </w:pPr>
  </w:style>
  <w:style w:type="table" w:customStyle="1" w:styleId="VariableTable">
    <w:name w:val="Variable Table"/>
    <w:basedOn w:val="TableNormal"/>
    <w:rsid w:val="009639BF"/>
    <w:tblPr/>
  </w:style>
  <w:style w:type="table" w:customStyle="1" w:styleId="FormulaVariableTable">
    <w:name w:val="Formula Variable Table"/>
    <w:basedOn w:val="TableNormal"/>
    <w:rsid w:val="009639BF"/>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customStyle="1" w:styleId="HeadSub">
    <w:name w:val="Head Sub"/>
    <w:basedOn w:val="BodyText"/>
    <w:next w:val="BodyText"/>
    <w:rsid w:val="009639BF"/>
    <w:pPr>
      <w:keepNext/>
      <w:spacing w:before="240"/>
    </w:pPr>
    <w:rPr>
      <w:b/>
    </w:rPr>
  </w:style>
  <w:style w:type="paragraph" w:customStyle="1" w:styleId="TableBody">
    <w:name w:val="Table Body"/>
    <w:basedOn w:val="BodyText"/>
    <w:rsid w:val="009639BF"/>
    <w:pPr>
      <w:spacing w:after="60"/>
    </w:pPr>
    <w:rPr>
      <w:sz w:val="20"/>
    </w:rPr>
  </w:style>
  <w:style w:type="paragraph" w:customStyle="1" w:styleId="TableHead">
    <w:name w:val="Table Head"/>
    <w:basedOn w:val="BodyText"/>
    <w:rsid w:val="009639BF"/>
    <w:pPr>
      <w:spacing w:after="120"/>
    </w:pPr>
    <w:rPr>
      <w:b/>
      <w:sz w:val="20"/>
    </w:rPr>
  </w:style>
  <w:style w:type="paragraph" w:customStyle="1" w:styleId="TableBullet">
    <w:name w:val="Table Bullet"/>
    <w:basedOn w:val="TableBody"/>
    <w:rsid w:val="009639BF"/>
    <w:pPr>
      <w:numPr>
        <w:numId w:val="40"/>
      </w:numPr>
    </w:pPr>
  </w:style>
  <w:style w:type="paragraph" w:styleId="BodyText2">
    <w:name w:val="Body Text 2"/>
    <w:basedOn w:val="Normal"/>
    <w:rsid w:val="009639BF"/>
    <w:pPr>
      <w:spacing w:after="120" w:line="480" w:lineRule="auto"/>
      <w:ind w:left="1440" w:hanging="720"/>
    </w:pPr>
  </w:style>
  <w:style w:type="character" w:customStyle="1" w:styleId="ListChar">
    <w:name w:val="List Char"/>
    <w:link w:val="List"/>
    <w:rsid w:val="009639BF"/>
    <w:rPr>
      <w:sz w:val="24"/>
      <w:lang w:val="en-US" w:eastAsia="en-US" w:bidi="ar-SA"/>
    </w:rPr>
  </w:style>
  <w:style w:type="paragraph" w:customStyle="1" w:styleId="BodyTextNumbered">
    <w:name w:val="Body Text Numbered"/>
    <w:basedOn w:val="BodyText"/>
    <w:link w:val="BodyTextNumberedChar1"/>
    <w:rsid w:val="009639BF"/>
    <w:pPr>
      <w:ind w:left="720" w:hanging="720"/>
    </w:pPr>
  </w:style>
  <w:style w:type="character" w:customStyle="1" w:styleId="CharChar">
    <w:name w:val="Char Char"/>
    <w:rsid w:val="009639BF"/>
    <w:rPr>
      <w:sz w:val="24"/>
      <w:lang w:val="en-US" w:eastAsia="en-US" w:bidi="ar-SA"/>
    </w:rPr>
  </w:style>
  <w:style w:type="paragraph" w:styleId="BalloonText">
    <w:name w:val="Balloon Text"/>
    <w:basedOn w:val="Normal"/>
    <w:semiHidden/>
    <w:rsid w:val="009639BF"/>
    <w:rPr>
      <w:rFonts w:ascii="Tahoma" w:hAnsi="Tahoma" w:cs="Tahoma"/>
      <w:sz w:val="16"/>
      <w:szCs w:val="16"/>
    </w:rPr>
  </w:style>
  <w:style w:type="paragraph" w:customStyle="1" w:styleId="Char3">
    <w:name w:val="Char3"/>
    <w:basedOn w:val="Normal"/>
    <w:rsid w:val="009639BF"/>
    <w:pPr>
      <w:spacing w:after="160" w:line="240" w:lineRule="exact"/>
    </w:pPr>
    <w:rPr>
      <w:rFonts w:ascii="Verdana" w:hAnsi="Verdana"/>
      <w:sz w:val="16"/>
    </w:rPr>
  </w:style>
  <w:style w:type="character" w:styleId="CommentReference">
    <w:name w:val="annotation reference"/>
    <w:semiHidden/>
    <w:rsid w:val="00C54D79"/>
    <w:rPr>
      <w:sz w:val="16"/>
      <w:szCs w:val="16"/>
    </w:rPr>
  </w:style>
  <w:style w:type="paragraph" w:styleId="CommentText">
    <w:name w:val="annotation text"/>
    <w:basedOn w:val="Normal"/>
    <w:semiHidden/>
    <w:rsid w:val="00C54D79"/>
    <w:rPr>
      <w:sz w:val="20"/>
    </w:rPr>
  </w:style>
  <w:style w:type="paragraph" w:styleId="CommentSubject">
    <w:name w:val="annotation subject"/>
    <w:basedOn w:val="CommentText"/>
    <w:next w:val="CommentText"/>
    <w:semiHidden/>
    <w:rsid w:val="00C54D79"/>
    <w:rPr>
      <w:b/>
      <w:bCs/>
    </w:rPr>
  </w:style>
  <w:style w:type="character" w:customStyle="1" w:styleId="BodyTextNumberedChar1">
    <w:name w:val="Body Text Numbered Char1"/>
    <w:link w:val="BodyTextNumbered"/>
    <w:rsid w:val="00F773FD"/>
    <w:rPr>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53696">
      <w:bodyDiv w:val="1"/>
      <w:marLeft w:val="0"/>
      <w:marRight w:val="0"/>
      <w:marTop w:val="0"/>
      <w:marBottom w:val="0"/>
      <w:divBdr>
        <w:top w:val="none" w:sz="0" w:space="0" w:color="auto"/>
        <w:left w:val="none" w:sz="0" w:space="0" w:color="auto"/>
        <w:bottom w:val="none" w:sz="0" w:space="0" w:color="auto"/>
        <w:right w:val="none" w:sz="0" w:space="0" w:color="auto"/>
      </w:divBdr>
      <w:divsChild>
        <w:div w:id="1580677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27581-1547-45C0-A310-B2E729129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Protocol.dot</Template>
  <TotalTime>1</TotalTime>
  <Pages>5</Pages>
  <Words>1130</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ERCOT Nodal Protocols</vt:lpstr>
    </vt:vector>
  </TitlesOfParts>
  <Company>TekLink Talent</Company>
  <LinksUpToDate>false</LinksUpToDate>
  <CharactersWithSpaces>8217</CharactersWithSpaces>
  <SharedDoc>false</SharedDoc>
  <HLinks>
    <vt:vector size="72" baseType="variant">
      <vt:variant>
        <vt:i4>1441854</vt:i4>
      </vt:variant>
      <vt:variant>
        <vt:i4>68</vt:i4>
      </vt:variant>
      <vt:variant>
        <vt:i4>0</vt:i4>
      </vt:variant>
      <vt:variant>
        <vt:i4>5</vt:i4>
      </vt:variant>
      <vt:variant>
        <vt:lpwstr/>
      </vt:variant>
      <vt:variant>
        <vt:lpwstr>_Toc406742840</vt:lpwstr>
      </vt:variant>
      <vt:variant>
        <vt:i4>1114174</vt:i4>
      </vt:variant>
      <vt:variant>
        <vt:i4>62</vt:i4>
      </vt:variant>
      <vt:variant>
        <vt:i4>0</vt:i4>
      </vt:variant>
      <vt:variant>
        <vt:i4>5</vt:i4>
      </vt:variant>
      <vt:variant>
        <vt:lpwstr/>
      </vt:variant>
      <vt:variant>
        <vt:lpwstr>_Toc406742839</vt:lpwstr>
      </vt:variant>
      <vt:variant>
        <vt:i4>1114174</vt:i4>
      </vt:variant>
      <vt:variant>
        <vt:i4>56</vt:i4>
      </vt:variant>
      <vt:variant>
        <vt:i4>0</vt:i4>
      </vt:variant>
      <vt:variant>
        <vt:i4>5</vt:i4>
      </vt:variant>
      <vt:variant>
        <vt:lpwstr/>
      </vt:variant>
      <vt:variant>
        <vt:lpwstr>_Toc406742838</vt:lpwstr>
      </vt:variant>
      <vt:variant>
        <vt:i4>1114174</vt:i4>
      </vt:variant>
      <vt:variant>
        <vt:i4>50</vt:i4>
      </vt:variant>
      <vt:variant>
        <vt:i4>0</vt:i4>
      </vt:variant>
      <vt:variant>
        <vt:i4>5</vt:i4>
      </vt:variant>
      <vt:variant>
        <vt:lpwstr/>
      </vt:variant>
      <vt:variant>
        <vt:lpwstr>_Toc406742837</vt:lpwstr>
      </vt:variant>
      <vt:variant>
        <vt:i4>1114174</vt:i4>
      </vt:variant>
      <vt:variant>
        <vt:i4>44</vt:i4>
      </vt:variant>
      <vt:variant>
        <vt:i4>0</vt:i4>
      </vt:variant>
      <vt:variant>
        <vt:i4>5</vt:i4>
      </vt:variant>
      <vt:variant>
        <vt:lpwstr/>
      </vt:variant>
      <vt:variant>
        <vt:lpwstr>_Toc406742836</vt:lpwstr>
      </vt:variant>
      <vt:variant>
        <vt:i4>1114174</vt:i4>
      </vt:variant>
      <vt:variant>
        <vt:i4>38</vt:i4>
      </vt:variant>
      <vt:variant>
        <vt:i4>0</vt:i4>
      </vt:variant>
      <vt:variant>
        <vt:i4>5</vt:i4>
      </vt:variant>
      <vt:variant>
        <vt:lpwstr/>
      </vt:variant>
      <vt:variant>
        <vt:lpwstr>_Toc406742835</vt:lpwstr>
      </vt:variant>
      <vt:variant>
        <vt:i4>1114174</vt:i4>
      </vt:variant>
      <vt:variant>
        <vt:i4>32</vt:i4>
      </vt:variant>
      <vt:variant>
        <vt:i4>0</vt:i4>
      </vt:variant>
      <vt:variant>
        <vt:i4>5</vt:i4>
      </vt:variant>
      <vt:variant>
        <vt:lpwstr/>
      </vt:variant>
      <vt:variant>
        <vt:lpwstr>_Toc406742834</vt:lpwstr>
      </vt:variant>
      <vt:variant>
        <vt:i4>1114174</vt:i4>
      </vt:variant>
      <vt:variant>
        <vt:i4>26</vt:i4>
      </vt:variant>
      <vt:variant>
        <vt:i4>0</vt:i4>
      </vt:variant>
      <vt:variant>
        <vt:i4>5</vt:i4>
      </vt:variant>
      <vt:variant>
        <vt:lpwstr/>
      </vt:variant>
      <vt:variant>
        <vt:lpwstr>_Toc406742833</vt:lpwstr>
      </vt:variant>
      <vt:variant>
        <vt:i4>1114174</vt:i4>
      </vt:variant>
      <vt:variant>
        <vt:i4>20</vt:i4>
      </vt:variant>
      <vt:variant>
        <vt:i4>0</vt:i4>
      </vt:variant>
      <vt:variant>
        <vt:i4>5</vt:i4>
      </vt:variant>
      <vt:variant>
        <vt:lpwstr/>
      </vt:variant>
      <vt:variant>
        <vt:lpwstr>_Toc406742832</vt:lpwstr>
      </vt:variant>
      <vt:variant>
        <vt:i4>1114174</vt:i4>
      </vt:variant>
      <vt:variant>
        <vt:i4>14</vt:i4>
      </vt:variant>
      <vt:variant>
        <vt:i4>0</vt:i4>
      </vt:variant>
      <vt:variant>
        <vt:i4>5</vt:i4>
      </vt:variant>
      <vt:variant>
        <vt:lpwstr/>
      </vt:variant>
      <vt:variant>
        <vt:lpwstr>_Toc406742831</vt:lpwstr>
      </vt:variant>
      <vt:variant>
        <vt:i4>1114174</vt:i4>
      </vt:variant>
      <vt:variant>
        <vt:i4>8</vt:i4>
      </vt:variant>
      <vt:variant>
        <vt:i4>0</vt:i4>
      </vt:variant>
      <vt:variant>
        <vt:i4>5</vt:i4>
      </vt:variant>
      <vt:variant>
        <vt:lpwstr/>
      </vt:variant>
      <vt:variant>
        <vt:lpwstr>_Toc406742830</vt:lpwstr>
      </vt:variant>
      <vt:variant>
        <vt:i4>1048638</vt:i4>
      </vt:variant>
      <vt:variant>
        <vt:i4>2</vt:i4>
      </vt:variant>
      <vt:variant>
        <vt:i4>0</vt:i4>
      </vt:variant>
      <vt:variant>
        <vt:i4>5</vt:i4>
      </vt:variant>
      <vt:variant>
        <vt:lpwstr/>
      </vt:variant>
      <vt:variant>
        <vt:lpwstr>_Toc406742829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ERCOT Nodal Protocols</dc:title>
  <dc:subject>ERCOT Nodal Protocols</dc:subject>
  <dc:creator>Round 1 Homework</dc:creator>
  <cp:keywords/>
  <cp:lastModifiedBy>ERCOT</cp:lastModifiedBy>
  <cp:revision>3</cp:revision>
  <cp:lastPrinted>2000-08-14T20:10:00Z</cp:lastPrinted>
  <dcterms:created xsi:type="dcterms:W3CDTF">2021-05-29T19:41:00Z</dcterms:created>
  <dcterms:modified xsi:type="dcterms:W3CDTF">2021-05-29T19:42:00Z</dcterms:modified>
</cp:coreProperties>
</file>