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C7DC" w14:textId="77777777" w:rsidR="00E431FD" w:rsidRDefault="00E431FD">
      <w:pPr>
        <w:spacing w:before="2400"/>
        <w:jc w:val="center"/>
        <w:rPr>
          <w:b/>
          <w:sz w:val="36"/>
          <w:szCs w:val="36"/>
        </w:rPr>
      </w:pPr>
      <w:r>
        <w:rPr>
          <w:b/>
          <w:sz w:val="36"/>
        </w:rPr>
        <w:t>ERCOT Nodal Protocols</w:t>
      </w:r>
    </w:p>
    <w:p w14:paraId="3D0E4DD7" w14:textId="77777777" w:rsidR="00E431FD" w:rsidRDefault="00E431FD">
      <w:pPr>
        <w:jc w:val="center"/>
        <w:rPr>
          <w:b/>
          <w:sz w:val="36"/>
          <w:szCs w:val="36"/>
        </w:rPr>
      </w:pPr>
    </w:p>
    <w:p w14:paraId="68CD01F3" w14:textId="77777777" w:rsidR="00E431FD" w:rsidRDefault="00E431FD" w:rsidP="005A7F14">
      <w:pPr>
        <w:spacing w:after="240"/>
        <w:jc w:val="center"/>
        <w:rPr>
          <w:b/>
          <w:sz w:val="36"/>
          <w:szCs w:val="36"/>
        </w:rPr>
      </w:pPr>
      <w:r>
        <w:rPr>
          <w:b/>
          <w:sz w:val="36"/>
          <w:szCs w:val="36"/>
        </w:rPr>
        <w:t>Section 20:  Alternative Dispute Resolution Procedure</w:t>
      </w:r>
      <w:r w:rsidR="00636D4C">
        <w:rPr>
          <w:b/>
          <w:sz w:val="36"/>
          <w:szCs w:val="36"/>
        </w:rPr>
        <w:t xml:space="preserve"> and Procedure for Return of Settlement Funds</w:t>
      </w:r>
    </w:p>
    <w:p w14:paraId="1BD0C71C" w14:textId="77777777" w:rsidR="00E431FD" w:rsidRPr="005A7F14" w:rsidRDefault="00E431FD">
      <w:pPr>
        <w:jc w:val="center"/>
        <w:rPr>
          <w:b/>
          <w:sz w:val="22"/>
          <w:szCs w:val="22"/>
        </w:rPr>
      </w:pPr>
    </w:p>
    <w:p w14:paraId="33732C01" w14:textId="134CA341" w:rsidR="00E431FD" w:rsidRDefault="00E25FED">
      <w:pPr>
        <w:spacing w:before="360"/>
        <w:jc w:val="center"/>
        <w:rPr>
          <w:b/>
        </w:rPr>
      </w:pPr>
      <w:r>
        <w:rPr>
          <w:b/>
        </w:rPr>
        <w:t>November</w:t>
      </w:r>
      <w:r w:rsidR="006B7E0F">
        <w:rPr>
          <w:b/>
        </w:rPr>
        <w:t xml:space="preserve"> </w:t>
      </w:r>
      <w:r w:rsidR="00FE313A">
        <w:rPr>
          <w:b/>
        </w:rPr>
        <w:t>1</w:t>
      </w:r>
      <w:r w:rsidR="0022221E">
        <w:rPr>
          <w:b/>
        </w:rPr>
        <w:t>, 20</w:t>
      </w:r>
      <w:r w:rsidR="009E4A77">
        <w:rPr>
          <w:b/>
        </w:rPr>
        <w:t>2</w:t>
      </w:r>
      <w:r w:rsidR="00E16F75">
        <w:rPr>
          <w:b/>
        </w:rPr>
        <w:t>3</w:t>
      </w:r>
    </w:p>
    <w:p w14:paraId="646BE9FE" w14:textId="77777777" w:rsidR="005A7F14" w:rsidRDefault="005A7F14" w:rsidP="005A7F14">
      <w:pPr>
        <w:spacing w:before="360"/>
        <w:jc w:val="center"/>
        <w:rPr>
          <w:b/>
        </w:rPr>
      </w:pPr>
    </w:p>
    <w:p w14:paraId="1AFCA7FE" w14:textId="77777777" w:rsidR="00E431FD" w:rsidRDefault="00E431FD" w:rsidP="005A7F14">
      <w:pPr>
        <w:pBdr>
          <w:top w:val="single" w:sz="4" w:space="1" w:color="auto"/>
        </w:pBdr>
        <w:rPr>
          <w:b/>
        </w:rPr>
      </w:pPr>
    </w:p>
    <w:p w14:paraId="69C57245" w14:textId="77777777" w:rsidR="00E431FD" w:rsidRDefault="00E431FD" w:rsidP="005A7F14">
      <w:pPr>
        <w:pBdr>
          <w:top w:val="single" w:sz="4" w:space="1" w:color="auto"/>
        </w:pBdr>
        <w:sectPr w:rsidR="00E431FD">
          <w:headerReference w:type="default" r:id="rId7"/>
          <w:footerReference w:type="even" r:id="rId8"/>
          <w:footerReference w:type="default" r:id="rId9"/>
          <w:pgSz w:w="12240" w:h="15840" w:code="1"/>
          <w:pgMar w:top="1440" w:right="1440" w:bottom="1440" w:left="1440" w:header="720" w:footer="720" w:gutter="0"/>
          <w:pgNumType w:chapStyle="1"/>
          <w:cols w:space="720"/>
        </w:sectPr>
      </w:pPr>
    </w:p>
    <w:p w14:paraId="1B46E3B3" w14:textId="139F50A9" w:rsidR="007D34AC" w:rsidRPr="007D34AC" w:rsidRDefault="00533FBB" w:rsidP="007D34AC">
      <w:pPr>
        <w:pStyle w:val="TOC1"/>
        <w:rPr>
          <w:rFonts w:asciiTheme="minorHAnsi" w:eastAsiaTheme="minorEastAsia" w:hAnsiTheme="minorHAnsi" w:cstheme="minorBidi"/>
          <w:sz w:val="22"/>
          <w:szCs w:val="22"/>
        </w:rPr>
      </w:pPr>
      <w:r w:rsidRPr="007D34AC">
        <w:lastRenderedPageBreak/>
        <w:fldChar w:fldCharType="begin"/>
      </w:r>
      <w:r w:rsidR="00E431FD" w:rsidRPr="007D34AC">
        <w:instrText xml:space="preserve"> TOC \o "1-6" \h \z \u </w:instrText>
      </w:r>
      <w:r w:rsidRPr="007D34AC">
        <w:fldChar w:fldCharType="separate"/>
      </w:r>
      <w:hyperlink w:anchor="_Toc148961526" w:history="1">
        <w:r w:rsidR="007D34AC" w:rsidRPr="007D34AC">
          <w:rPr>
            <w:rStyle w:val="Hyperlink"/>
            <w:u w:val="none"/>
          </w:rPr>
          <w:t>20</w:t>
        </w:r>
        <w:r w:rsidR="007D34AC" w:rsidRPr="007D34AC">
          <w:rPr>
            <w:rFonts w:asciiTheme="minorHAnsi" w:eastAsiaTheme="minorEastAsia" w:hAnsiTheme="minorHAnsi" w:cstheme="minorBidi"/>
            <w:sz w:val="22"/>
            <w:szCs w:val="22"/>
          </w:rPr>
          <w:tab/>
        </w:r>
        <w:r w:rsidR="007D34AC" w:rsidRPr="007D34AC">
          <w:rPr>
            <w:rStyle w:val="Hyperlink"/>
            <w:u w:val="none"/>
          </w:rPr>
          <w:t xml:space="preserve">Alternative Dispute Resolution Procedure and Procedure for </w:t>
        </w:r>
        <w:r w:rsidR="007D34AC">
          <w:rPr>
            <w:rStyle w:val="Hyperlink"/>
            <w:u w:val="none"/>
          </w:rPr>
          <w:t>R</w:t>
        </w:r>
        <w:r w:rsidR="007D34AC" w:rsidRPr="007D34AC">
          <w:rPr>
            <w:rStyle w:val="Hyperlink"/>
            <w:u w:val="none"/>
          </w:rPr>
          <w:t xml:space="preserve">eturn of </w:t>
        </w:r>
        <w:r w:rsidR="007D34AC">
          <w:rPr>
            <w:rStyle w:val="Hyperlink"/>
            <w:u w:val="none"/>
          </w:rPr>
          <w:t>S</w:t>
        </w:r>
        <w:r w:rsidR="007D34AC" w:rsidRPr="007D34AC">
          <w:rPr>
            <w:rStyle w:val="Hyperlink"/>
            <w:u w:val="none"/>
          </w:rPr>
          <w:t>ettlement Funds</w:t>
        </w:r>
        <w:r w:rsidR="007D34AC" w:rsidRPr="007D34AC">
          <w:rPr>
            <w:webHidden/>
          </w:rPr>
          <w:tab/>
          <w:t>20-</w:t>
        </w:r>
        <w:r w:rsidR="007D34AC" w:rsidRPr="007D34AC">
          <w:rPr>
            <w:webHidden/>
          </w:rPr>
          <w:fldChar w:fldCharType="begin"/>
        </w:r>
        <w:r w:rsidR="007D34AC" w:rsidRPr="007D34AC">
          <w:rPr>
            <w:webHidden/>
          </w:rPr>
          <w:instrText xml:space="preserve"> PAGEREF _Toc148961526 \h </w:instrText>
        </w:r>
        <w:r w:rsidR="007D34AC" w:rsidRPr="007D34AC">
          <w:rPr>
            <w:webHidden/>
          </w:rPr>
        </w:r>
        <w:r w:rsidR="007D34AC" w:rsidRPr="007D34AC">
          <w:rPr>
            <w:webHidden/>
          </w:rPr>
          <w:fldChar w:fldCharType="separate"/>
        </w:r>
        <w:r w:rsidR="007D34AC" w:rsidRPr="007D34AC">
          <w:rPr>
            <w:webHidden/>
          </w:rPr>
          <w:t>1</w:t>
        </w:r>
        <w:r w:rsidR="007D34AC" w:rsidRPr="007D34AC">
          <w:rPr>
            <w:webHidden/>
          </w:rPr>
          <w:fldChar w:fldCharType="end"/>
        </w:r>
      </w:hyperlink>
    </w:p>
    <w:p w14:paraId="099A0047" w14:textId="36D70E24" w:rsidR="007D34AC" w:rsidRPr="007D34AC" w:rsidRDefault="007D34AC">
      <w:pPr>
        <w:pStyle w:val="TOC2"/>
        <w:rPr>
          <w:rFonts w:asciiTheme="minorHAnsi" w:eastAsiaTheme="minorEastAsia" w:hAnsiTheme="minorHAnsi" w:cstheme="minorBidi"/>
          <w:noProof/>
          <w:sz w:val="22"/>
          <w:szCs w:val="22"/>
        </w:rPr>
      </w:pPr>
      <w:hyperlink w:anchor="_Toc148961527" w:history="1">
        <w:r w:rsidRPr="007D34AC">
          <w:rPr>
            <w:rStyle w:val="Hyperlink"/>
            <w:noProof/>
            <w:u w:val="none"/>
          </w:rPr>
          <w:t>20.1</w:t>
        </w:r>
        <w:r w:rsidRPr="007D34AC">
          <w:rPr>
            <w:rFonts w:asciiTheme="minorHAnsi" w:eastAsiaTheme="minorEastAsia" w:hAnsiTheme="minorHAnsi" w:cstheme="minorBidi"/>
            <w:noProof/>
            <w:sz w:val="22"/>
            <w:szCs w:val="22"/>
          </w:rPr>
          <w:tab/>
        </w:r>
        <w:r w:rsidRPr="007D34AC">
          <w:rPr>
            <w:rStyle w:val="Hyperlink"/>
            <w:noProof/>
            <w:u w:val="none"/>
          </w:rPr>
          <w:t>Applicability</w:t>
        </w:r>
        <w:r w:rsidRPr="007D34AC">
          <w:rPr>
            <w:noProof/>
            <w:webHidden/>
          </w:rPr>
          <w:tab/>
          <w:t>20-</w:t>
        </w:r>
        <w:r w:rsidRPr="007D34AC">
          <w:rPr>
            <w:noProof/>
            <w:webHidden/>
          </w:rPr>
          <w:fldChar w:fldCharType="begin"/>
        </w:r>
        <w:r w:rsidRPr="007D34AC">
          <w:rPr>
            <w:noProof/>
            <w:webHidden/>
          </w:rPr>
          <w:instrText xml:space="preserve"> PAGEREF _Toc148961527 \h </w:instrText>
        </w:r>
        <w:r w:rsidRPr="007D34AC">
          <w:rPr>
            <w:noProof/>
            <w:webHidden/>
          </w:rPr>
        </w:r>
        <w:r w:rsidRPr="007D34AC">
          <w:rPr>
            <w:noProof/>
            <w:webHidden/>
          </w:rPr>
          <w:fldChar w:fldCharType="separate"/>
        </w:r>
        <w:r w:rsidRPr="007D34AC">
          <w:rPr>
            <w:noProof/>
            <w:webHidden/>
          </w:rPr>
          <w:t>1</w:t>
        </w:r>
        <w:r w:rsidRPr="007D34AC">
          <w:rPr>
            <w:noProof/>
            <w:webHidden/>
          </w:rPr>
          <w:fldChar w:fldCharType="end"/>
        </w:r>
      </w:hyperlink>
    </w:p>
    <w:p w14:paraId="74096ABF" w14:textId="11D13474" w:rsidR="007D34AC" w:rsidRPr="007D34AC" w:rsidRDefault="007D34AC">
      <w:pPr>
        <w:pStyle w:val="TOC2"/>
        <w:rPr>
          <w:rFonts w:asciiTheme="minorHAnsi" w:eastAsiaTheme="minorEastAsia" w:hAnsiTheme="minorHAnsi" w:cstheme="minorBidi"/>
          <w:noProof/>
          <w:sz w:val="22"/>
          <w:szCs w:val="22"/>
        </w:rPr>
      </w:pPr>
      <w:hyperlink w:anchor="_Toc148961528" w:history="1">
        <w:r w:rsidRPr="007D34AC">
          <w:rPr>
            <w:rStyle w:val="Hyperlink"/>
            <w:noProof/>
            <w:u w:val="none"/>
          </w:rPr>
          <w:t>20.2</w:t>
        </w:r>
        <w:r w:rsidRPr="007D34AC">
          <w:rPr>
            <w:rFonts w:asciiTheme="minorHAnsi" w:eastAsiaTheme="minorEastAsia" w:hAnsiTheme="minorHAnsi" w:cstheme="minorBidi"/>
            <w:noProof/>
            <w:sz w:val="22"/>
            <w:szCs w:val="22"/>
          </w:rPr>
          <w:tab/>
        </w:r>
        <w:r w:rsidRPr="007D34AC">
          <w:rPr>
            <w:rStyle w:val="Hyperlink"/>
            <w:noProof/>
            <w:u w:val="none"/>
          </w:rPr>
          <w:t>Deadline for Initiating ADR Proceeding</w:t>
        </w:r>
        <w:r w:rsidRPr="007D34AC">
          <w:rPr>
            <w:noProof/>
            <w:webHidden/>
          </w:rPr>
          <w:tab/>
        </w:r>
        <w:r w:rsidRPr="007D34AC">
          <w:rPr>
            <w:noProof/>
            <w:webHidden/>
          </w:rPr>
          <w:t>20-</w:t>
        </w:r>
        <w:r w:rsidRPr="007D34AC">
          <w:rPr>
            <w:noProof/>
            <w:webHidden/>
          </w:rPr>
          <w:fldChar w:fldCharType="begin"/>
        </w:r>
        <w:r w:rsidRPr="007D34AC">
          <w:rPr>
            <w:noProof/>
            <w:webHidden/>
          </w:rPr>
          <w:instrText xml:space="preserve"> PAGEREF _Toc148961528 \h </w:instrText>
        </w:r>
        <w:r w:rsidRPr="007D34AC">
          <w:rPr>
            <w:noProof/>
            <w:webHidden/>
          </w:rPr>
        </w:r>
        <w:r w:rsidRPr="007D34AC">
          <w:rPr>
            <w:noProof/>
            <w:webHidden/>
          </w:rPr>
          <w:fldChar w:fldCharType="separate"/>
        </w:r>
        <w:r w:rsidRPr="007D34AC">
          <w:rPr>
            <w:noProof/>
            <w:webHidden/>
          </w:rPr>
          <w:t>2</w:t>
        </w:r>
        <w:r w:rsidRPr="007D34AC">
          <w:rPr>
            <w:noProof/>
            <w:webHidden/>
          </w:rPr>
          <w:fldChar w:fldCharType="end"/>
        </w:r>
      </w:hyperlink>
    </w:p>
    <w:p w14:paraId="2851221E" w14:textId="21D5F772" w:rsidR="007D34AC" w:rsidRPr="007D34AC" w:rsidRDefault="007D34AC">
      <w:pPr>
        <w:pStyle w:val="TOC2"/>
        <w:rPr>
          <w:rFonts w:asciiTheme="minorHAnsi" w:eastAsiaTheme="minorEastAsia" w:hAnsiTheme="minorHAnsi" w:cstheme="minorBidi"/>
          <w:noProof/>
          <w:sz w:val="22"/>
          <w:szCs w:val="22"/>
        </w:rPr>
      </w:pPr>
      <w:hyperlink w:anchor="_Toc148961529" w:history="1">
        <w:r w:rsidRPr="007D34AC">
          <w:rPr>
            <w:rStyle w:val="Hyperlink"/>
            <w:noProof/>
            <w:u w:val="none"/>
          </w:rPr>
          <w:t>20.3</w:t>
        </w:r>
        <w:r w:rsidRPr="007D34AC">
          <w:rPr>
            <w:rFonts w:asciiTheme="minorHAnsi" w:eastAsiaTheme="minorEastAsia" w:hAnsiTheme="minorHAnsi" w:cstheme="minorBidi"/>
            <w:noProof/>
            <w:sz w:val="22"/>
            <w:szCs w:val="22"/>
          </w:rPr>
          <w:tab/>
        </w:r>
        <w:r w:rsidRPr="007D34AC">
          <w:rPr>
            <w:rStyle w:val="Hyperlink"/>
            <w:noProof/>
            <w:u w:val="none"/>
          </w:rPr>
          <w:t>Exhaustion of Other Dispute Resolution Procedures</w:t>
        </w:r>
        <w:r w:rsidRPr="007D34AC">
          <w:rPr>
            <w:noProof/>
            <w:webHidden/>
          </w:rPr>
          <w:tab/>
        </w:r>
        <w:r w:rsidRPr="007D34AC">
          <w:rPr>
            <w:noProof/>
            <w:webHidden/>
          </w:rPr>
          <w:t>20-</w:t>
        </w:r>
        <w:r w:rsidRPr="007D34AC">
          <w:rPr>
            <w:noProof/>
            <w:webHidden/>
          </w:rPr>
          <w:fldChar w:fldCharType="begin"/>
        </w:r>
        <w:r w:rsidRPr="007D34AC">
          <w:rPr>
            <w:noProof/>
            <w:webHidden/>
          </w:rPr>
          <w:instrText xml:space="preserve"> PAGEREF _Toc148961529 \h </w:instrText>
        </w:r>
        <w:r w:rsidRPr="007D34AC">
          <w:rPr>
            <w:noProof/>
            <w:webHidden/>
          </w:rPr>
        </w:r>
        <w:r w:rsidRPr="007D34AC">
          <w:rPr>
            <w:noProof/>
            <w:webHidden/>
          </w:rPr>
          <w:fldChar w:fldCharType="separate"/>
        </w:r>
        <w:r w:rsidRPr="007D34AC">
          <w:rPr>
            <w:noProof/>
            <w:webHidden/>
          </w:rPr>
          <w:t>2</w:t>
        </w:r>
        <w:r w:rsidRPr="007D34AC">
          <w:rPr>
            <w:noProof/>
            <w:webHidden/>
          </w:rPr>
          <w:fldChar w:fldCharType="end"/>
        </w:r>
      </w:hyperlink>
    </w:p>
    <w:p w14:paraId="4B968EC6" w14:textId="71D4FC12" w:rsidR="007D34AC" w:rsidRPr="007D34AC" w:rsidRDefault="007D34AC">
      <w:pPr>
        <w:pStyle w:val="TOC2"/>
        <w:rPr>
          <w:rFonts w:asciiTheme="minorHAnsi" w:eastAsiaTheme="minorEastAsia" w:hAnsiTheme="minorHAnsi" w:cstheme="minorBidi"/>
          <w:noProof/>
          <w:sz w:val="22"/>
          <w:szCs w:val="22"/>
        </w:rPr>
      </w:pPr>
      <w:hyperlink w:anchor="_Toc148961530" w:history="1">
        <w:r w:rsidRPr="007D34AC">
          <w:rPr>
            <w:rStyle w:val="Hyperlink"/>
            <w:noProof/>
            <w:u w:val="none"/>
          </w:rPr>
          <w:t>20.4</w:t>
        </w:r>
        <w:r w:rsidRPr="007D34AC">
          <w:rPr>
            <w:rFonts w:asciiTheme="minorHAnsi" w:eastAsiaTheme="minorEastAsia" w:hAnsiTheme="minorHAnsi" w:cstheme="minorBidi"/>
            <w:noProof/>
            <w:sz w:val="22"/>
            <w:szCs w:val="22"/>
          </w:rPr>
          <w:tab/>
        </w:r>
        <w:r w:rsidRPr="007D34AC">
          <w:rPr>
            <w:rStyle w:val="Hyperlink"/>
            <w:noProof/>
            <w:u w:val="none"/>
          </w:rPr>
          <w:t>Initiation of ADR Proceedings</w:t>
        </w:r>
        <w:r w:rsidRPr="007D34AC">
          <w:rPr>
            <w:noProof/>
            <w:webHidden/>
          </w:rPr>
          <w:tab/>
        </w:r>
        <w:r w:rsidRPr="007D34AC">
          <w:rPr>
            <w:noProof/>
            <w:webHidden/>
          </w:rPr>
          <w:t>20-</w:t>
        </w:r>
        <w:r w:rsidRPr="007D34AC">
          <w:rPr>
            <w:noProof/>
            <w:webHidden/>
          </w:rPr>
          <w:fldChar w:fldCharType="begin"/>
        </w:r>
        <w:r w:rsidRPr="007D34AC">
          <w:rPr>
            <w:noProof/>
            <w:webHidden/>
          </w:rPr>
          <w:instrText xml:space="preserve"> PAGEREF _Toc148961530 \h </w:instrText>
        </w:r>
        <w:r w:rsidRPr="007D34AC">
          <w:rPr>
            <w:noProof/>
            <w:webHidden/>
          </w:rPr>
        </w:r>
        <w:r w:rsidRPr="007D34AC">
          <w:rPr>
            <w:noProof/>
            <w:webHidden/>
          </w:rPr>
          <w:fldChar w:fldCharType="separate"/>
        </w:r>
        <w:r w:rsidRPr="007D34AC">
          <w:rPr>
            <w:noProof/>
            <w:webHidden/>
          </w:rPr>
          <w:t>3</w:t>
        </w:r>
        <w:r w:rsidRPr="007D34AC">
          <w:rPr>
            <w:noProof/>
            <w:webHidden/>
          </w:rPr>
          <w:fldChar w:fldCharType="end"/>
        </w:r>
      </w:hyperlink>
    </w:p>
    <w:p w14:paraId="69F00C68" w14:textId="43FD646A" w:rsidR="007D34AC" w:rsidRPr="007D34AC" w:rsidRDefault="007D34AC">
      <w:pPr>
        <w:pStyle w:val="TOC2"/>
        <w:rPr>
          <w:rFonts w:asciiTheme="minorHAnsi" w:eastAsiaTheme="minorEastAsia" w:hAnsiTheme="minorHAnsi" w:cstheme="minorBidi"/>
          <w:noProof/>
          <w:sz w:val="22"/>
          <w:szCs w:val="22"/>
        </w:rPr>
      </w:pPr>
      <w:hyperlink w:anchor="_Toc148961531" w:history="1">
        <w:r w:rsidRPr="007D34AC">
          <w:rPr>
            <w:rStyle w:val="Hyperlink"/>
            <w:noProof/>
            <w:u w:val="none"/>
          </w:rPr>
          <w:t>20.5</w:t>
        </w:r>
        <w:r w:rsidRPr="007D34AC">
          <w:rPr>
            <w:rFonts w:asciiTheme="minorHAnsi" w:eastAsiaTheme="minorEastAsia" w:hAnsiTheme="minorHAnsi" w:cstheme="minorBidi"/>
            <w:noProof/>
            <w:sz w:val="22"/>
            <w:szCs w:val="22"/>
          </w:rPr>
          <w:tab/>
        </w:r>
        <w:r w:rsidRPr="007D34AC">
          <w:rPr>
            <w:rStyle w:val="Hyperlink"/>
            <w:noProof/>
            <w:u w:val="none"/>
          </w:rPr>
          <w:t>Alternative Dispute Resolution Process</w:t>
        </w:r>
        <w:r w:rsidRPr="007D34AC">
          <w:rPr>
            <w:noProof/>
            <w:webHidden/>
          </w:rPr>
          <w:tab/>
        </w:r>
        <w:r w:rsidRPr="007D34AC">
          <w:rPr>
            <w:noProof/>
            <w:webHidden/>
          </w:rPr>
          <w:t>20-</w:t>
        </w:r>
        <w:r w:rsidRPr="007D34AC">
          <w:rPr>
            <w:noProof/>
            <w:webHidden/>
          </w:rPr>
          <w:fldChar w:fldCharType="begin"/>
        </w:r>
        <w:r w:rsidRPr="007D34AC">
          <w:rPr>
            <w:noProof/>
            <w:webHidden/>
          </w:rPr>
          <w:instrText xml:space="preserve"> PAGEREF _Toc148961531 \h </w:instrText>
        </w:r>
        <w:r w:rsidRPr="007D34AC">
          <w:rPr>
            <w:noProof/>
            <w:webHidden/>
          </w:rPr>
        </w:r>
        <w:r w:rsidRPr="007D34AC">
          <w:rPr>
            <w:noProof/>
            <w:webHidden/>
          </w:rPr>
          <w:fldChar w:fldCharType="separate"/>
        </w:r>
        <w:r w:rsidRPr="007D34AC">
          <w:rPr>
            <w:noProof/>
            <w:webHidden/>
          </w:rPr>
          <w:t>4</w:t>
        </w:r>
        <w:r w:rsidRPr="007D34AC">
          <w:rPr>
            <w:noProof/>
            <w:webHidden/>
          </w:rPr>
          <w:fldChar w:fldCharType="end"/>
        </w:r>
      </w:hyperlink>
    </w:p>
    <w:p w14:paraId="3918E0C0" w14:textId="34E15818" w:rsidR="007D34AC" w:rsidRPr="007D34AC" w:rsidRDefault="007D34AC">
      <w:pPr>
        <w:pStyle w:val="TOC2"/>
        <w:rPr>
          <w:rFonts w:asciiTheme="minorHAnsi" w:eastAsiaTheme="minorEastAsia" w:hAnsiTheme="minorHAnsi" w:cstheme="minorBidi"/>
          <w:noProof/>
          <w:sz w:val="22"/>
          <w:szCs w:val="22"/>
        </w:rPr>
      </w:pPr>
      <w:hyperlink w:anchor="_Toc148961532" w:history="1">
        <w:r w:rsidRPr="007D34AC">
          <w:rPr>
            <w:rStyle w:val="Hyperlink"/>
            <w:noProof/>
            <w:u w:val="none"/>
          </w:rPr>
          <w:t>20.6</w:t>
        </w:r>
        <w:r w:rsidRPr="007D34AC">
          <w:rPr>
            <w:rFonts w:asciiTheme="minorHAnsi" w:eastAsiaTheme="minorEastAsia" w:hAnsiTheme="minorHAnsi" w:cstheme="minorBidi"/>
            <w:noProof/>
            <w:sz w:val="22"/>
            <w:szCs w:val="22"/>
          </w:rPr>
          <w:tab/>
        </w:r>
        <w:r w:rsidRPr="007D34AC">
          <w:rPr>
            <w:rStyle w:val="Hyperlink"/>
            <w:noProof/>
            <w:u w:val="none"/>
          </w:rPr>
          <w:t>Mediation Procedures</w:t>
        </w:r>
        <w:r w:rsidRPr="007D34AC">
          <w:rPr>
            <w:noProof/>
            <w:webHidden/>
          </w:rPr>
          <w:tab/>
        </w:r>
        <w:r w:rsidRPr="007D34AC">
          <w:rPr>
            <w:noProof/>
            <w:webHidden/>
          </w:rPr>
          <w:t>20-</w:t>
        </w:r>
        <w:r w:rsidRPr="007D34AC">
          <w:rPr>
            <w:noProof/>
            <w:webHidden/>
          </w:rPr>
          <w:fldChar w:fldCharType="begin"/>
        </w:r>
        <w:r w:rsidRPr="007D34AC">
          <w:rPr>
            <w:noProof/>
            <w:webHidden/>
          </w:rPr>
          <w:instrText xml:space="preserve"> PAGEREF _Toc148961532 \h </w:instrText>
        </w:r>
        <w:r w:rsidRPr="007D34AC">
          <w:rPr>
            <w:noProof/>
            <w:webHidden/>
          </w:rPr>
        </w:r>
        <w:r w:rsidRPr="007D34AC">
          <w:rPr>
            <w:noProof/>
            <w:webHidden/>
          </w:rPr>
          <w:fldChar w:fldCharType="separate"/>
        </w:r>
        <w:r w:rsidRPr="007D34AC">
          <w:rPr>
            <w:noProof/>
            <w:webHidden/>
          </w:rPr>
          <w:t>5</w:t>
        </w:r>
        <w:r w:rsidRPr="007D34AC">
          <w:rPr>
            <w:noProof/>
            <w:webHidden/>
          </w:rPr>
          <w:fldChar w:fldCharType="end"/>
        </w:r>
      </w:hyperlink>
    </w:p>
    <w:p w14:paraId="0A72FFF8" w14:textId="68E85A69" w:rsidR="007D34AC" w:rsidRPr="007D34AC" w:rsidRDefault="007D34AC">
      <w:pPr>
        <w:pStyle w:val="TOC2"/>
        <w:rPr>
          <w:rFonts w:asciiTheme="minorHAnsi" w:eastAsiaTheme="minorEastAsia" w:hAnsiTheme="minorHAnsi" w:cstheme="minorBidi"/>
          <w:noProof/>
          <w:sz w:val="22"/>
          <w:szCs w:val="22"/>
        </w:rPr>
      </w:pPr>
      <w:hyperlink w:anchor="_Toc148961533" w:history="1">
        <w:r w:rsidRPr="007D34AC">
          <w:rPr>
            <w:rStyle w:val="Hyperlink"/>
            <w:noProof/>
            <w:u w:val="none"/>
          </w:rPr>
          <w:t>20.7</w:t>
        </w:r>
        <w:r w:rsidRPr="007D34AC">
          <w:rPr>
            <w:rFonts w:asciiTheme="minorHAnsi" w:eastAsiaTheme="minorEastAsia" w:hAnsiTheme="minorHAnsi" w:cstheme="minorBidi"/>
            <w:noProof/>
            <w:sz w:val="22"/>
            <w:szCs w:val="22"/>
          </w:rPr>
          <w:tab/>
        </w:r>
        <w:r w:rsidRPr="007D34AC">
          <w:rPr>
            <w:rStyle w:val="Hyperlink"/>
            <w:noProof/>
            <w:u w:val="none"/>
          </w:rPr>
          <w:t>Alternative Dispute Resolution Costs and Return of Settlement Funds</w:t>
        </w:r>
        <w:r w:rsidRPr="007D34AC">
          <w:rPr>
            <w:noProof/>
            <w:webHidden/>
          </w:rPr>
          <w:tab/>
        </w:r>
        <w:r w:rsidRPr="007D34AC">
          <w:rPr>
            <w:noProof/>
            <w:webHidden/>
          </w:rPr>
          <w:t>20-</w:t>
        </w:r>
        <w:r w:rsidRPr="007D34AC">
          <w:rPr>
            <w:noProof/>
            <w:webHidden/>
          </w:rPr>
          <w:fldChar w:fldCharType="begin"/>
        </w:r>
        <w:r w:rsidRPr="007D34AC">
          <w:rPr>
            <w:noProof/>
            <w:webHidden/>
          </w:rPr>
          <w:instrText xml:space="preserve"> PAGEREF _Toc148961533 \h </w:instrText>
        </w:r>
        <w:r w:rsidRPr="007D34AC">
          <w:rPr>
            <w:noProof/>
            <w:webHidden/>
          </w:rPr>
        </w:r>
        <w:r w:rsidRPr="007D34AC">
          <w:rPr>
            <w:noProof/>
            <w:webHidden/>
          </w:rPr>
          <w:fldChar w:fldCharType="separate"/>
        </w:r>
        <w:r w:rsidRPr="007D34AC">
          <w:rPr>
            <w:noProof/>
            <w:webHidden/>
          </w:rPr>
          <w:t>6</w:t>
        </w:r>
        <w:r w:rsidRPr="007D34AC">
          <w:rPr>
            <w:noProof/>
            <w:webHidden/>
          </w:rPr>
          <w:fldChar w:fldCharType="end"/>
        </w:r>
      </w:hyperlink>
    </w:p>
    <w:p w14:paraId="78D274E1" w14:textId="5877042F" w:rsidR="007D34AC" w:rsidRPr="007D34AC" w:rsidRDefault="007D34AC">
      <w:pPr>
        <w:pStyle w:val="TOC2"/>
        <w:rPr>
          <w:rFonts w:asciiTheme="minorHAnsi" w:eastAsiaTheme="minorEastAsia" w:hAnsiTheme="minorHAnsi" w:cstheme="minorBidi"/>
          <w:noProof/>
          <w:sz w:val="22"/>
          <w:szCs w:val="22"/>
        </w:rPr>
      </w:pPr>
      <w:hyperlink w:anchor="_Toc148961534" w:history="1">
        <w:r w:rsidRPr="007D34AC">
          <w:rPr>
            <w:rStyle w:val="Hyperlink"/>
            <w:noProof/>
            <w:u w:val="none"/>
          </w:rPr>
          <w:t>20.8</w:t>
        </w:r>
        <w:r w:rsidRPr="007D34AC">
          <w:rPr>
            <w:rFonts w:asciiTheme="minorHAnsi" w:eastAsiaTheme="minorEastAsia" w:hAnsiTheme="minorHAnsi" w:cstheme="minorBidi"/>
            <w:noProof/>
            <w:sz w:val="22"/>
            <w:szCs w:val="22"/>
          </w:rPr>
          <w:tab/>
        </w:r>
        <w:r w:rsidRPr="007D34AC">
          <w:rPr>
            <w:rStyle w:val="Hyperlink"/>
            <w:noProof/>
            <w:u w:val="none"/>
          </w:rPr>
          <w:t>Requests for Documents and Data</w:t>
        </w:r>
        <w:r w:rsidRPr="007D34AC">
          <w:rPr>
            <w:noProof/>
            <w:webHidden/>
          </w:rPr>
          <w:tab/>
        </w:r>
        <w:r w:rsidRPr="007D34AC">
          <w:rPr>
            <w:noProof/>
            <w:webHidden/>
          </w:rPr>
          <w:t>20-</w:t>
        </w:r>
        <w:r w:rsidRPr="007D34AC">
          <w:rPr>
            <w:noProof/>
            <w:webHidden/>
          </w:rPr>
          <w:fldChar w:fldCharType="begin"/>
        </w:r>
        <w:r w:rsidRPr="007D34AC">
          <w:rPr>
            <w:noProof/>
            <w:webHidden/>
          </w:rPr>
          <w:instrText xml:space="preserve"> PAGEREF _Toc148961534 \h </w:instrText>
        </w:r>
        <w:r w:rsidRPr="007D34AC">
          <w:rPr>
            <w:noProof/>
            <w:webHidden/>
          </w:rPr>
        </w:r>
        <w:r w:rsidRPr="007D34AC">
          <w:rPr>
            <w:noProof/>
            <w:webHidden/>
          </w:rPr>
          <w:fldChar w:fldCharType="separate"/>
        </w:r>
        <w:r w:rsidRPr="007D34AC">
          <w:rPr>
            <w:noProof/>
            <w:webHidden/>
          </w:rPr>
          <w:t>6</w:t>
        </w:r>
        <w:r w:rsidRPr="007D34AC">
          <w:rPr>
            <w:noProof/>
            <w:webHidden/>
          </w:rPr>
          <w:fldChar w:fldCharType="end"/>
        </w:r>
      </w:hyperlink>
    </w:p>
    <w:p w14:paraId="3CDAC6E3" w14:textId="64A2E6A4" w:rsidR="007D34AC" w:rsidRPr="007D34AC" w:rsidRDefault="007D34AC">
      <w:pPr>
        <w:pStyle w:val="TOC2"/>
        <w:rPr>
          <w:rFonts w:asciiTheme="minorHAnsi" w:eastAsiaTheme="minorEastAsia" w:hAnsiTheme="minorHAnsi" w:cstheme="minorBidi"/>
          <w:noProof/>
          <w:sz w:val="22"/>
          <w:szCs w:val="22"/>
        </w:rPr>
      </w:pPr>
      <w:hyperlink w:anchor="_Toc148961535" w:history="1">
        <w:r w:rsidRPr="007D34AC">
          <w:rPr>
            <w:rStyle w:val="Hyperlink"/>
            <w:noProof/>
            <w:u w:val="none"/>
          </w:rPr>
          <w:t>20.9</w:t>
        </w:r>
        <w:r w:rsidRPr="007D34AC">
          <w:rPr>
            <w:rFonts w:asciiTheme="minorHAnsi" w:eastAsiaTheme="minorEastAsia" w:hAnsiTheme="minorHAnsi" w:cstheme="minorBidi"/>
            <w:noProof/>
            <w:sz w:val="22"/>
            <w:szCs w:val="22"/>
          </w:rPr>
          <w:tab/>
        </w:r>
        <w:r w:rsidRPr="007D34AC">
          <w:rPr>
            <w:rStyle w:val="Hyperlink"/>
            <w:noProof/>
            <w:u w:val="none"/>
          </w:rPr>
          <w:t>Resolution of Alternative Dispute Resolution Proceedings and Notification to Market Participants</w:t>
        </w:r>
        <w:r w:rsidRPr="007D34AC">
          <w:rPr>
            <w:noProof/>
            <w:webHidden/>
          </w:rPr>
          <w:tab/>
        </w:r>
        <w:r w:rsidRPr="007D34AC">
          <w:rPr>
            <w:noProof/>
            <w:webHidden/>
          </w:rPr>
          <w:t>20-</w:t>
        </w:r>
        <w:r w:rsidRPr="007D34AC">
          <w:rPr>
            <w:noProof/>
            <w:webHidden/>
          </w:rPr>
          <w:fldChar w:fldCharType="begin"/>
        </w:r>
        <w:r w:rsidRPr="007D34AC">
          <w:rPr>
            <w:noProof/>
            <w:webHidden/>
          </w:rPr>
          <w:instrText xml:space="preserve"> PAGEREF _Toc148961535 \h </w:instrText>
        </w:r>
        <w:r w:rsidRPr="007D34AC">
          <w:rPr>
            <w:noProof/>
            <w:webHidden/>
          </w:rPr>
        </w:r>
        <w:r w:rsidRPr="007D34AC">
          <w:rPr>
            <w:noProof/>
            <w:webHidden/>
          </w:rPr>
          <w:fldChar w:fldCharType="separate"/>
        </w:r>
        <w:r w:rsidRPr="007D34AC">
          <w:rPr>
            <w:noProof/>
            <w:webHidden/>
          </w:rPr>
          <w:t>6</w:t>
        </w:r>
        <w:r w:rsidRPr="007D34AC">
          <w:rPr>
            <w:noProof/>
            <w:webHidden/>
          </w:rPr>
          <w:fldChar w:fldCharType="end"/>
        </w:r>
      </w:hyperlink>
    </w:p>
    <w:p w14:paraId="300CC2B7" w14:textId="62E5BAEE" w:rsidR="007D34AC" w:rsidRPr="007D34AC" w:rsidRDefault="007D34AC">
      <w:pPr>
        <w:pStyle w:val="TOC2"/>
        <w:rPr>
          <w:rFonts w:asciiTheme="minorHAnsi" w:eastAsiaTheme="minorEastAsia" w:hAnsiTheme="minorHAnsi" w:cstheme="minorBidi"/>
          <w:noProof/>
          <w:sz w:val="22"/>
          <w:szCs w:val="22"/>
        </w:rPr>
      </w:pPr>
      <w:hyperlink w:anchor="_Toc148961536" w:history="1">
        <w:r w:rsidRPr="007D34AC">
          <w:rPr>
            <w:rStyle w:val="Hyperlink"/>
            <w:noProof/>
            <w:u w:val="none"/>
          </w:rPr>
          <w:t>20.10</w:t>
        </w:r>
        <w:r w:rsidRPr="007D34AC">
          <w:rPr>
            <w:rFonts w:asciiTheme="minorHAnsi" w:eastAsiaTheme="minorEastAsia" w:hAnsiTheme="minorHAnsi" w:cstheme="minorBidi"/>
            <w:noProof/>
            <w:sz w:val="22"/>
            <w:szCs w:val="22"/>
          </w:rPr>
          <w:tab/>
        </w:r>
        <w:r w:rsidRPr="007D34AC">
          <w:rPr>
            <w:rStyle w:val="Hyperlink"/>
            <w:noProof/>
            <w:u w:val="none"/>
          </w:rPr>
          <w:t>Return of Settlement Funds by a Qualified Scheduling Entity or Congestion Revenue Right Account Holder to ERCOT</w:t>
        </w:r>
        <w:r w:rsidRPr="007D34AC">
          <w:rPr>
            <w:noProof/>
            <w:webHidden/>
          </w:rPr>
          <w:tab/>
        </w:r>
        <w:r w:rsidRPr="007D34AC">
          <w:rPr>
            <w:noProof/>
            <w:webHidden/>
          </w:rPr>
          <w:t>20-</w:t>
        </w:r>
        <w:r w:rsidRPr="007D34AC">
          <w:rPr>
            <w:noProof/>
            <w:webHidden/>
          </w:rPr>
          <w:fldChar w:fldCharType="begin"/>
        </w:r>
        <w:r w:rsidRPr="007D34AC">
          <w:rPr>
            <w:noProof/>
            <w:webHidden/>
          </w:rPr>
          <w:instrText xml:space="preserve"> PAGEREF _Toc148961536 \h </w:instrText>
        </w:r>
        <w:r w:rsidRPr="007D34AC">
          <w:rPr>
            <w:noProof/>
            <w:webHidden/>
          </w:rPr>
        </w:r>
        <w:r w:rsidRPr="007D34AC">
          <w:rPr>
            <w:noProof/>
            <w:webHidden/>
          </w:rPr>
          <w:fldChar w:fldCharType="separate"/>
        </w:r>
        <w:r w:rsidRPr="007D34AC">
          <w:rPr>
            <w:noProof/>
            <w:webHidden/>
          </w:rPr>
          <w:t>7</w:t>
        </w:r>
        <w:r w:rsidRPr="007D34AC">
          <w:rPr>
            <w:noProof/>
            <w:webHidden/>
          </w:rPr>
          <w:fldChar w:fldCharType="end"/>
        </w:r>
      </w:hyperlink>
    </w:p>
    <w:p w14:paraId="7496AE8F" w14:textId="7B2A94D2" w:rsidR="007D34AC" w:rsidRPr="007D34AC" w:rsidRDefault="007D34AC">
      <w:pPr>
        <w:pStyle w:val="TOC3"/>
        <w:rPr>
          <w:rFonts w:asciiTheme="minorHAnsi" w:eastAsiaTheme="minorEastAsia" w:hAnsiTheme="minorHAnsi" w:cstheme="minorBidi"/>
          <w:i w:val="0"/>
          <w:iCs w:val="0"/>
          <w:noProof/>
          <w:sz w:val="22"/>
          <w:szCs w:val="22"/>
        </w:rPr>
      </w:pPr>
      <w:hyperlink w:anchor="_Toc148961537" w:history="1">
        <w:r w:rsidRPr="007D34AC">
          <w:rPr>
            <w:rStyle w:val="Hyperlink"/>
            <w:i w:val="0"/>
            <w:iCs w:val="0"/>
            <w:noProof/>
            <w:u w:val="none"/>
          </w:rPr>
          <w:t>20.10.1</w:t>
        </w:r>
        <w:r w:rsidRPr="007D34AC">
          <w:rPr>
            <w:rFonts w:asciiTheme="minorHAnsi" w:eastAsiaTheme="minorEastAsia" w:hAnsiTheme="minorHAnsi" w:cstheme="minorBidi"/>
            <w:i w:val="0"/>
            <w:iCs w:val="0"/>
            <w:noProof/>
            <w:sz w:val="22"/>
            <w:szCs w:val="22"/>
          </w:rPr>
          <w:tab/>
        </w:r>
        <w:r w:rsidRPr="007D34AC">
          <w:rPr>
            <w:rStyle w:val="Hyperlink"/>
            <w:i w:val="0"/>
            <w:iCs w:val="0"/>
            <w:noProof/>
            <w:u w:val="none"/>
          </w:rPr>
          <w:t>Applicability</w:t>
        </w:r>
        <w:r w:rsidRPr="007D34AC">
          <w:rPr>
            <w:i w:val="0"/>
            <w:iCs w:val="0"/>
            <w:noProof/>
            <w:webHidden/>
          </w:rPr>
          <w:tab/>
        </w:r>
        <w:r w:rsidRPr="007D34AC">
          <w:rPr>
            <w:i w:val="0"/>
            <w:iCs w:val="0"/>
            <w:noProof/>
            <w:webHidden/>
          </w:rPr>
          <w:t>20-</w:t>
        </w:r>
        <w:r w:rsidRPr="007D34AC">
          <w:rPr>
            <w:i w:val="0"/>
            <w:iCs w:val="0"/>
            <w:noProof/>
            <w:webHidden/>
          </w:rPr>
          <w:fldChar w:fldCharType="begin"/>
        </w:r>
        <w:r w:rsidRPr="007D34AC">
          <w:rPr>
            <w:i w:val="0"/>
            <w:iCs w:val="0"/>
            <w:noProof/>
            <w:webHidden/>
          </w:rPr>
          <w:instrText xml:space="preserve"> PAGEREF _Toc148961537 \h </w:instrText>
        </w:r>
        <w:r w:rsidRPr="007D34AC">
          <w:rPr>
            <w:i w:val="0"/>
            <w:iCs w:val="0"/>
            <w:noProof/>
            <w:webHidden/>
          </w:rPr>
        </w:r>
        <w:r w:rsidRPr="007D34AC">
          <w:rPr>
            <w:i w:val="0"/>
            <w:iCs w:val="0"/>
            <w:noProof/>
            <w:webHidden/>
          </w:rPr>
          <w:fldChar w:fldCharType="separate"/>
        </w:r>
        <w:r w:rsidRPr="007D34AC">
          <w:rPr>
            <w:i w:val="0"/>
            <w:iCs w:val="0"/>
            <w:noProof/>
            <w:webHidden/>
          </w:rPr>
          <w:t>7</w:t>
        </w:r>
        <w:r w:rsidRPr="007D34AC">
          <w:rPr>
            <w:i w:val="0"/>
            <w:iCs w:val="0"/>
            <w:noProof/>
            <w:webHidden/>
          </w:rPr>
          <w:fldChar w:fldCharType="end"/>
        </w:r>
      </w:hyperlink>
    </w:p>
    <w:p w14:paraId="53B39A1C" w14:textId="22411D92" w:rsidR="007D34AC" w:rsidRPr="007D34AC" w:rsidRDefault="007D34AC">
      <w:pPr>
        <w:pStyle w:val="TOC3"/>
        <w:rPr>
          <w:rFonts w:asciiTheme="minorHAnsi" w:eastAsiaTheme="minorEastAsia" w:hAnsiTheme="minorHAnsi" w:cstheme="minorBidi"/>
          <w:i w:val="0"/>
          <w:iCs w:val="0"/>
          <w:noProof/>
          <w:sz w:val="22"/>
          <w:szCs w:val="22"/>
        </w:rPr>
      </w:pPr>
      <w:hyperlink w:anchor="_Toc148961538" w:history="1">
        <w:r w:rsidRPr="007D34AC">
          <w:rPr>
            <w:rStyle w:val="Hyperlink"/>
            <w:i w:val="0"/>
            <w:iCs w:val="0"/>
            <w:noProof/>
            <w:u w:val="none"/>
          </w:rPr>
          <w:t>20.10.2</w:t>
        </w:r>
        <w:r w:rsidRPr="007D34AC">
          <w:rPr>
            <w:rFonts w:asciiTheme="minorHAnsi" w:eastAsiaTheme="minorEastAsia" w:hAnsiTheme="minorHAnsi" w:cstheme="minorBidi"/>
            <w:i w:val="0"/>
            <w:iCs w:val="0"/>
            <w:noProof/>
            <w:sz w:val="22"/>
            <w:szCs w:val="22"/>
          </w:rPr>
          <w:tab/>
        </w:r>
        <w:r w:rsidRPr="007D34AC">
          <w:rPr>
            <w:rStyle w:val="Hyperlink"/>
            <w:i w:val="0"/>
            <w:iCs w:val="0"/>
            <w:noProof/>
            <w:u w:val="none"/>
          </w:rPr>
          <w:t>Initiation of Return of Settlement Funds</w:t>
        </w:r>
        <w:r w:rsidRPr="007D34AC">
          <w:rPr>
            <w:i w:val="0"/>
            <w:iCs w:val="0"/>
            <w:noProof/>
            <w:webHidden/>
          </w:rPr>
          <w:tab/>
        </w:r>
        <w:r w:rsidRPr="007D34AC">
          <w:rPr>
            <w:i w:val="0"/>
            <w:iCs w:val="0"/>
            <w:noProof/>
            <w:webHidden/>
          </w:rPr>
          <w:t>20-</w:t>
        </w:r>
        <w:r w:rsidRPr="007D34AC">
          <w:rPr>
            <w:i w:val="0"/>
            <w:iCs w:val="0"/>
            <w:noProof/>
            <w:webHidden/>
          </w:rPr>
          <w:fldChar w:fldCharType="begin"/>
        </w:r>
        <w:r w:rsidRPr="007D34AC">
          <w:rPr>
            <w:i w:val="0"/>
            <w:iCs w:val="0"/>
            <w:noProof/>
            <w:webHidden/>
          </w:rPr>
          <w:instrText xml:space="preserve"> PAGEREF _Toc148961538 \h </w:instrText>
        </w:r>
        <w:r w:rsidRPr="007D34AC">
          <w:rPr>
            <w:i w:val="0"/>
            <w:iCs w:val="0"/>
            <w:noProof/>
            <w:webHidden/>
          </w:rPr>
        </w:r>
        <w:r w:rsidRPr="007D34AC">
          <w:rPr>
            <w:i w:val="0"/>
            <w:iCs w:val="0"/>
            <w:noProof/>
            <w:webHidden/>
          </w:rPr>
          <w:fldChar w:fldCharType="separate"/>
        </w:r>
        <w:r w:rsidRPr="007D34AC">
          <w:rPr>
            <w:i w:val="0"/>
            <w:iCs w:val="0"/>
            <w:noProof/>
            <w:webHidden/>
          </w:rPr>
          <w:t>7</w:t>
        </w:r>
        <w:r w:rsidRPr="007D34AC">
          <w:rPr>
            <w:i w:val="0"/>
            <w:iCs w:val="0"/>
            <w:noProof/>
            <w:webHidden/>
          </w:rPr>
          <w:fldChar w:fldCharType="end"/>
        </w:r>
      </w:hyperlink>
    </w:p>
    <w:p w14:paraId="2C2C0F3F" w14:textId="2B9C2A23" w:rsidR="007D34AC" w:rsidRPr="007D34AC" w:rsidRDefault="007D34AC">
      <w:pPr>
        <w:pStyle w:val="TOC3"/>
        <w:rPr>
          <w:rFonts w:asciiTheme="minorHAnsi" w:eastAsiaTheme="minorEastAsia" w:hAnsiTheme="minorHAnsi" w:cstheme="minorBidi"/>
          <w:i w:val="0"/>
          <w:iCs w:val="0"/>
          <w:noProof/>
          <w:sz w:val="22"/>
          <w:szCs w:val="22"/>
        </w:rPr>
      </w:pPr>
      <w:hyperlink w:anchor="_Toc148961539" w:history="1">
        <w:r w:rsidRPr="007D34AC">
          <w:rPr>
            <w:rStyle w:val="Hyperlink"/>
            <w:i w:val="0"/>
            <w:iCs w:val="0"/>
            <w:noProof/>
            <w:u w:val="none"/>
          </w:rPr>
          <w:t>20.10.3</w:t>
        </w:r>
        <w:r w:rsidRPr="007D34AC">
          <w:rPr>
            <w:rFonts w:asciiTheme="minorHAnsi" w:eastAsiaTheme="minorEastAsia" w:hAnsiTheme="minorHAnsi" w:cstheme="minorBidi"/>
            <w:i w:val="0"/>
            <w:iCs w:val="0"/>
            <w:noProof/>
            <w:sz w:val="22"/>
            <w:szCs w:val="22"/>
          </w:rPr>
          <w:tab/>
        </w:r>
        <w:r w:rsidRPr="007D34AC">
          <w:rPr>
            <w:rStyle w:val="Hyperlink"/>
            <w:i w:val="0"/>
            <w:iCs w:val="0"/>
            <w:noProof/>
            <w:u w:val="none"/>
          </w:rPr>
          <w:t>Process for a Return of Settlement Funds Request</w:t>
        </w:r>
        <w:r w:rsidRPr="007D34AC">
          <w:rPr>
            <w:i w:val="0"/>
            <w:iCs w:val="0"/>
            <w:noProof/>
            <w:webHidden/>
          </w:rPr>
          <w:tab/>
        </w:r>
        <w:r w:rsidRPr="007D34AC">
          <w:rPr>
            <w:i w:val="0"/>
            <w:iCs w:val="0"/>
            <w:noProof/>
            <w:webHidden/>
          </w:rPr>
          <w:t>20-</w:t>
        </w:r>
        <w:r w:rsidRPr="007D34AC">
          <w:rPr>
            <w:i w:val="0"/>
            <w:iCs w:val="0"/>
            <w:noProof/>
            <w:webHidden/>
          </w:rPr>
          <w:fldChar w:fldCharType="begin"/>
        </w:r>
        <w:r w:rsidRPr="007D34AC">
          <w:rPr>
            <w:i w:val="0"/>
            <w:iCs w:val="0"/>
            <w:noProof/>
            <w:webHidden/>
          </w:rPr>
          <w:instrText xml:space="preserve"> PAGEREF _Toc148961539 \h </w:instrText>
        </w:r>
        <w:r w:rsidRPr="007D34AC">
          <w:rPr>
            <w:i w:val="0"/>
            <w:iCs w:val="0"/>
            <w:noProof/>
            <w:webHidden/>
          </w:rPr>
        </w:r>
        <w:r w:rsidRPr="007D34AC">
          <w:rPr>
            <w:i w:val="0"/>
            <w:iCs w:val="0"/>
            <w:noProof/>
            <w:webHidden/>
          </w:rPr>
          <w:fldChar w:fldCharType="separate"/>
        </w:r>
        <w:r w:rsidRPr="007D34AC">
          <w:rPr>
            <w:i w:val="0"/>
            <w:iCs w:val="0"/>
            <w:noProof/>
            <w:webHidden/>
          </w:rPr>
          <w:t>8</w:t>
        </w:r>
        <w:r w:rsidRPr="007D34AC">
          <w:rPr>
            <w:i w:val="0"/>
            <w:iCs w:val="0"/>
            <w:noProof/>
            <w:webHidden/>
          </w:rPr>
          <w:fldChar w:fldCharType="end"/>
        </w:r>
      </w:hyperlink>
    </w:p>
    <w:p w14:paraId="3151AD05" w14:textId="21093F48" w:rsidR="007D34AC" w:rsidRPr="007D34AC" w:rsidRDefault="007D34AC">
      <w:pPr>
        <w:pStyle w:val="TOC3"/>
        <w:rPr>
          <w:rFonts w:asciiTheme="minorHAnsi" w:eastAsiaTheme="minorEastAsia" w:hAnsiTheme="minorHAnsi" w:cstheme="minorBidi"/>
          <w:i w:val="0"/>
          <w:iCs w:val="0"/>
          <w:noProof/>
          <w:sz w:val="22"/>
          <w:szCs w:val="22"/>
        </w:rPr>
      </w:pPr>
      <w:hyperlink w:anchor="_Toc148961540" w:history="1">
        <w:r w:rsidRPr="007D34AC">
          <w:rPr>
            <w:rStyle w:val="Hyperlink"/>
            <w:i w:val="0"/>
            <w:iCs w:val="0"/>
            <w:noProof/>
            <w:u w:val="none"/>
          </w:rPr>
          <w:t>20.10.4</w:t>
        </w:r>
        <w:r w:rsidRPr="007D34AC">
          <w:rPr>
            <w:rFonts w:asciiTheme="minorHAnsi" w:eastAsiaTheme="minorEastAsia" w:hAnsiTheme="minorHAnsi" w:cstheme="minorBidi"/>
            <w:i w:val="0"/>
            <w:iCs w:val="0"/>
            <w:noProof/>
            <w:sz w:val="22"/>
            <w:szCs w:val="22"/>
          </w:rPr>
          <w:tab/>
        </w:r>
        <w:r w:rsidRPr="007D34AC">
          <w:rPr>
            <w:rStyle w:val="Hyperlink"/>
            <w:i w:val="0"/>
            <w:iCs w:val="0"/>
            <w:noProof/>
            <w:u w:val="none"/>
          </w:rPr>
          <w:t>Settlement Following Approved Return of Settlement Funds</w:t>
        </w:r>
        <w:r w:rsidRPr="007D34AC">
          <w:rPr>
            <w:i w:val="0"/>
            <w:iCs w:val="0"/>
            <w:noProof/>
            <w:webHidden/>
          </w:rPr>
          <w:tab/>
        </w:r>
        <w:r w:rsidRPr="007D34AC">
          <w:rPr>
            <w:i w:val="0"/>
            <w:iCs w:val="0"/>
            <w:noProof/>
            <w:webHidden/>
          </w:rPr>
          <w:t>20-</w:t>
        </w:r>
        <w:r w:rsidRPr="007D34AC">
          <w:rPr>
            <w:i w:val="0"/>
            <w:iCs w:val="0"/>
            <w:noProof/>
            <w:webHidden/>
          </w:rPr>
          <w:fldChar w:fldCharType="begin"/>
        </w:r>
        <w:r w:rsidRPr="007D34AC">
          <w:rPr>
            <w:i w:val="0"/>
            <w:iCs w:val="0"/>
            <w:noProof/>
            <w:webHidden/>
          </w:rPr>
          <w:instrText xml:space="preserve"> PAGEREF _Toc148961540 \h </w:instrText>
        </w:r>
        <w:r w:rsidRPr="007D34AC">
          <w:rPr>
            <w:i w:val="0"/>
            <w:iCs w:val="0"/>
            <w:noProof/>
            <w:webHidden/>
          </w:rPr>
        </w:r>
        <w:r w:rsidRPr="007D34AC">
          <w:rPr>
            <w:i w:val="0"/>
            <w:iCs w:val="0"/>
            <w:noProof/>
            <w:webHidden/>
          </w:rPr>
          <w:fldChar w:fldCharType="separate"/>
        </w:r>
        <w:r w:rsidRPr="007D34AC">
          <w:rPr>
            <w:i w:val="0"/>
            <w:iCs w:val="0"/>
            <w:noProof/>
            <w:webHidden/>
          </w:rPr>
          <w:t>8</w:t>
        </w:r>
        <w:r w:rsidRPr="007D34AC">
          <w:rPr>
            <w:i w:val="0"/>
            <w:iCs w:val="0"/>
            <w:noProof/>
            <w:webHidden/>
          </w:rPr>
          <w:fldChar w:fldCharType="end"/>
        </w:r>
      </w:hyperlink>
    </w:p>
    <w:p w14:paraId="25675715" w14:textId="7ACD7A54" w:rsidR="007D34AC" w:rsidRPr="007D34AC" w:rsidRDefault="007D34AC">
      <w:pPr>
        <w:pStyle w:val="TOC2"/>
        <w:rPr>
          <w:rFonts w:asciiTheme="minorHAnsi" w:eastAsiaTheme="minorEastAsia" w:hAnsiTheme="minorHAnsi" w:cstheme="minorBidi"/>
          <w:noProof/>
          <w:sz w:val="22"/>
          <w:szCs w:val="22"/>
        </w:rPr>
      </w:pPr>
      <w:hyperlink w:anchor="_Toc148961541" w:history="1">
        <w:r w:rsidRPr="007D34AC">
          <w:rPr>
            <w:rStyle w:val="Hyperlink"/>
            <w:noProof/>
            <w:u w:val="none"/>
          </w:rPr>
          <w:t>20.11</w:t>
        </w:r>
        <w:r w:rsidRPr="007D34AC">
          <w:rPr>
            <w:rFonts w:asciiTheme="minorHAnsi" w:eastAsiaTheme="minorEastAsia" w:hAnsiTheme="minorHAnsi" w:cstheme="minorBidi"/>
            <w:noProof/>
            <w:sz w:val="22"/>
            <w:szCs w:val="22"/>
          </w:rPr>
          <w:tab/>
        </w:r>
        <w:r w:rsidRPr="007D34AC">
          <w:rPr>
            <w:rStyle w:val="Hyperlink"/>
            <w:noProof/>
            <w:u w:val="none"/>
          </w:rPr>
          <w:t>Settlement of Approved Alternative Dispute Resolution Claims</w:t>
        </w:r>
        <w:r w:rsidRPr="007D34AC">
          <w:rPr>
            <w:noProof/>
            <w:webHidden/>
          </w:rPr>
          <w:tab/>
        </w:r>
        <w:r w:rsidRPr="007D34AC">
          <w:rPr>
            <w:noProof/>
            <w:webHidden/>
          </w:rPr>
          <w:t>20-</w:t>
        </w:r>
        <w:r w:rsidRPr="007D34AC">
          <w:rPr>
            <w:noProof/>
            <w:webHidden/>
          </w:rPr>
          <w:fldChar w:fldCharType="begin"/>
        </w:r>
        <w:r w:rsidRPr="007D34AC">
          <w:rPr>
            <w:noProof/>
            <w:webHidden/>
          </w:rPr>
          <w:instrText xml:space="preserve"> PAGEREF _Toc148961541 \h </w:instrText>
        </w:r>
        <w:r w:rsidRPr="007D34AC">
          <w:rPr>
            <w:noProof/>
            <w:webHidden/>
          </w:rPr>
        </w:r>
        <w:r w:rsidRPr="007D34AC">
          <w:rPr>
            <w:noProof/>
            <w:webHidden/>
          </w:rPr>
          <w:fldChar w:fldCharType="separate"/>
        </w:r>
        <w:r w:rsidRPr="007D34AC">
          <w:rPr>
            <w:noProof/>
            <w:webHidden/>
          </w:rPr>
          <w:t>9</w:t>
        </w:r>
        <w:r w:rsidRPr="007D34AC">
          <w:rPr>
            <w:noProof/>
            <w:webHidden/>
          </w:rPr>
          <w:fldChar w:fldCharType="end"/>
        </w:r>
      </w:hyperlink>
    </w:p>
    <w:p w14:paraId="0884984C" w14:textId="37DAEC2A" w:rsidR="007D34AC" w:rsidRPr="007D34AC" w:rsidRDefault="007D34AC">
      <w:pPr>
        <w:pStyle w:val="TOC3"/>
        <w:rPr>
          <w:rFonts w:asciiTheme="minorHAnsi" w:eastAsiaTheme="minorEastAsia" w:hAnsiTheme="minorHAnsi" w:cstheme="minorBidi"/>
          <w:i w:val="0"/>
          <w:iCs w:val="0"/>
          <w:noProof/>
          <w:sz w:val="22"/>
          <w:szCs w:val="22"/>
        </w:rPr>
      </w:pPr>
      <w:hyperlink w:anchor="_Toc148961542" w:history="1">
        <w:r w:rsidRPr="007D34AC">
          <w:rPr>
            <w:rStyle w:val="Hyperlink"/>
            <w:i w:val="0"/>
            <w:iCs w:val="0"/>
            <w:noProof/>
            <w:u w:val="none"/>
          </w:rPr>
          <w:t>20.11.1</w:t>
        </w:r>
        <w:r w:rsidRPr="007D34AC">
          <w:rPr>
            <w:rFonts w:asciiTheme="minorHAnsi" w:eastAsiaTheme="minorEastAsia" w:hAnsiTheme="minorHAnsi" w:cstheme="minorBidi"/>
            <w:i w:val="0"/>
            <w:iCs w:val="0"/>
            <w:noProof/>
            <w:sz w:val="22"/>
            <w:szCs w:val="22"/>
          </w:rPr>
          <w:tab/>
        </w:r>
        <w:r w:rsidRPr="007D34AC">
          <w:rPr>
            <w:rStyle w:val="Hyperlink"/>
            <w:i w:val="0"/>
            <w:iCs w:val="0"/>
            <w:noProof/>
            <w:u w:val="none"/>
          </w:rPr>
          <w:t>Adjustments Based on Alternative Dispute Resolution</w:t>
        </w:r>
        <w:r w:rsidRPr="007D34AC">
          <w:rPr>
            <w:i w:val="0"/>
            <w:iCs w:val="0"/>
            <w:noProof/>
            <w:webHidden/>
          </w:rPr>
          <w:tab/>
        </w:r>
        <w:r w:rsidRPr="007D34AC">
          <w:rPr>
            <w:i w:val="0"/>
            <w:iCs w:val="0"/>
            <w:noProof/>
            <w:webHidden/>
          </w:rPr>
          <w:t>20-</w:t>
        </w:r>
        <w:r w:rsidRPr="007D34AC">
          <w:rPr>
            <w:i w:val="0"/>
            <w:iCs w:val="0"/>
            <w:noProof/>
            <w:webHidden/>
          </w:rPr>
          <w:fldChar w:fldCharType="begin"/>
        </w:r>
        <w:r w:rsidRPr="007D34AC">
          <w:rPr>
            <w:i w:val="0"/>
            <w:iCs w:val="0"/>
            <w:noProof/>
            <w:webHidden/>
          </w:rPr>
          <w:instrText xml:space="preserve"> PAGEREF _Toc148961542 \h </w:instrText>
        </w:r>
        <w:r w:rsidRPr="007D34AC">
          <w:rPr>
            <w:i w:val="0"/>
            <w:iCs w:val="0"/>
            <w:noProof/>
            <w:webHidden/>
          </w:rPr>
        </w:r>
        <w:r w:rsidRPr="007D34AC">
          <w:rPr>
            <w:i w:val="0"/>
            <w:iCs w:val="0"/>
            <w:noProof/>
            <w:webHidden/>
          </w:rPr>
          <w:fldChar w:fldCharType="separate"/>
        </w:r>
        <w:r w:rsidRPr="007D34AC">
          <w:rPr>
            <w:i w:val="0"/>
            <w:iCs w:val="0"/>
            <w:noProof/>
            <w:webHidden/>
          </w:rPr>
          <w:t>9</w:t>
        </w:r>
        <w:r w:rsidRPr="007D34AC">
          <w:rPr>
            <w:i w:val="0"/>
            <w:iCs w:val="0"/>
            <w:noProof/>
            <w:webHidden/>
          </w:rPr>
          <w:fldChar w:fldCharType="end"/>
        </w:r>
      </w:hyperlink>
    </w:p>
    <w:p w14:paraId="61D36304" w14:textId="12D72651" w:rsidR="007D34AC" w:rsidRPr="007D34AC" w:rsidRDefault="007D34AC">
      <w:pPr>
        <w:pStyle w:val="TOC3"/>
        <w:rPr>
          <w:rFonts w:asciiTheme="minorHAnsi" w:eastAsiaTheme="minorEastAsia" w:hAnsiTheme="minorHAnsi" w:cstheme="minorBidi"/>
          <w:i w:val="0"/>
          <w:iCs w:val="0"/>
          <w:noProof/>
          <w:sz w:val="22"/>
          <w:szCs w:val="22"/>
        </w:rPr>
      </w:pPr>
      <w:hyperlink w:anchor="_Toc148961543" w:history="1">
        <w:r w:rsidRPr="007D34AC">
          <w:rPr>
            <w:rStyle w:val="Hyperlink"/>
            <w:i w:val="0"/>
            <w:iCs w:val="0"/>
            <w:noProof/>
            <w:u w:val="none"/>
          </w:rPr>
          <w:t>20.11.2</w:t>
        </w:r>
        <w:r w:rsidRPr="007D34AC">
          <w:rPr>
            <w:rFonts w:asciiTheme="minorHAnsi" w:eastAsiaTheme="minorEastAsia" w:hAnsiTheme="minorHAnsi" w:cstheme="minorBidi"/>
            <w:i w:val="0"/>
            <w:iCs w:val="0"/>
            <w:noProof/>
            <w:sz w:val="22"/>
            <w:szCs w:val="22"/>
          </w:rPr>
          <w:tab/>
        </w:r>
        <w:r w:rsidRPr="007D34AC">
          <w:rPr>
            <w:rStyle w:val="Hyperlink"/>
            <w:i w:val="0"/>
            <w:iCs w:val="0"/>
            <w:noProof/>
            <w:u w:val="none"/>
          </w:rPr>
          <w:t>Charges for Approved ADR Claim</w:t>
        </w:r>
        <w:r w:rsidRPr="007D34AC">
          <w:rPr>
            <w:i w:val="0"/>
            <w:iCs w:val="0"/>
            <w:noProof/>
            <w:webHidden/>
          </w:rPr>
          <w:tab/>
        </w:r>
        <w:r w:rsidRPr="007D34AC">
          <w:rPr>
            <w:i w:val="0"/>
            <w:iCs w:val="0"/>
            <w:noProof/>
            <w:webHidden/>
          </w:rPr>
          <w:t>20-</w:t>
        </w:r>
        <w:r w:rsidRPr="007D34AC">
          <w:rPr>
            <w:i w:val="0"/>
            <w:iCs w:val="0"/>
            <w:noProof/>
            <w:webHidden/>
          </w:rPr>
          <w:fldChar w:fldCharType="begin"/>
        </w:r>
        <w:r w:rsidRPr="007D34AC">
          <w:rPr>
            <w:i w:val="0"/>
            <w:iCs w:val="0"/>
            <w:noProof/>
            <w:webHidden/>
          </w:rPr>
          <w:instrText xml:space="preserve"> PAGEREF _Toc148961543 \h </w:instrText>
        </w:r>
        <w:r w:rsidRPr="007D34AC">
          <w:rPr>
            <w:i w:val="0"/>
            <w:iCs w:val="0"/>
            <w:noProof/>
            <w:webHidden/>
          </w:rPr>
        </w:r>
        <w:r w:rsidRPr="007D34AC">
          <w:rPr>
            <w:i w:val="0"/>
            <w:iCs w:val="0"/>
            <w:noProof/>
            <w:webHidden/>
          </w:rPr>
          <w:fldChar w:fldCharType="separate"/>
        </w:r>
        <w:r w:rsidRPr="007D34AC">
          <w:rPr>
            <w:i w:val="0"/>
            <w:iCs w:val="0"/>
            <w:noProof/>
            <w:webHidden/>
          </w:rPr>
          <w:t>9</w:t>
        </w:r>
        <w:r w:rsidRPr="007D34AC">
          <w:rPr>
            <w:i w:val="0"/>
            <w:iCs w:val="0"/>
            <w:noProof/>
            <w:webHidden/>
          </w:rPr>
          <w:fldChar w:fldCharType="end"/>
        </w:r>
      </w:hyperlink>
    </w:p>
    <w:p w14:paraId="7E117E8A" w14:textId="77777777" w:rsidR="00E431FD" w:rsidRDefault="00533FBB">
      <w:pPr>
        <w:pStyle w:val="BodyText"/>
        <w:sectPr w:rsidR="00E431FD">
          <w:headerReference w:type="default" r:id="rId10"/>
          <w:footerReference w:type="default" r:id="rId11"/>
          <w:pgSz w:w="12240" w:h="15840" w:code="1"/>
          <w:pgMar w:top="1440" w:right="1440" w:bottom="1440" w:left="1440" w:header="720" w:footer="720" w:gutter="0"/>
          <w:pgNumType w:chapStyle="1"/>
          <w:cols w:space="720"/>
        </w:sectPr>
      </w:pPr>
      <w:r w:rsidRPr="007D34AC">
        <w:fldChar w:fldCharType="end"/>
      </w:r>
    </w:p>
    <w:p w14:paraId="00305E76" w14:textId="4E6BA137" w:rsidR="00E431FD" w:rsidRDefault="00E431FD" w:rsidP="00E16F75">
      <w:pPr>
        <w:pStyle w:val="Heading1"/>
        <w:numPr>
          <w:ilvl w:val="0"/>
          <w:numId w:val="0"/>
        </w:numPr>
        <w:ind w:left="540" w:hanging="540"/>
      </w:pPr>
      <w:bookmarkStart w:id="0" w:name="_Toc453764633"/>
      <w:bookmarkStart w:id="1" w:name="_Toc453764678"/>
      <w:bookmarkStart w:id="2" w:name="_Toc453764705"/>
      <w:bookmarkStart w:id="3" w:name="_Toc453764794"/>
      <w:bookmarkStart w:id="4" w:name="_Toc148961526"/>
      <w:r>
        <w:lastRenderedPageBreak/>
        <w:t>20</w:t>
      </w:r>
      <w:r>
        <w:tab/>
        <w:t>Alternative Dispute Resolution Procedure</w:t>
      </w:r>
      <w:bookmarkEnd w:id="0"/>
      <w:bookmarkEnd w:id="1"/>
      <w:bookmarkEnd w:id="2"/>
      <w:bookmarkEnd w:id="3"/>
      <w:r w:rsidR="00E16F75">
        <w:t xml:space="preserve"> and </w:t>
      </w:r>
      <w:r w:rsidR="004F7B51">
        <w:t xml:space="preserve">Procedure for </w:t>
      </w:r>
      <w:r w:rsidR="007D34AC">
        <w:t>R</w:t>
      </w:r>
      <w:r w:rsidR="00E16F75">
        <w:t xml:space="preserve">eturn of </w:t>
      </w:r>
      <w:r w:rsidR="007D34AC">
        <w:t>S</w:t>
      </w:r>
      <w:r w:rsidR="00E16F75">
        <w:t>ettlement Funds</w:t>
      </w:r>
      <w:bookmarkEnd w:id="4"/>
    </w:p>
    <w:p w14:paraId="5AA47EC0" w14:textId="77777777" w:rsidR="00E431FD" w:rsidRDefault="00E431FD">
      <w:pPr>
        <w:pStyle w:val="H2"/>
      </w:pPr>
      <w:bookmarkStart w:id="5" w:name="_Toc453764634"/>
      <w:bookmarkStart w:id="6" w:name="_Toc453764679"/>
      <w:bookmarkStart w:id="7" w:name="_Toc453764706"/>
      <w:bookmarkStart w:id="8" w:name="_Toc453764795"/>
      <w:bookmarkStart w:id="9" w:name="_Toc148961527"/>
      <w:r>
        <w:t>20.1</w:t>
      </w:r>
      <w:r>
        <w:tab/>
        <w:t>Applicability</w:t>
      </w:r>
      <w:bookmarkEnd w:id="5"/>
      <w:bookmarkEnd w:id="6"/>
      <w:bookmarkEnd w:id="7"/>
      <w:bookmarkEnd w:id="8"/>
      <w:bookmarkEnd w:id="9"/>
    </w:p>
    <w:p w14:paraId="739F7A31" w14:textId="77777777" w:rsidR="00E431FD" w:rsidRDefault="00E431FD">
      <w:pPr>
        <w:pStyle w:val="BodyText"/>
        <w:ind w:left="720" w:hanging="720"/>
      </w:pPr>
      <w:r>
        <w:t>(1)</w:t>
      </w:r>
      <w:r>
        <w:tab/>
      </w:r>
      <w:r w:rsidR="004250CE" w:rsidRPr="00A47FD4">
        <w:t>Except as otherwise provided in Section 20, Alternative Dispute Resolution Procedure</w:t>
      </w:r>
      <w:r w:rsidR="003E4557">
        <w:t xml:space="preserve"> and </w:t>
      </w:r>
      <w:r w:rsidR="004F7B51">
        <w:t xml:space="preserve">Procedure for </w:t>
      </w:r>
      <w:r w:rsidR="003E4557">
        <w:t>Return of Settlement Funds</w:t>
      </w:r>
      <w:r w:rsidR="004250CE" w:rsidRPr="00A47FD4">
        <w:t>, this Alternative Dispute Resolution (ADR) procedure applies to any claim by a Market Participant that ERCOT has violate</w:t>
      </w:r>
      <w:r w:rsidR="004250CE" w:rsidRPr="00C90996">
        <w:t xml:space="preserve">d or misinterpreted any law, including any statute, rule, Protocol, Other Binding Document, or Agreement, where such </w:t>
      </w:r>
      <w:r w:rsidR="004250CE">
        <w:t>violation</w:t>
      </w:r>
      <w:r w:rsidR="004250CE" w:rsidRPr="00C90996">
        <w:t xml:space="preserve"> or </w:t>
      </w:r>
      <w:r w:rsidR="004250CE">
        <w:t xml:space="preserve">misinterpretation </w:t>
      </w:r>
      <w:r w:rsidR="004250CE" w:rsidRPr="00C90996">
        <w:t xml:space="preserve">results in actual </w:t>
      </w:r>
      <w:r w:rsidR="004250CE">
        <w:t xml:space="preserve">harm, </w:t>
      </w:r>
      <w:r w:rsidR="004250CE" w:rsidRPr="00C90996">
        <w:t xml:space="preserve">or </w:t>
      </w:r>
      <w:r w:rsidR="004250CE">
        <w:t xml:space="preserve">could result in </w:t>
      </w:r>
      <w:r w:rsidR="004250CE" w:rsidRPr="00C90996">
        <w:t>imminent harm</w:t>
      </w:r>
      <w:r w:rsidR="004250CE">
        <w:t>,</w:t>
      </w:r>
      <w:r w:rsidR="004250CE" w:rsidRPr="00C90996">
        <w:t xml:space="preserve"> to the Market Participant.  A Market Participant that disputes an interpretation of the ERCOT Protocols, an Other Binding Document, or an Agreement made by ERCOT through the Protocol interpretation request process described in subsection (i) of </w:t>
      </w:r>
      <w:r w:rsidR="009F4812" w:rsidRPr="007D34AC">
        <w:t>P.U.C</w:t>
      </w:r>
      <w:r w:rsidR="009F4812">
        <w:rPr>
          <w:sz w:val="23"/>
          <w:szCs w:val="23"/>
        </w:rPr>
        <w:t>. S</w:t>
      </w:r>
      <w:r w:rsidR="009F4812">
        <w:rPr>
          <w:sz w:val="19"/>
          <w:szCs w:val="19"/>
        </w:rPr>
        <w:t>UBST</w:t>
      </w:r>
      <w:r w:rsidR="009F4812">
        <w:rPr>
          <w:sz w:val="23"/>
          <w:szCs w:val="23"/>
        </w:rPr>
        <w:t xml:space="preserve">. R. </w:t>
      </w:r>
      <w:r w:rsidR="004250CE" w:rsidRPr="00C90996">
        <w:t>25.503, Oversight of Wholesale Market Participants, is not required to follow the ADR procedure prior to seeking relief from the Public Utility Commission of Texas (PUCT) or other Governmental Authority.</w:t>
      </w:r>
    </w:p>
    <w:p w14:paraId="481FAE59" w14:textId="77777777" w:rsidR="004250CE" w:rsidRPr="00A47FD4" w:rsidRDefault="004250CE" w:rsidP="004250CE">
      <w:pPr>
        <w:spacing w:after="240"/>
        <w:ind w:left="720" w:hanging="720"/>
      </w:pPr>
      <w:r w:rsidRPr="00A47FD4">
        <w:t>(2)</w:t>
      </w:r>
      <w:r w:rsidRPr="00A47FD4">
        <w:tab/>
        <w:t xml:space="preserve">Only a </w:t>
      </w:r>
      <w:proofErr w:type="gramStart"/>
      <w:r w:rsidRPr="00A47FD4">
        <w:t>Counter-Party</w:t>
      </w:r>
      <w:proofErr w:type="gramEnd"/>
      <w:r w:rsidRPr="00A47FD4">
        <w:t xml:space="preserve"> may request ADR to seek correction of Settlement data and resettlement, except that:</w:t>
      </w:r>
    </w:p>
    <w:p w14:paraId="0270729D" w14:textId="77777777" w:rsidR="004250CE" w:rsidRPr="00A47FD4" w:rsidRDefault="004250CE" w:rsidP="004250CE">
      <w:pPr>
        <w:spacing w:after="240"/>
        <w:ind w:left="1440" w:hanging="720"/>
        <w:rPr>
          <w:szCs w:val="20"/>
        </w:rPr>
      </w:pPr>
      <w:r w:rsidRPr="00A47FD4">
        <w:rPr>
          <w:szCs w:val="20"/>
        </w:rPr>
        <w:t>(a)</w:t>
      </w:r>
      <w:r w:rsidRPr="00A47FD4">
        <w:rPr>
          <w:szCs w:val="20"/>
        </w:rPr>
        <w:tab/>
        <w:t xml:space="preserve">A Market Participant that is not a </w:t>
      </w:r>
      <w:proofErr w:type="gramStart"/>
      <w:r w:rsidRPr="00A47FD4">
        <w:rPr>
          <w:szCs w:val="20"/>
        </w:rPr>
        <w:t>Counter-Party</w:t>
      </w:r>
      <w:proofErr w:type="gramEnd"/>
      <w:r w:rsidRPr="00A47FD4">
        <w:rPr>
          <w:szCs w:val="20"/>
        </w:rPr>
        <w:t xml:space="preserve"> may submit an ADR request seeking correction of Settlement data and resettlement on behalf of an affected Counter-Party upon providing ERCOT written documentation executed by the Authorized Representative of the Counter-Party designating the Market Participant as the Counter-Party’s agent for purposes of submitting the ADR request; and</w:t>
      </w:r>
    </w:p>
    <w:p w14:paraId="2EE9A231" w14:textId="77777777" w:rsidR="004250CE" w:rsidRPr="00A47FD4" w:rsidRDefault="004250CE" w:rsidP="004250CE">
      <w:pPr>
        <w:spacing w:after="240"/>
        <w:ind w:left="1440" w:hanging="720"/>
        <w:rPr>
          <w:szCs w:val="20"/>
        </w:rPr>
      </w:pPr>
      <w:r w:rsidRPr="00A47FD4">
        <w:rPr>
          <w:szCs w:val="20"/>
        </w:rPr>
        <w:t>(b)</w:t>
      </w:r>
      <w:r w:rsidRPr="00A47FD4">
        <w:rPr>
          <w:szCs w:val="20"/>
        </w:rPr>
        <w:tab/>
        <w:t xml:space="preserve">A Load Serving Entity (LSE), with its </w:t>
      </w:r>
      <w:proofErr w:type="gramStart"/>
      <w:r w:rsidRPr="00A47FD4">
        <w:rPr>
          <w:szCs w:val="20"/>
        </w:rPr>
        <w:t>Counter-Party</w:t>
      </w:r>
      <w:proofErr w:type="gramEnd"/>
      <w:r w:rsidRPr="00A47FD4">
        <w:rPr>
          <w:szCs w:val="20"/>
        </w:rPr>
        <w:t>, or a Transmission and/or Distribution Service Provider (TDSP) may submit an ADR request for correction of Electric Service Identifier (ESI ID) service history, usage information, and/or resettlement, as set forth in these Protocols and the Retail Market Guide.</w:t>
      </w:r>
    </w:p>
    <w:p w14:paraId="53FFEB46" w14:textId="77777777" w:rsidR="00E431FD" w:rsidRDefault="00E431FD" w:rsidP="00AB1A98">
      <w:pPr>
        <w:spacing w:after="240"/>
        <w:ind w:left="720" w:hanging="720"/>
      </w:pPr>
      <w:r>
        <w:t>(</w:t>
      </w:r>
      <w:r w:rsidR="004250CE">
        <w:t>3</w:t>
      </w:r>
      <w:r>
        <w:t>)</w:t>
      </w:r>
      <w:r>
        <w:tab/>
        <w:t>Nothing in this ADR procedure is intended to limit or restrict</w:t>
      </w:r>
      <w:r w:rsidR="004250CE">
        <w:t xml:space="preserve"> t</w:t>
      </w:r>
      <w:r>
        <w:t xml:space="preserve">he right of a Market Participant to file a petition seeking direct relief from the PUCT or another Governmental Authority without first </w:t>
      </w:r>
      <w:r w:rsidR="004250CE">
        <w:t>exhausting</w:t>
      </w:r>
      <w:r>
        <w:t xml:space="preserve"> this ADR procedure where </w:t>
      </w:r>
      <w:r w:rsidR="004250CE">
        <w:t>actual or threatened</w:t>
      </w:r>
      <w:r>
        <w:t xml:space="preserve"> action by ERCOT or a Market Participant </w:t>
      </w:r>
      <w:r w:rsidR="004250CE" w:rsidRPr="00C90996">
        <w:t>could caus</w:t>
      </w:r>
      <w:r w:rsidR="004250CE" w:rsidRPr="00A47FD4">
        <w:t>e irreparable harm and where such harm cannot be addressed within the time permitted under the ADR process</w:t>
      </w:r>
      <w:r>
        <w:t>.</w:t>
      </w:r>
    </w:p>
    <w:p w14:paraId="1BF1B320" w14:textId="77777777" w:rsidR="00E431FD" w:rsidRDefault="00E431FD">
      <w:pPr>
        <w:pStyle w:val="BodyText"/>
        <w:ind w:left="720" w:hanging="720"/>
      </w:pPr>
      <w:r>
        <w:t>(</w:t>
      </w:r>
      <w:r w:rsidR="004250CE">
        <w:t>4</w:t>
      </w:r>
      <w:r>
        <w:t>)</w:t>
      </w:r>
      <w:r>
        <w:tab/>
        <w:t>Except for the provisions of this Section</w:t>
      </w:r>
      <w:r w:rsidR="004250CE">
        <w:t xml:space="preserve"> 20.1</w:t>
      </w:r>
      <w:r>
        <w:t>, the ADR procedure may be modified by mutual agreement of the parties.</w:t>
      </w:r>
    </w:p>
    <w:p w14:paraId="22718C2C" w14:textId="77777777" w:rsidR="00E431FD" w:rsidRDefault="00E431FD">
      <w:pPr>
        <w:pStyle w:val="BodyText"/>
        <w:ind w:left="720" w:hanging="720"/>
      </w:pPr>
      <w:r>
        <w:t>(</w:t>
      </w:r>
      <w:r w:rsidR="004250CE">
        <w:t>5</w:t>
      </w:r>
      <w:r>
        <w:t>)</w:t>
      </w:r>
      <w:r>
        <w:tab/>
        <w:t>Parties shall exercise good faith efforts to timely resolve disputes under Section</w:t>
      </w:r>
      <w:r w:rsidR="004250CE">
        <w:t xml:space="preserve"> 20</w:t>
      </w:r>
      <w:r>
        <w:t>.</w:t>
      </w:r>
    </w:p>
    <w:p w14:paraId="791B3AA3" w14:textId="77777777" w:rsidR="004250CE" w:rsidRPr="00A47FD4" w:rsidRDefault="004250CE" w:rsidP="004250CE">
      <w:pPr>
        <w:spacing w:after="240"/>
        <w:ind w:left="720" w:hanging="720"/>
        <w:rPr>
          <w:szCs w:val="20"/>
        </w:rPr>
      </w:pPr>
      <w:r w:rsidRPr="00A47FD4">
        <w:rPr>
          <w:szCs w:val="20"/>
        </w:rPr>
        <w:t>(6)</w:t>
      </w:r>
      <w:r w:rsidRPr="00A47FD4">
        <w:rPr>
          <w:szCs w:val="20"/>
        </w:rPr>
        <w:tab/>
        <w:t xml:space="preserve">Nothing contained in Section 20 is intended to supersede any dispute resolution process mandated by applicable law or tariff.  Furthermore, this ADR procedure does not apply to any dispute concerning an agreement between Market Participants or the terms of any </w:t>
      </w:r>
      <w:r w:rsidRPr="00A47FD4">
        <w:rPr>
          <w:szCs w:val="20"/>
        </w:rPr>
        <w:lastRenderedPageBreak/>
        <w:t xml:space="preserve">tariff.  To the extent any dispute not governed by Section 20 involves the interpretation of the ERCOT Protocols, an Other Binding Document, or an Agreement, that dispute may be submitted to ERCOT through the Protocol interpretation request process described in subsection (i) of P.U.C. </w:t>
      </w:r>
      <w:r w:rsidRPr="00A47FD4">
        <w:rPr>
          <w:smallCaps/>
          <w:szCs w:val="20"/>
        </w:rPr>
        <w:t>Subst</w:t>
      </w:r>
      <w:r w:rsidRPr="00A47FD4">
        <w:rPr>
          <w:szCs w:val="20"/>
        </w:rPr>
        <w:t>. R. 25.503.</w:t>
      </w:r>
    </w:p>
    <w:p w14:paraId="24A58A6F" w14:textId="77777777" w:rsidR="004250CE" w:rsidRPr="00A47FD4" w:rsidRDefault="004250CE" w:rsidP="004250CE">
      <w:pPr>
        <w:keepNext/>
        <w:tabs>
          <w:tab w:val="left" w:pos="900"/>
        </w:tabs>
        <w:spacing w:before="240" w:after="240"/>
        <w:ind w:left="900" w:hanging="900"/>
        <w:outlineLvl w:val="1"/>
        <w:rPr>
          <w:b/>
          <w:szCs w:val="20"/>
        </w:rPr>
      </w:pPr>
      <w:bookmarkStart w:id="10" w:name="_Toc453764635"/>
      <w:bookmarkStart w:id="11" w:name="_Toc453764680"/>
      <w:bookmarkStart w:id="12" w:name="_Toc453764707"/>
      <w:bookmarkStart w:id="13" w:name="_Toc453764796"/>
      <w:bookmarkStart w:id="14" w:name="_Toc148961528"/>
      <w:r w:rsidRPr="00A47FD4">
        <w:rPr>
          <w:b/>
          <w:szCs w:val="20"/>
        </w:rPr>
        <w:t>20.2</w:t>
      </w:r>
      <w:r w:rsidRPr="00A47FD4">
        <w:rPr>
          <w:b/>
          <w:szCs w:val="20"/>
        </w:rPr>
        <w:tab/>
        <w:t>Deadline for Initiating ADR Proceeding</w:t>
      </w:r>
      <w:bookmarkEnd w:id="10"/>
      <w:bookmarkEnd w:id="11"/>
      <w:bookmarkEnd w:id="12"/>
      <w:bookmarkEnd w:id="13"/>
      <w:bookmarkEnd w:id="14"/>
    </w:p>
    <w:p w14:paraId="7DBC8AAE" w14:textId="77777777" w:rsidR="004250CE" w:rsidRPr="00A47FD4" w:rsidRDefault="004250CE" w:rsidP="004250CE">
      <w:pPr>
        <w:spacing w:after="240"/>
        <w:ind w:left="720" w:hanging="720"/>
        <w:rPr>
          <w:szCs w:val="20"/>
        </w:rPr>
      </w:pPr>
      <w:r w:rsidRPr="00A47FD4">
        <w:rPr>
          <w:szCs w:val="20"/>
        </w:rPr>
        <w:t>(1)</w:t>
      </w:r>
      <w:r w:rsidRPr="00A47FD4">
        <w:rPr>
          <w:szCs w:val="20"/>
        </w:rPr>
        <w:tab/>
        <w:t>The following deadlines shall apply for the initiation of an Alternative Dispute Resolution (ADR) proceeding:</w:t>
      </w:r>
    </w:p>
    <w:p w14:paraId="4521248E" w14:textId="77777777" w:rsidR="004250CE" w:rsidRPr="00A47FD4" w:rsidRDefault="004250CE" w:rsidP="004250CE">
      <w:pPr>
        <w:spacing w:after="240"/>
        <w:ind w:left="1440" w:hanging="720"/>
        <w:rPr>
          <w:szCs w:val="20"/>
        </w:rPr>
      </w:pPr>
      <w:r w:rsidRPr="00A47FD4">
        <w:rPr>
          <w:szCs w:val="20"/>
        </w:rPr>
        <w:t>(a)</w:t>
      </w:r>
      <w:r w:rsidRPr="00A47FD4">
        <w:rPr>
          <w:szCs w:val="20"/>
        </w:rPr>
        <w:tab/>
        <w:t>For any ADR proceeding invoked in connection with a Settlement and billing dispute submitted pursuant to Section 9.14, Settlement and Billing Disputes, the Market Participant must submit a complete written request for ADR no later than 45 days after the resolution date on which ERCOT denied the Market Participant’s Settlement and billing dispute.</w:t>
      </w:r>
    </w:p>
    <w:p w14:paraId="2384326E" w14:textId="77777777" w:rsidR="00FE6BE1" w:rsidRDefault="00FE6BE1" w:rsidP="00FE6BE1">
      <w:pPr>
        <w:spacing w:after="240"/>
        <w:ind w:left="1440" w:hanging="720"/>
      </w:pPr>
      <w:r>
        <w:rPr>
          <w:szCs w:val="20"/>
        </w:rPr>
        <w:t>(b)</w:t>
      </w:r>
      <w:r>
        <w:rPr>
          <w:szCs w:val="20"/>
        </w:rPr>
        <w:tab/>
      </w:r>
      <w:r>
        <w:t xml:space="preserve">For any ADR proceeding invoked in connection with the rejection or rescission </w:t>
      </w:r>
      <w:r w:rsidRPr="00567180">
        <w:rPr>
          <w:color w:val="000000"/>
        </w:rPr>
        <w:t xml:space="preserve">(or a portion thereof) </w:t>
      </w:r>
      <w:r>
        <w:t>of a verifiable cost, or rejection of a verifiable cost appeal, the Market Participant must submit a complete written request for ADR no later than 45 days after either:</w:t>
      </w:r>
    </w:p>
    <w:p w14:paraId="218F6D72" w14:textId="77777777" w:rsidR="00FE6BE1" w:rsidRDefault="00FE6BE1" w:rsidP="00FE6BE1">
      <w:pPr>
        <w:spacing w:after="240"/>
        <w:ind w:left="2160" w:hanging="720"/>
      </w:pPr>
      <w:r>
        <w:rPr>
          <w:szCs w:val="20"/>
        </w:rPr>
        <w:t>(i)</w:t>
      </w:r>
      <w:r>
        <w:tab/>
      </w:r>
      <w:r w:rsidRPr="008F1B70">
        <w:rPr>
          <w:szCs w:val="20"/>
        </w:rPr>
        <w:t>Rejection</w:t>
      </w:r>
      <w:r w:rsidRPr="00466B03">
        <w:t xml:space="preserve"> </w:t>
      </w:r>
      <w:r>
        <w:t xml:space="preserve">or rescission </w:t>
      </w:r>
      <w:r w:rsidRPr="00567180">
        <w:rPr>
          <w:color w:val="000000"/>
        </w:rPr>
        <w:t xml:space="preserve">(or a portion thereof) </w:t>
      </w:r>
      <w:r>
        <w:t xml:space="preserve">of a verifiable cost; or </w:t>
      </w:r>
    </w:p>
    <w:p w14:paraId="16666CD5" w14:textId="77777777" w:rsidR="00FE6BE1" w:rsidRDefault="00FE6BE1" w:rsidP="00FE6BE1">
      <w:pPr>
        <w:spacing w:after="240"/>
        <w:ind w:left="2160" w:hanging="720"/>
        <w:rPr>
          <w:szCs w:val="20"/>
        </w:rPr>
      </w:pPr>
      <w:r>
        <w:t>(ii)</w:t>
      </w:r>
      <w:r>
        <w:tab/>
        <w:t xml:space="preserve">Notice </w:t>
      </w:r>
      <w:r w:rsidRPr="008F1B70">
        <w:rPr>
          <w:szCs w:val="20"/>
        </w:rPr>
        <w:t>from</w:t>
      </w:r>
      <w:r>
        <w:t xml:space="preserve"> ERCOT that the appeal, in whole or in part, has been rejected.</w:t>
      </w:r>
      <w:r w:rsidRPr="00A47FD4">
        <w:rPr>
          <w:szCs w:val="20"/>
        </w:rPr>
        <w:t xml:space="preserve"> </w:t>
      </w:r>
    </w:p>
    <w:p w14:paraId="7269E69E" w14:textId="77777777" w:rsidR="004250CE" w:rsidRPr="00A47FD4" w:rsidRDefault="004250CE" w:rsidP="00FE6BE1">
      <w:pPr>
        <w:spacing w:after="240"/>
        <w:ind w:left="1440" w:hanging="720"/>
        <w:rPr>
          <w:szCs w:val="20"/>
        </w:rPr>
      </w:pPr>
      <w:r w:rsidRPr="00A47FD4">
        <w:rPr>
          <w:szCs w:val="20"/>
        </w:rPr>
        <w:t>(</w:t>
      </w:r>
      <w:r w:rsidR="0031273A">
        <w:rPr>
          <w:szCs w:val="20"/>
        </w:rPr>
        <w:t>c</w:t>
      </w:r>
      <w:r w:rsidRPr="00A47FD4">
        <w:rPr>
          <w:szCs w:val="20"/>
        </w:rPr>
        <w:t>)</w:t>
      </w:r>
      <w:r w:rsidRPr="00A47FD4">
        <w:rPr>
          <w:szCs w:val="20"/>
        </w:rPr>
        <w:tab/>
        <w:t>For any ADR proceeding invoked in connection with a disagreement arising from a Data Extract Variance process, the Market Participant must submit a complete written request for ADR no later than 45 days after issuance of the True-Up Statement for the applicable Operating Day.</w:t>
      </w:r>
    </w:p>
    <w:p w14:paraId="63C120ED" w14:textId="77777777" w:rsidR="004250CE" w:rsidRPr="00A47FD4" w:rsidRDefault="004250CE" w:rsidP="004250CE">
      <w:pPr>
        <w:spacing w:after="240"/>
        <w:ind w:left="1440" w:hanging="720"/>
        <w:rPr>
          <w:szCs w:val="20"/>
        </w:rPr>
      </w:pPr>
      <w:r w:rsidRPr="00A47FD4">
        <w:rPr>
          <w:szCs w:val="20"/>
        </w:rPr>
        <w:t>(</w:t>
      </w:r>
      <w:r w:rsidR="0031273A">
        <w:rPr>
          <w:szCs w:val="20"/>
        </w:rPr>
        <w:t>d</w:t>
      </w:r>
      <w:r w:rsidRPr="00A47FD4">
        <w:rPr>
          <w:szCs w:val="20"/>
        </w:rPr>
        <w:t>)</w:t>
      </w:r>
      <w:r w:rsidRPr="00A47FD4">
        <w:rPr>
          <w:szCs w:val="20"/>
        </w:rPr>
        <w:tab/>
        <w:t>For any ADR proceeding invoked in connection with any other matter, the Market Participant must submit a complete written request for ADR no later than six months after the date on which information giving rise to the ADR request became available to the Market Participant.</w:t>
      </w:r>
    </w:p>
    <w:p w14:paraId="031902BC" w14:textId="77777777" w:rsidR="004250CE" w:rsidRPr="00A47FD4" w:rsidRDefault="004250CE" w:rsidP="004250CE">
      <w:pPr>
        <w:spacing w:after="240"/>
        <w:ind w:left="720" w:hanging="720"/>
        <w:rPr>
          <w:szCs w:val="20"/>
        </w:rPr>
      </w:pPr>
      <w:r w:rsidRPr="00A47FD4">
        <w:rPr>
          <w:szCs w:val="20"/>
        </w:rPr>
        <w:t>(2)</w:t>
      </w:r>
      <w:r w:rsidRPr="00A47FD4">
        <w:rPr>
          <w:szCs w:val="20"/>
        </w:rPr>
        <w:tab/>
        <w:t>If the Market Participant requesting ADR does not submit a complete written request for ADR (as set forth in Section 20.4, Initiation of ADR Proceedings) within the time required by paragraph (1) above, the Market Participant waives any claim regarding the dispute.</w:t>
      </w:r>
    </w:p>
    <w:p w14:paraId="718AA994" w14:textId="77777777" w:rsidR="004250CE" w:rsidRPr="00A47FD4" w:rsidRDefault="004250CE" w:rsidP="004250CE">
      <w:pPr>
        <w:keepNext/>
        <w:tabs>
          <w:tab w:val="left" w:pos="900"/>
        </w:tabs>
        <w:spacing w:before="240" w:after="240"/>
        <w:ind w:left="900" w:hanging="900"/>
        <w:outlineLvl w:val="1"/>
        <w:rPr>
          <w:b/>
          <w:szCs w:val="20"/>
        </w:rPr>
      </w:pPr>
      <w:bookmarkStart w:id="15" w:name="_Toc453764636"/>
      <w:bookmarkStart w:id="16" w:name="_Toc453764681"/>
      <w:bookmarkStart w:id="17" w:name="_Toc453764708"/>
      <w:bookmarkStart w:id="18" w:name="_Toc453764797"/>
      <w:bookmarkStart w:id="19" w:name="_Toc148961529"/>
      <w:r w:rsidRPr="00A47FD4">
        <w:rPr>
          <w:b/>
          <w:szCs w:val="20"/>
        </w:rPr>
        <w:t>20.3</w:t>
      </w:r>
      <w:r w:rsidRPr="00A47FD4">
        <w:rPr>
          <w:b/>
          <w:szCs w:val="20"/>
        </w:rPr>
        <w:tab/>
        <w:t>Exhaustion of Other Dispute Resolution Procedures</w:t>
      </w:r>
      <w:bookmarkEnd w:id="15"/>
      <w:bookmarkEnd w:id="16"/>
      <w:bookmarkEnd w:id="17"/>
      <w:bookmarkEnd w:id="18"/>
      <w:bookmarkEnd w:id="19"/>
    </w:p>
    <w:p w14:paraId="6F989750" w14:textId="77777777" w:rsidR="004250CE" w:rsidRPr="00A47FD4" w:rsidRDefault="004250CE" w:rsidP="004250CE">
      <w:pPr>
        <w:spacing w:after="240"/>
        <w:ind w:left="720" w:hanging="720"/>
      </w:pPr>
      <w:r w:rsidRPr="00A47FD4">
        <w:t>(1)</w:t>
      </w:r>
      <w:r w:rsidRPr="00A47FD4">
        <w:tab/>
        <w:t xml:space="preserve">When a section of these Protocols, an Other Binding Document, or an Agreement sets forth a dispute resolution procedure, a Market Participant shall exhaust that procedure prior to initiating an </w:t>
      </w:r>
      <w:r>
        <w:t>Alternative Dispute Resolution (</w:t>
      </w:r>
      <w:r w:rsidRPr="00A47FD4">
        <w:t>ADR</w:t>
      </w:r>
      <w:r>
        <w:t>)</w:t>
      </w:r>
      <w:r w:rsidRPr="00A47FD4">
        <w:t xml:space="preserve"> proceeding, including but not limited to the following:</w:t>
      </w:r>
    </w:p>
    <w:p w14:paraId="4BF1D544" w14:textId="77777777" w:rsidR="004250CE" w:rsidRPr="00A47FD4" w:rsidRDefault="004250CE" w:rsidP="004250CE">
      <w:pPr>
        <w:spacing w:after="240"/>
        <w:ind w:left="1440" w:hanging="720"/>
        <w:rPr>
          <w:iCs/>
          <w:szCs w:val="20"/>
        </w:rPr>
      </w:pPr>
      <w:r w:rsidRPr="00A47FD4">
        <w:rPr>
          <w:szCs w:val="20"/>
        </w:rPr>
        <w:lastRenderedPageBreak/>
        <w:t>(a)</w:t>
      </w:r>
      <w:r w:rsidRPr="00A47FD4">
        <w:rPr>
          <w:szCs w:val="20"/>
        </w:rPr>
        <w:tab/>
        <w:t>If a Market Participant seeks resolution of a</w:t>
      </w:r>
      <w:r w:rsidRPr="00A47FD4">
        <w:rPr>
          <w:iCs/>
          <w:szCs w:val="20"/>
        </w:rPr>
        <w:t xml:space="preserve"> variance subject to the Data Extract Variance Process</w:t>
      </w:r>
      <w:r w:rsidRPr="00A47FD4">
        <w:rPr>
          <w:szCs w:val="20"/>
        </w:rPr>
        <w:t>, the Market Participant must comply with that process</w:t>
      </w:r>
      <w:r w:rsidRPr="00A47FD4">
        <w:rPr>
          <w:iCs/>
          <w:szCs w:val="20"/>
        </w:rPr>
        <w:t xml:space="preserve"> prior to initiating an ADR proceeding, or the claim is waived.</w:t>
      </w:r>
    </w:p>
    <w:p w14:paraId="178F7FA0" w14:textId="77777777" w:rsidR="004250CE" w:rsidRPr="00A47FD4" w:rsidRDefault="004250CE" w:rsidP="004250CE">
      <w:pPr>
        <w:spacing w:after="240"/>
        <w:ind w:left="1440" w:hanging="720"/>
        <w:rPr>
          <w:szCs w:val="20"/>
        </w:rPr>
      </w:pPr>
      <w:r w:rsidRPr="00A47FD4">
        <w:rPr>
          <w:szCs w:val="20"/>
        </w:rPr>
        <w:t>(b)</w:t>
      </w:r>
      <w:r w:rsidRPr="00A47FD4">
        <w:rPr>
          <w:szCs w:val="20"/>
        </w:rPr>
        <w:tab/>
        <w:t xml:space="preserve">If a </w:t>
      </w:r>
      <w:proofErr w:type="gramStart"/>
      <w:r w:rsidRPr="00A47FD4">
        <w:rPr>
          <w:szCs w:val="20"/>
        </w:rPr>
        <w:t>Counter-Party</w:t>
      </w:r>
      <w:proofErr w:type="gramEnd"/>
      <w:r w:rsidRPr="00A47FD4">
        <w:rPr>
          <w:szCs w:val="20"/>
        </w:rPr>
        <w:t xml:space="preserve"> seeks correction of Settlement data and resettlement, except for resolution of a variance subject to the Data Extract Variance Process as described in paragraph (a) above, the Counter-Party must comply with the process set forth in Section 9.14, Settlement and Billing Dispute Process, prior to initiating an ADR proceeding, or the claim is waived.  </w:t>
      </w:r>
    </w:p>
    <w:p w14:paraId="771FE281" w14:textId="77777777" w:rsidR="00E431FD" w:rsidRDefault="00E431FD">
      <w:pPr>
        <w:pStyle w:val="H2"/>
      </w:pPr>
      <w:bookmarkStart w:id="20" w:name="_Toc453764637"/>
      <w:bookmarkStart w:id="21" w:name="_Toc453764682"/>
      <w:bookmarkStart w:id="22" w:name="_Toc453764709"/>
      <w:bookmarkStart w:id="23" w:name="_Toc453764798"/>
      <w:bookmarkStart w:id="24" w:name="_Toc148961530"/>
      <w:r w:rsidRPr="003760AA">
        <w:t>20.</w:t>
      </w:r>
      <w:r w:rsidR="004250CE">
        <w:t>4</w:t>
      </w:r>
      <w:r w:rsidRPr="003760AA">
        <w:tab/>
        <w:t>Initiation of ADR Proce</w:t>
      </w:r>
      <w:r w:rsidR="004250CE">
        <w:t>edings</w:t>
      </w:r>
      <w:bookmarkEnd w:id="20"/>
      <w:bookmarkEnd w:id="21"/>
      <w:bookmarkEnd w:id="22"/>
      <w:bookmarkEnd w:id="23"/>
      <w:bookmarkEnd w:id="24"/>
    </w:p>
    <w:p w14:paraId="1D4176B6" w14:textId="77777777" w:rsidR="004250CE" w:rsidRPr="00A47FD4" w:rsidRDefault="004250CE" w:rsidP="004250CE">
      <w:pPr>
        <w:spacing w:after="240"/>
        <w:ind w:left="720" w:hanging="720"/>
      </w:pPr>
      <w:r w:rsidRPr="00A47FD4">
        <w:t>(1)</w:t>
      </w:r>
      <w:r w:rsidRPr="00A47FD4">
        <w:tab/>
        <w:t>To initiate an Alternative Dispute Resolution (ADR) proceeding, a Market Participant shall complete and submit to the ERCOT Legal Department the designated form provided on the ERCOT website in the manner required by the form.</w:t>
      </w:r>
    </w:p>
    <w:p w14:paraId="7373E3BA" w14:textId="77777777" w:rsidR="004250CE" w:rsidRPr="00A47FD4" w:rsidRDefault="004250CE" w:rsidP="004250CE">
      <w:pPr>
        <w:spacing w:after="240"/>
        <w:ind w:left="1440" w:hanging="720"/>
        <w:rPr>
          <w:szCs w:val="20"/>
        </w:rPr>
      </w:pPr>
      <w:r w:rsidRPr="00A47FD4">
        <w:rPr>
          <w:szCs w:val="20"/>
        </w:rPr>
        <w:t>(a)</w:t>
      </w:r>
      <w:r w:rsidRPr="00A47FD4">
        <w:rPr>
          <w:szCs w:val="20"/>
        </w:rPr>
        <w:tab/>
        <w:t>All written requests shall include the following information:</w:t>
      </w:r>
    </w:p>
    <w:p w14:paraId="3FF45EF1" w14:textId="77777777" w:rsidR="004250CE" w:rsidRPr="00A47FD4" w:rsidRDefault="004250CE" w:rsidP="004250CE">
      <w:pPr>
        <w:spacing w:after="240"/>
        <w:ind w:left="2160" w:hanging="720"/>
        <w:rPr>
          <w:szCs w:val="20"/>
        </w:rPr>
      </w:pPr>
      <w:r w:rsidRPr="00A47FD4">
        <w:rPr>
          <w:szCs w:val="20"/>
        </w:rPr>
        <w:t>(i)</w:t>
      </w:r>
      <w:r w:rsidRPr="00A47FD4">
        <w:rPr>
          <w:szCs w:val="20"/>
        </w:rPr>
        <w:tab/>
        <w:t>The name of the disputing Market Participant;</w:t>
      </w:r>
    </w:p>
    <w:p w14:paraId="1CEB0D82" w14:textId="77777777" w:rsidR="004250CE" w:rsidRPr="00A47FD4" w:rsidRDefault="004250CE" w:rsidP="004250CE">
      <w:pPr>
        <w:spacing w:after="240"/>
        <w:ind w:left="2160" w:hanging="720"/>
        <w:rPr>
          <w:szCs w:val="20"/>
        </w:rPr>
      </w:pPr>
      <w:r w:rsidRPr="00A47FD4">
        <w:rPr>
          <w:szCs w:val="20"/>
        </w:rPr>
        <w:t>(ii)</w:t>
      </w:r>
      <w:r w:rsidRPr="00A47FD4">
        <w:rPr>
          <w:szCs w:val="20"/>
        </w:rPr>
        <w:tab/>
        <w:t>A description of the relief sought;</w:t>
      </w:r>
    </w:p>
    <w:p w14:paraId="0071F26C" w14:textId="77777777" w:rsidR="004250CE" w:rsidRPr="00A47FD4" w:rsidRDefault="004250CE" w:rsidP="004250CE">
      <w:pPr>
        <w:spacing w:after="240"/>
        <w:ind w:left="2160" w:hanging="720"/>
        <w:rPr>
          <w:szCs w:val="20"/>
        </w:rPr>
      </w:pPr>
      <w:r w:rsidRPr="00A47FD4">
        <w:rPr>
          <w:szCs w:val="20"/>
        </w:rPr>
        <w:t>(iii)</w:t>
      </w:r>
      <w:r w:rsidRPr="00A47FD4">
        <w:rPr>
          <w:szCs w:val="20"/>
        </w:rPr>
        <w:tab/>
        <w:t>A detailed description of the grounds for the relief and the basis of each claim that must, at a minimum, identify which statute(s), rule(s), Protocol Section(s), Other Binding Document(s), Agreement(s</w:t>
      </w:r>
      <w:proofErr w:type="gramStart"/>
      <w:r w:rsidRPr="00A47FD4">
        <w:rPr>
          <w:szCs w:val="20"/>
        </w:rPr>
        <w:t>)</w:t>
      </w:r>
      <w:proofErr w:type="gramEnd"/>
      <w:r w:rsidRPr="00A47FD4">
        <w:rPr>
          <w:szCs w:val="20"/>
        </w:rPr>
        <w:t xml:space="preserve"> or other law(s) are alleged to have been violated;</w:t>
      </w:r>
    </w:p>
    <w:p w14:paraId="2E6DC392" w14:textId="77777777" w:rsidR="004250CE" w:rsidRPr="00A47FD4" w:rsidRDefault="004250CE" w:rsidP="004250CE">
      <w:pPr>
        <w:spacing w:after="240"/>
        <w:ind w:left="2160" w:hanging="720"/>
        <w:rPr>
          <w:szCs w:val="20"/>
        </w:rPr>
      </w:pPr>
      <w:r w:rsidRPr="00A47FD4">
        <w:rPr>
          <w:szCs w:val="20"/>
        </w:rPr>
        <w:t>(iv)</w:t>
      </w:r>
      <w:r w:rsidRPr="00A47FD4">
        <w:rPr>
          <w:szCs w:val="20"/>
        </w:rPr>
        <w:tab/>
        <w:t>A list of all other parties that would be affected by the dispute; and</w:t>
      </w:r>
    </w:p>
    <w:p w14:paraId="43F48391" w14:textId="77777777" w:rsidR="004250CE" w:rsidRPr="00A47FD4" w:rsidRDefault="004250CE" w:rsidP="004250CE">
      <w:pPr>
        <w:spacing w:after="240"/>
        <w:ind w:left="2160" w:hanging="720"/>
        <w:rPr>
          <w:szCs w:val="20"/>
        </w:rPr>
      </w:pPr>
      <w:r w:rsidRPr="00A47FD4">
        <w:rPr>
          <w:szCs w:val="20"/>
        </w:rPr>
        <w:t>(v)</w:t>
      </w:r>
      <w:r w:rsidRPr="00A47FD4">
        <w:rPr>
          <w:szCs w:val="20"/>
        </w:rPr>
        <w:tab/>
        <w:t xml:space="preserve">Designation of a senior dispute representative.  </w:t>
      </w:r>
    </w:p>
    <w:p w14:paraId="16683A9E" w14:textId="77777777" w:rsidR="004250CE" w:rsidRPr="00A47FD4" w:rsidRDefault="004250CE" w:rsidP="004250CE">
      <w:pPr>
        <w:spacing w:after="240"/>
        <w:ind w:left="1440" w:hanging="720"/>
        <w:rPr>
          <w:szCs w:val="20"/>
        </w:rPr>
      </w:pPr>
      <w:r w:rsidRPr="00A47FD4">
        <w:rPr>
          <w:szCs w:val="20"/>
        </w:rPr>
        <w:t>(b)</w:t>
      </w:r>
      <w:r w:rsidRPr="00A47FD4">
        <w:rPr>
          <w:szCs w:val="20"/>
        </w:rPr>
        <w:tab/>
        <w:t>For ADR proceedings for which the Market Participant seeks a monetary resolution, the Market Participant shall also include the following information:</w:t>
      </w:r>
    </w:p>
    <w:p w14:paraId="379D6E9B" w14:textId="77777777" w:rsidR="004250CE" w:rsidRPr="00A47FD4" w:rsidRDefault="004250CE" w:rsidP="004250CE">
      <w:pPr>
        <w:spacing w:after="240"/>
        <w:ind w:left="2160" w:hanging="720"/>
        <w:rPr>
          <w:szCs w:val="20"/>
        </w:rPr>
      </w:pPr>
      <w:r w:rsidRPr="00A47FD4">
        <w:rPr>
          <w:szCs w:val="20"/>
        </w:rPr>
        <w:t>(i)</w:t>
      </w:r>
      <w:r w:rsidRPr="00A47FD4">
        <w:rPr>
          <w:szCs w:val="20"/>
        </w:rPr>
        <w:tab/>
        <w:t>Operating Day(s) involved in the dispute;</w:t>
      </w:r>
    </w:p>
    <w:p w14:paraId="2DA8F46B" w14:textId="77777777" w:rsidR="004250CE" w:rsidRPr="00A47FD4" w:rsidRDefault="004250CE" w:rsidP="004250CE">
      <w:pPr>
        <w:spacing w:after="240"/>
        <w:ind w:left="2160" w:hanging="720"/>
        <w:rPr>
          <w:szCs w:val="20"/>
        </w:rPr>
      </w:pPr>
      <w:r w:rsidRPr="00A47FD4">
        <w:rPr>
          <w:szCs w:val="20"/>
        </w:rPr>
        <w:t>(ii)</w:t>
      </w:r>
      <w:r w:rsidRPr="00A47FD4">
        <w:rPr>
          <w:szCs w:val="20"/>
        </w:rPr>
        <w:tab/>
        <w:t>Settlement dispute number (if applicable); and</w:t>
      </w:r>
    </w:p>
    <w:p w14:paraId="45B58AFB" w14:textId="77777777" w:rsidR="004250CE" w:rsidRPr="00A47FD4" w:rsidRDefault="004250CE" w:rsidP="004250CE">
      <w:pPr>
        <w:spacing w:after="240"/>
        <w:ind w:left="2160" w:hanging="720"/>
        <w:rPr>
          <w:szCs w:val="20"/>
        </w:rPr>
      </w:pPr>
      <w:r w:rsidRPr="00A47FD4">
        <w:rPr>
          <w:szCs w:val="20"/>
        </w:rPr>
        <w:t>(iii)</w:t>
      </w:r>
      <w:r w:rsidRPr="00A47FD4">
        <w:rPr>
          <w:szCs w:val="20"/>
        </w:rPr>
        <w:tab/>
        <w:t>Amount of compensation requested.</w:t>
      </w:r>
    </w:p>
    <w:p w14:paraId="60A19E6A" w14:textId="77777777" w:rsidR="00E431FD" w:rsidRDefault="004250CE" w:rsidP="00AB1A98">
      <w:pPr>
        <w:spacing w:after="240"/>
        <w:ind w:left="720" w:hanging="720"/>
      </w:pPr>
      <w:r w:rsidRPr="00A47FD4">
        <w:t>(2)</w:t>
      </w:r>
      <w:r w:rsidRPr="00A47FD4">
        <w:tab/>
        <w:t>The date on which ERCOT receives the completed ADR written request shall be the ADR initiation date.</w:t>
      </w:r>
    </w:p>
    <w:p w14:paraId="3347438B" w14:textId="77777777" w:rsidR="00E431FD" w:rsidRDefault="00E431FD">
      <w:pPr>
        <w:pStyle w:val="H2"/>
      </w:pPr>
      <w:bookmarkStart w:id="25" w:name="_Toc453764638"/>
      <w:bookmarkStart w:id="26" w:name="_Toc453764683"/>
      <w:bookmarkStart w:id="27" w:name="_Toc453764710"/>
      <w:bookmarkStart w:id="28" w:name="_Toc453764799"/>
      <w:bookmarkStart w:id="29" w:name="_Toc148961531"/>
      <w:r w:rsidRPr="003760AA">
        <w:lastRenderedPageBreak/>
        <w:t>20.</w:t>
      </w:r>
      <w:r w:rsidR="004250CE">
        <w:t>5</w:t>
      </w:r>
      <w:r w:rsidRPr="003760AA">
        <w:tab/>
      </w:r>
      <w:r w:rsidR="00A82BB9">
        <w:t xml:space="preserve">Alternative </w:t>
      </w:r>
      <w:r w:rsidRPr="003760AA">
        <w:t>Dispute Resolution</w:t>
      </w:r>
      <w:r w:rsidR="00A82BB9">
        <w:t xml:space="preserve"> Process</w:t>
      </w:r>
      <w:bookmarkEnd w:id="25"/>
      <w:bookmarkEnd w:id="26"/>
      <w:bookmarkEnd w:id="27"/>
      <w:bookmarkEnd w:id="28"/>
      <w:bookmarkEnd w:id="29"/>
    </w:p>
    <w:p w14:paraId="4FF6E8B6" w14:textId="77777777" w:rsidR="004250CE" w:rsidRPr="00A47FD4" w:rsidRDefault="004250CE" w:rsidP="004250CE">
      <w:pPr>
        <w:spacing w:after="240"/>
        <w:ind w:left="720" w:hanging="720"/>
      </w:pPr>
      <w:r w:rsidRPr="00A47FD4">
        <w:t>(1)</w:t>
      </w:r>
      <w:r w:rsidRPr="00A47FD4">
        <w:tab/>
        <w:t xml:space="preserve">No later than seven days after the Alternative Dispute Resolution (ADR) initiation date, ERCOT shall </w:t>
      </w:r>
      <w:r>
        <w:t xml:space="preserve">determine, and </w:t>
      </w:r>
      <w:r w:rsidRPr="00A47FD4">
        <w:t>provide Notice</w:t>
      </w:r>
      <w:r>
        <w:t xml:space="preserve"> to</w:t>
      </w:r>
      <w:r w:rsidRPr="00A47FD4">
        <w:t>,</w:t>
      </w:r>
      <w:r>
        <w:t xml:space="preserve"> all parties directly involved in the dispute.  Such Notice shall</w:t>
      </w:r>
      <w:r w:rsidRPr="00A47FD4">
        <w:t xml:space="preserve"> includ</w:t>
      </w:r>
      <w:r>
        <w:t>e</w:t>
      </w:r>
      <w:r w:rsidRPr="00A47FD4">
        <w:t xml:space="preserve"> the ADR file number and the designation of the ERCOT senior dispute representative.  </w:t>
      </w:r>
    </w:p>
    <w:p w14:paraId="4E4A7751" w14:textId="77777777" w:rsidR="004250CE" w:rsidRPr="00A47FD4" w:rsidRDefault="004250CE" w:rsidP="004250CE">
      <w:pPr>
        <w:spacing w:after="240"/>
        <w:ind w:left="720" w:hanging="720"/>
      </w:pPr>
      <w:r w:rsidRPr="00A47FD4">
        <w:t>(2)</w:t>
      </w:r>
      <w:r w:rsidRPr="00A47FD4">
        <w:tab/>
        <w:t>For ADR proceedings that involve more than one Market Participant, each Market Participant other than the Market Participant that submitted the ADR request shall provide the name and contact information of a senior dispute representative no later than seven days after receipt of Notice from ERCOT pursuant to paragraph (1) above.  If a Market Participant does not provide this information within the time required, the Market Participant waives its right to participate in the ADR proceeding.</w:t>
      </w:r>
    </w:p>
    <w:p w14:paraId="19D0392B" w14:textId="77777777" w:rsidR="00E431FD" w:rsidRDefault="00E431FD" w:rsidP="004250CE">
      <w:pPr>
        <w:pStyle w:val="BodyText"/>
        <w:ind w:left="720" w:hanging="720"/>
        <w:rPr>
          <w:szCs w:val="20"/>
        </w:rPr>
      </w:pPr>
      <w:r w:rsidRPr="003760AA">
        <w:rPr>
          <w:szCs w:val="20"/>
        </w:rPr>
        <w:t>(</w:t>
      </w:r>
      <w:r w:rsidR="004250CE">
        <w:rPr>
          <w:szCs w:val="20"/>
        </w:rPr>
        <w:t>3</w:t>
      </w:r>
      <w:r w:rsidRPr="003760AA">
        <w:rPr>
          <w:szCs w:val="20"/>
        </w:rPr>
        <w:t>)</w:t>
      </w:r>
      <w:r w:rsidRPr="003760AA">
        <w:rPr>
          <w:szCs w:val="20"/>
        </w:rPr>
        <w:tab/>
        <w:t xml:space="preserve">Any dispute subject to ADR as described in this Section shall be referred to a senior dispute representative of each of the parties to the dispute.  The senior dispute representative shall be an individual with authority to resolve the dispute (through delegation or otherwise).  </w:t>
      </w:r>
      <w:r w:rsidR="00FB16D0">
        <w:rPr>
          <w:szCs w:val="20"/>
        </w:rPr>
        <w:t>A disputing party may change its senior dispute representative upon reasonable written notice to all parties though such redesignation shall not extend any of the ADR timelines.</w:t>
      </w:r>
    </w:p>
    <w:p w14:paraId="642DD8D2" w14:textId="77777777" w:rsidR="00CC1390" w:rsidRPr="00A47FD4" w:rsidRDefault="00CC1390" w:rsidP="00CC1390">
      <w:pPr>
        <w:spacing w:after="240"/>
        <w:ind w:left="720" w:hanging="720"/>
      </w:pPr>
      <w:r w:rsidRPr="00A47FD4">
        <w:rPr>
          <w:szCs w:val="20"/>
        </w:rPr>
        <w:t>(4)</w:t>
      </w:r>
      <w:r w:rsidRPr="00A47FD4">
        <w:rPr>
          <w:szCs w:val="20"/>
        </w:rPr>
        <w:tab/>
      </w:r>
      <w:r w:rsidRPr="00A47FD4">
        <w:t xml:space="preserve">The parties to the dispute shall arrange a mutually convenient time and place for a meeting, with the initial ADR meeting taking place no later than </w:t>
      </w:r>
      <w:r>
        <w:t>75</w:t>
      </w:r>
      <w:r w:rsidRPr="00A47FD4">
        <w:t xml:space="preserve"> days after the ADR initiation date unless all parties agree to an extension of time.  If the </w:t>
      </w:r>
      <w:r w:rsidRPr="00C90996">
        <w:t xml:space="preserve">party that submitted the request for ADR fails to </w:t>
      </w:r>
      <w:r>
        <w:t>make reasonable efforts to schedule and attend</w:t>
      </w:r>
      <w:r w:rsidRPr="00C90996">
        <w:t xml:space="preserve"> the initial ADR meeting withi</w:t>
      </w:r>
      <w:r w:rsidRPr="00A47FD4">
        <w:t>n the time required (including any agreed-upon extension of time), ERCOT may, in its sole discretion, deny the dispute.</w:t>
      </w:r>
    </w:p>
    <w:p w14:paraId="4DE3E4F4" w14:textId="77777777" w:rsidR="00CC1390" w:rsidRDefault="00CC1390" w:rsidP="00CC1390">
      <w:pPr>
        <w:spacing w:after="240"/>
        <w:ind w:left="720" w:hanging="720"/>
        <w:rPr>
          <w:szCs w:val="20"/>
        </w:rPr>
      </w:pPr>
      <w:r w:rsidRPr="00A47FD4">
        <w:rPr>
          <w:szCs w:val="20"/>
        </w:rPr>
        <w:t>(5)</w:t>
      </w:r>
      <w:r w:rsidRPr="00A47FD4">
        <w:rPr>
          <w:szCs w:val="20"/>
        </w:rPr>
        <w:tab/>
        <w:t xml:space="preserve">After the initial ADR meeting, ERCOT may approve or deny the dispute in whole or in part </w:t>
      </w:r>
      <w:r w:rsidRPr="00C90996">
        <w:rPr>
          <w:szCs w:val="20"/>
        </w:rPr>
        <w:t>by issuing the disposition Market Notice described in paragraph (1) of Section 20.9, Resolution of Alternative Dispute Resolution Proceedings and Notification to Market Participants.  ERCOT must issue the Market Notice disposing of th</w:t>
      </w:r>
      <w:r w:rsidRPr="00A47FD4">
        <w:rPr>
          <w:szCs w:val="20"/>
        </w:rPr>
        <w:t xml:space="preserve">e ADR request no later than </w:t>
      </w:r>
      <w:r>
        <w:rPr>
          <w:szCs w:val="20"/>
        </w:rPr>
        <w:t>30</w:t>
      </w:r>
      <w:r w:rsidRPr="00A47FD4">
        <w:rPr>
          <w:szCs w:val="20"/>
        </w:rPr>
        <w:t xml:space="preserve"> days after the</w:t>
      </w:r>
      <w:r>
        <w:rPr>
          <w:szCs w:val="20"/>
        </w:rPr>
        <w:t xml:space="preserve"> initial</w:t>
      </w:r>
      <w:r w:rsidRPr="00A47FD4">
        <w:rPr>
          <w:szCs w:val="20"/>
        </w:rPr>
        <w:t xml:space="preserve"> ADR </w:t>
      </w:r>
      <w:r>
        <w:rPr>
          <w:szCs w:val="20"/>
        </w:rPr>
        <w:t>meeting</w:t>
      </w:r>
      <w:r w:rsidRPr="00A47FD4">
        <w:rPr>
          <w:szCs w:val="20"/>
        </w:rPr>
        <w:t xml:space="preserve"> unless all parties agree in writing to an extension of time.</w:t>
      </w:r>
    </w:p>
    <w:p w14:paraId="3AD3375D" w14:textId="77777777" w:rsidR="00CC1390" w:rsidRPr="00A47FD4" w:rsidRDefault="00CC1390" w:rsidP="00CC1390">
      <w:pPr>
        <w:spacing w:after="240"/>
        <w:ind w:left="720" w:hanging="720"/>
      </w:pPr>
      <w:r>
        <w:rPr>
          <w:szCs w:val="20"/>
        </w:rPr>
        <w:t>(6)</w:t>
      </w:r>
      <w:r>
        <w:rPr>
          <w:szCs w:val="20"/>
        </w:rPr>
        <w:tab/>
      </w:r>
      <w:r w:rsidRPr="00A47FD4">
        <w:rPr>
          <w:szCs w:val="20"/>
        </w:rPr>
        <w:t>If the senior dispute representatives cannot resolve the dispute by mutual agreement within 45 days after the initial senior dispute resolution meeting (unless all parties agree in writing to an extension of time), then</w:t>
      </w:r>
      <w:r>
        <w:rPr>
          <w:szCs w:val="20"/>
        </w:rPr>
        <w:t>, up</w:t>
      </w:r>
      <w:r w:rsidRPr="00A47FD4">
        <w:rPr>
          <w:szCs w:val="20"/>
        </w:rPr>
        <w:t>on the agreement of all parties</w:t>
      </w:r>
      <w:r>
        <w:rPr>
          <w:szCs w:val="20"/>
        </w:rPr>
        <w:t xml:space="preserve"> to the ADR,</w:t>
      </w:r>
      <w:r w:rsidRPr="00A47FD4">
        <w:rPr>
          <w:szCs w:val="20"/>
        </w:rPr>
        <w:t xml:space="preserve"> the dispute </w:t>
      </w:r>
      <w:r>
        <w:rPr>
          <w:szCs w:val="20"/>
        </w:rPr>
        <w:t>may</w:t>
      </w:r>
      <w:r w:rsidRPr="00A47FD4">
        <w:rPr>
          <w:szCs w:val="20"/>
        </w:rPr>
        <w:t xml:space="preserve"> be referred to </w:t>
      </w:r>
      <w:r>
        <w:rPr>
          <w:szCs w:val="20"/>
        </w:rPr>
        <w:t>m</w:t>
      </w:r>
      <w:r w:rsidRPr="00A47FD4">
        <w:rPr>
          <w:szCs w:val="20"/>
        </w:rPr>
        <w:t>ediation pursuant to Sectio</w:t>
      </w:r>
      <w:r>
        <w:rPr>
          <w:szCs w:val="20"/>
        </w:rPr>
        <w:t>n 20.6, Mediation Procedures.</w:t>
      </w:r>
    </w:p>
    <w:p w14:paraId="53FFB2A4" w14:textId="77777777" w:rsidR="00CC1390" w:rsidRPr="00A47FD4" w:rsidRDefault="00CC1390" w:rsidP="00CC1390">
      <w:pPr>
        <w:spacing w:after="240"/>
        <w:ind w:left="720" w:hanging="720"/>
        <w:rPr>
          <w:szCs w:val="20"/>
        </w:rPr>
      </w:pPr>
      <w:r w:rsidRPr="00A47FD4">
        <w:rPr>
          <w:szCs w:val="20"/>
        </w:rPr>
        <w:t>(</w:t>
      </w:r>
      <w:r>
        <w:rPr>
          <w:szCs w:val="20"/>
        </w:rPr>
        <w:t>7</w:t>
      </w:r>
      <w:r w:rsidRPr="00A47FD4">
        <w:rPr>
          <w:szCs w:val="20"/>
        </w:rPr>
        <w:t>)</w:t>
      </w:r>
      <w:r w:rsidRPr="00A47FD4">
        <w:rPr>
          <w:szCs w:val="20"/>
        </w:rPr>
        <w:tab/>
        <w:t xml:space="preserve">The parties to the dispute may elect to waive ADR by written agreement, which will also complete the ADR proceeding. </w:t>
      </w:r>
    </w:p>
    <w:p w14:paraId="13751ED7" w14:textId="77777777" w:rsidR="00CC1390" w:rsidRPr="00A47FD4" w:rsidRDefault="00CC1390" w:rsidP="00CC1390">
      <w:pPr>
        <w:spacing w:after="240"/>
        <w:ind w:left="720" w:hanging="720"/>
        <w:rPr>
          <w:szCs w:val="20"/>
        </w:rPr>
      </w:pPr>
      <w:r w:rsidRPr="00A47FD4">
        <w:rPr>
          <w:szCs w:val="20"/>
        </w:rPr>
        <w:t>(</w:t>
      </w:r>
      <w:r>
        <w:rPr>
          <w:szCs w:val="20"/>
        </w:rPr>
        <w:t>8</w:t>
      </w:r>
      <w:r w:rsidRPr="00A47FD4">
        <w:rPr>
          <w:szCs w:val="20"/>
        </w:rPr>
        <w:t>)</w:t>
      </w:r>
      <w:r w:rsidRPr="00A47FD4">
        <w:rPr>
          <w:szCs w:val="20"/>
        </w:rPr>
        <w:tab/>
        <w:t>The following table summarizes the ADR process timelines: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593"/>
        <w:gridCol w:w="1593"/>
        <w:gridCol w:w="1593"/>
        <w:gridCol w:w="1593"/>
        <w:gridCol w:w="1593"/>
      </w:tblGrid>
      <w:tr w:rsidR="00CC1390" w:rsidRPr="00A47FD4" w14:paraId="19C4311C" w14:textId="77777777" w:rsidTr="0044125A">
        <w:tc>
          <w:tcPr>
            <w:tcW w:w="1593" w:type="dxa"/>
            <w:shd w:val="clear" w:color="auto" w:fill="auto"/>
          </w:tcPr>
          <w:p w14:paraId="0F2CC8BE" w14:textId="77777777" w:rsidR="00CC1390" w:rsidRPr="00A47FD4" w:rsidRDefault="00CC1390" w:rsidP="0044125A">
            <w:pPr>
              <w:jc w:val="center"/>
              <w:rPr>
                <w:b/>
                <w:bCs/>
                <w:sz w:val="20"/>
                <w:szCs w:val="20"/>
              </w:rPr>
            </w:pPr>
            <w:r w:rsidRPr="00A47FD4">
              <w:rPr>
                <w:b/>
                <w:bCs/>
                <w:sz w:val="20"/>
                <w:szCs w:val="20"/>
              </w:rPr>
              <w:t xml:space="preserve">Deadline to submit ADR Request </w:t>
            </w:r>
          </w:p>
          <w:p w14:paraId="441DE210" w14:textId="77777777" w:rsidR="00CC1390" w:rsidRPr="00A47FD4" w:rsidRDefault="00CC1390" w:rsidP="0044125A">
            <w:pPr>
              <w:jc w:val="center"/>
              <w:rPr>
                <w:sz w:val="20"/>
                <w:szCs w:val="20"/>
              </w:rPr>
            </w:pPr>
            <w:r w:rsidRPr="00A47FD4">
              <w:rPr>
                <w:b/>
                <w:bCs/>
                <w:sz w:val="20"/>
                <w:szCs w:val="20"/>
              </w:rPr>
              <w:lastRenderedPageBreak/>
              <w:t>to ERCOT</w:t>
            </w:r>
          </w:p>
        </w:tc>
        <w:tc>
          <w:tcPr>
            <w:tcW w:w="1593" w:type="dxa"/>
            <w:shd w:val="clear" w:color="auto" w:fill="auto"/>
          </w:tcPr>
          <w:p w14:paraId="49764CC3" w14:textId="77777777" w:rsidR="00CC1390" w:rsidRPr="00E50412" w:rsidRDefault="00CC1390" w:rsidP="0044125A">
            <w:pPr>
              <w:jc w:val="center"/>
              <w:rPr>
                <w:b/>
                <w:bCs/>
                <w:sz w:val="20"/>
                <w:szCs w:val="20"/>
              </w:rPr>
            </w:pPr>
            <w:r w:rsidRPr="005A0F5A">
              <w:rPr>
                <w:b/>
                <w:bCs/>
                <w:sz w:val="20"/>
                <w:szCs w:val="20"/>
              </w:rPr>
              <w:lastRenderedPageBreak/>
              <w:t xml:space="preserve">ERCOT </w:t>
            </w:r>
          </w:p>
          <w:p w14:paraId="5A6BC395" w14:textId="77777777" w:rsidR="00CC1390" w:rsidRPr="005A0F5A" w:rsidRDefault="00CC1390" w:rsidP="0044125A">
            <w:pPr>
              <w:jc w:val="center"/>
              <w:rPr>
                <w:sz w:val="20"/>
                <w:szCs w:val="20"/>
              </w:rPr>
            </w:pPr>
            <w:r w:rsidRPr="005A0F5A">
              <w:rPr>
                <w:b/>
                <w:bCs/>
                <w:sz w:val="20"/>
                <w:szCs w:val="20"/>
              </w:rPr>
              <w:t>Notice of Receipt</w:t>
            </w:r>
          </w:p>
        </w:tc>
        <w:tc>
          <w:tcPr>
            <w:tcW w:w="1593" w:type="dxa"/>
            <w:shd w:val="clear" w:color="auto" w:fill="auto"/>
          </w:tcPr>
          <w:p w14:paraId="733B16CC" w14:textId="77777777" w:rsidR="00CC1390" w:rsidRPr="00E50412" w:rsidRDefault="00CC1390" w:rsidP="0044125A">
            <w:pPr>
              <w:jc w:val="center"/>
              <w:rPr>
                <w:b/>
                <w:bCs/>
                <w:sz w:val="20"/>
                <w:szCs w:val="20"/>
              </w:rPr>
            </w:pPr>
            <w:r w:rsidRPr="005A0F5A">
              <w:rPr>
                <w:b/>
                <w:bCs/>
                <w:sz w:val="20"/>
                <w:szCs w:val="20"/>
              </w:rPr>
              <w:t xml:space="preserve"> Other Market Participant</w:t>
            </w:r>
          </w:p>
          <w:p w14:paraId="3CE690FD" w14:textId="77777777" w:rsidR="00CC1390" w:rsidRPr="005A0F5A" w:rsidRDefault="00CC1390" w:rsidP="0044125A">
            <w:pPr>
              <w:jc w:val="center"/>
              <w:rPr>
                <w:b/>
                <w:bCs/>
                <w:sz w:val="20"/>
                <w:szCs w:val="20"/>
              </w:rPr>
            </w:pPr>
            <w:r w:rsidRPr="005A0F5A">
              <w:rPr>
                <w:b/>
                <w:bCs/>
                <w:sz w:val="20"/>
                <w:szCs w:val="20"/>
              </w:rPr>
              <w:t xml:space="preserve">Contact Info </w:t>
            </w:r>
          </w:p>
          <w:p w14:paraId="7454FD91" w14:textId="77777777" w:rsidR="00CC1390" w:rsidRPr="005A0F5A" w:rsidRDefault="00CC1390" w:rsidP="0044125A">
            <w:pPr>
              <w:jc w:val="center"/>
              <w:rPr>
                <w:sz w:val="20"/>
                <w:szCs w:val="20"/>
              </w:rPr>
            </w:pPr>
            <w:r w:rsidRPr="005A0F5A">
              <w:rPr>
                <w:b/>
                <w:bCs/>
                <w:sz w:val="20"/>
                <w:szCs w:val="20"/>
              </w:rPr>
              <w:lastRenderedPageBreak/>
              <w:t>to ERCOT</w:t>
            </w:r>
            <w:r w:rsidRPr="005A0F5A">
              <w:rPr>
                <w:b/>
                <w:bCs/>
                <w:sz w:val="20"/>
                <w:szCs w:val="20"/>
                <w:vertAlign w:val="superscript"/>
              </w:rPr>
              <w:t>1</w:t>
            </w:r>
          </w:p>
        </w:tc>
        <w:tc>
          <w:tcPr>
            <w:tcW w:w="1593" w:type="dxa"/>
            <w:shd w:val="clear" w:color="auto" w:fill="auto"/>
          </w:tcPr>
          <w:p w14:paraId="7B90A4B3" w14:textId="77777777" w:rsidR="00CC1390" w:rsidRPr="005A0F5A" w:rsidRDefault="00CC1390" w:rsidP="0044125A">
            <w:pPr>
              <w:jc w:val="center"/>
              <w:rPr>
                <w:sz w:val="20"/>
                <w:szCs w:val="20"/>
              </w:rPr>
            </w:pPr>
          </w:p>
        </w:tc>
        <w:tc>
          <w:tcPr>
            <w:tcW w:w="1593" w:type="dxa"/>
            <w:shd w:val="clear" w:color="auto" w:fill="auto"/>
          </w:tcPr>
          <w:p w14:paraId="770B5F22" w14:textId="77777777" w:rsidR="00CC1390" w:rsidRPr="00E50412" w:rsidRDefault="00CC1390" w:rsidP="0044125A">
            <w:pPr>
              <w:jc w:val="center"/>
              <w:rPr>
                <w:b/>
                <w:bCs/>
                <w:sz w:val="20"/>
                <w:szCs w:val="20"/>
              </w:rPr>
            </w:pPr>
            <w:r w:rsidRPr="005A0F5A">
              <w:rPr>
                <w:b/>
                <w:bCs/>
                <w:sz w:val="20"/>
                <w:szCs w:val="20"/>
              </w:rPr>
              <w:t>ERCOT/ Market Participant</w:t>
            </w:r>
          </w:p>
          <w:p w14:paraId="0A4DA227" w14:textId="77777777" w:rsidR="00CC1390" w:rsidRPr="005A0F5A" w:rsidRDefault="00CC1390" w:rsidP="0044125A">
            <w:pPr>
              <w:jc w:val="center"/>
              <w:rPr>
                <w:sz w:val="20"/>
                <w:szCs w:val="20"/>
              </w:rPr>
            </w:pPr>
            <w:r w:rsidRPr="005A0F5A">
              <w:rPr>
                <w:b/>
                <w:bCs/>
                <w:sz w:val="20"/>
                <w:szCs w:val="20"/>
              </w:rPr>
              <w:lastRenderedPageBreak/>
              <w:t>Initial ADR meeting</w:t>
            </w:r>
          </w:p>
        </w:tc>
        <w:tc>
          <w:tcPr>
            <w:tcW w:w="1593" w:type="dxa"/>
            <w:shd w:val="clear" w:color="auto" w:fill="auto"/>
          </w:tcPr>
          <w:p w14:paraId="5F525CF3" w14:textId="77777777" w:rsidR="00CC1390" w:rsidRPr="00E50412" w:rsidRDefault="00CC1390" w:rsidP="0044125A">
            <w:pPr>
              <w:jc w:val="center"/>
              <w:rPr>
                <w:b/>
                <w:bCs/>
                <w:sz w:val="20"/>
                <w:szCs w:val="20"/>
              </w:rPr>
            </w:pPr>
            <w:r w:rsidRPr="005A0F5A">
              <w:rPr>
                <w:b/>
                <w:bCs/>
                <w:sz w:val="20"/>
                <w:szCs w:val="20"/>
              </w:rPr>
              <w:lastRenderedPageBreak/>
              <w:t>ERCOT/ Market Participant</w:t>
            </w:r>
          </w:p>
          <w:p w14:paraId="75C4CB9D" w14:textId="77777777" w:rsidR="00CC1390" w:rsidRPr="005A0F5A" w:rsidRDefault="00CC1390" w:rsidP="0044125A">
            <w:pPr>
              <w:jc w:val="center"/>
              <w:rPr>
                <w:sz w:val="20"/>
                <w:szCs w:val="20"/>
              </w:rPr>
            </w:pPr>
            <w:r w:rsidRPr="005A0F5A">
              <w:rPr>
                <w:b/>
                <w:bCs/>
                <w:sz w:val="20"/>
                <w:szCs w:val="20"/>
              </w:rPr>
              <w:lastRenderedPageBreak/>
              <w:t>resolution of ADR</w:t>
            </w:r>
          </w:p>
        </w:tc>
      </w:tr>
      <w:tr w:rsidR="00CC1390" w:rsidRPr="00A47FD4" w14:paraId="79A856D7" w14:textId="77777777" w:rsidTr="0044125A">
        <w:trPr>
          <w:trHeight w:val="230"/>
        </w:trPr>
        <w:tc>
          <w:tcPr>
            <w:tcW w:w="1593" w:type="dxa"/>
            <w:vMerge w:val="restart"/>
            <w:shd w:val="clear" w:color="auto" w:fill="auto"/>
          </w:tcPr>
          <w:p w14:paraId="169CC861" w14:textId="77777777" w:rsidR="00CC1390" w:rsidRPr="00A47FD4" w:rsidRDefault="00CC1390" w:rsidP="0044125A">
            <w:pPr>
              <w:ind w:left="720" w:hanging="720"/>
              <w:jc w:val="center"/>
              <w:rPr>
                <w:b/>
                <w:bCs/>
                <w:sz w:val="20"/>
                <w:szCs w:val="20"/>
              </w:rPr>
            </w:pPr>
          </w:p>
          <w:p w14:paraId="17BFF67A" w14:textId="77777777" w:rsidR="00CC1390" w:rsidRPr="0016548D" w:rsidRDefault="00CC1390" w:rsidP="0044125A">
            <w:pPr>
              <w:jc w:val="center"/>
              <w:rPr>
                <w:b/>
                <w:bCs/>
                <w:sz w:val="20"/>
                <w:szCs w:val="20"/>
              </w:rPr>
            </w:pPr>
            <w:r w:rsidRPr="0016548D">
              <w:rPr>
                <w:b/>
                <w:bCs/>
                <w:sz w:val="20"/>
                <w:szCs w:val="20"/>
              </w:rPr>
              <w:t>≤ 45 days</w:t>
            </w:r>
          </w:p>
          <w:p w14:paraId="3A5F5381" w14:textId="77777777" w:rsidR="00CC1390" w:rsidRPr="0016548D" w:rsidRDefault="00CC1390" w:rsidP="0044125A">
            <w:pPr>
              <w:jc w:val="center"/>
              <w:rPr>
                <w:bCs/>
                <w:sz w:val="20"/>
                <w:szCs w:val="20"/>
              </w:rPr>
            </w:pPr>
            <w:r w:rsidRPr="0016548D">
              <w:rPr>
                <w:bCs/>
                <w:sz w:val="20"/>
                <w:szCs w:val="20"/>
              </w:rPr>
              <w:t>of denial (Settlement and billing dispute denied by ERCOT)</w:t>
            </w:r>
          </w:p>
          <w:p w14:paraId="761343A4" w14:textId="77777777" w:rsidR="00CC1390" w:rsidRPr="0016548D" w:rsidRDefault="00CC1390" w:rsidP="0044125A">
            <w:pPr>
              <w:jc w:val="center"/>
              <w:rPr>
                <w:bCs/>
                <w:sz w:val="20"/>
                <w:szCs w:val="20"/>
              </w:rPr>
            </w:pPr>
          </w:p>
          <w:p w14:paraId="5C16EB3B" w14:textId="77777777" w:rsidR="00CC1390" w:rsidRPr="0016548D" w:rsidRDefault="00CC1390" w:rsidP="0044125A">
            <w:pPr>
              <w:jc w:val="center"/>
              <w:rPr>
                <w:b/>
                <w:bCs/>
                <w:sz w:val="20"/>
                <w:szCs w:val="20"/>
              </w:rPr>
            </w:pPr>
            <w:r w:rsidRPr="0016548D">
              <w:rPr>
                <w:b/>
                <w:bCs/>
                <w:sz w:val="20"/>
                <w:szCs w:val="20"/>
              </w:rPr>
              <w:t>≤ 45 days</w:t>
            </w:r>
          </w:p>
          <w:p w14:paraId="764B0BA0" w14:textId="77777777" w:rsidR="00CC1390" w:rsidRPr="0016548D" w:rsidRDefault="00CC1390" w:rsidP="0044125A">
            <w:pPr>
              <w:jc w:val="center"/>
              <w:rPr>
                <w:bCs/>
                <w:sz w:val="20"/>
                <w:szCs w:val="20"/>
              </w:rPr>
            </w:pPr>
            <w:r w:rsidRPr="0016548D">
              <w:rPr>
                <w:bCs/>
                <w:sz w:val="20"/>
                <w:szCs w:val="20"/>
              </w:rPr>
              <w:t>of True-Up (Data Extract Variance dispute not resolved by True-Up)</w:t>
            </w:r>
          </w:p>
          <w:p w14:paraId="3809E71F" w14:textId="77777777" w:rsidR="00CC1390" w:rsidRPr="0016548D" w:rsidRDefault="00CC1390" w:rsidP="0044125A">
            <w:pPr>
              <w:jc w:val="center"/>
              <w:rPr>
                <w:bCs/>
                <w:sz w:val="20"/>
                <w:szCs w:val="20"/>
              </w:rPr>
            </w:pPr>
          </w:p>
          <w:p w14:paraId="6EF45C9C" w14:textId="77777777" w:rsidR="00CC1390" w:rsidRPr="0016548D" w:rsidRDefault="00CC1390" w:rsidP="0044125A">
            <w:pPr>
              <w:jc w:val="center"/>
              <w:rPr>
                <w:b/>
                <w:bCs/>
                <w:sz w:val="20"/>
                <w:szCs w:val="20"/>
              </w:rPr>
            </w:pPr>
            <w:r w:rsidRPr="0016548D">
              <w:rPr>
                <w:b/>
                <w:bCs/>
                <w:sz w:val="20"/>
                <w:szCs w:val="20"/>
              </w:rPr>
              <w:t>≤ 6 months</w:t>
            </w:r>
          </w:p>
          <w:p w14:paraId="2F91D066" w14:textId="77777777" w:rsidR="00CC1390" w:rsidRPr="0016548D" w:rsidRDefault="00CC1390" w:rsidP="0044125A">
            <w:pPr>
              <w:jc w:val="center"/>
              <w:rPr>
                <w:bCs/>
                <w:sz w:val="20"/>
                <w:szCs w:val="20"/>
              </w:rPr>
            </w:pPr>
            <w:r w:rsidRPr="0016548D">
              <w:rPr>
                <w:bCs/>
                <w:sz w:val="20"/>
                <w:szCs w:val="20"/>
              </w:rPr>
              <w:t>from date on which information giving rise to ADR request became available (any other dispute)</w:t>
            </w:r>
          </w:p>
          <w:p w14:paraId="07F4991F" w14:textId="77777777" w:rsidR="00CC1390" w:rsidRPr="00A47FD4" w:rsidRDefault="00CC1390" w:rsidP="0044125A">
            <w:pPr>
              <w:ind w:left="720" w:hanging="720"/>
              <w:jc w:val="center"/>
              <w:rPr>
                <w:sz w:val="20"/>
                <w:szCs w:val="20"/>
              </w:rPr>
            </w:pPr>
          </w:p>
        </w:tc>
        <w:tc>
          <w:tcPr>
            <w:tcW w:w="1593" w:type="dxa"/>
            <w:vMerge w:val="restart"/>
            <w:shd w:val="clear" w:color="auto" w:fill="auto"/>
            <w:vAlign w:val="center"/>
          </w:tcPr>
          <w:p w14:paraId="4DA2F95A" w14:textId="77777777" w:rsidR="00CC1390" w:rsidRPr="005A0F5A" w:rsidRDefault="00CC1390" w:rsidP="0044125A">
            <w:pPr>
              <w:jc w:val="center"/>
              <w:rPr>
                <w:b/>
                <w:bCs/>
                <w:sz w:val="20"/>
                <w:szCs w:val="20"/>
              </w:rPr>
            </w:pPr>
            <w:r w:rsidRPr="005A0F5A">
              <w:rPr>
                <w:b/>
                <w:bCs/>
                <w:sz w:val="20"/>
                <w:szCs w:val="20"/>
              </w:rPr>
              <w:t>≤ 7 days</w:t>
            </w:r>
          </w:p>
          <w:p w14:paraId="0044C94A" w14:textId="77777777" w:rsidR="00CC1390" w:rsidRPr="00E50412" w:rsidRDefault="00CC1390" w:rsidP="0044125A">
            <w:pPr>
              <w:jc w:val="center"/>
              <w:rPr>
                <w:bCs/>
                <w:sz w:val="20"/>
                <w:szCs w:val="20"/>
              </w:rPr>
            </w:pPr>
            <w:r w:rsidRPr="005A0F5A">
              <w:rPr>
                <w:bCs/>
                <w:sz w:val="20"/>
                <w:szCs w:val="20"/>
              </w:rPr>
              <w:t>after ADR initiation date</w:t>
            </w:r>
          </w:p>
        </w:tc>
        <w:tc>
          <w:tcPr>
            <w:tcW w:w="1593" w:type="dxa"/>
            <w:vMerge w:val="restart"/>
            <w:shd w:val="clear" w:color="auto" w:fill="auto"/>
            <w:vAlign w:val="center"/>
          </w:tcPr>
          <w:p w14:paraId="69EADC52" w14:textId="77777777" w:rsidR="00CC1390" w:rsidRPr="00E50412" w:rsidRDefault="00CC1390" w:rsidP="0044125A">
            <w:pPr>
              <w:jc w:val="center"/>
              <w:rPr>
                <w:bCs/>
                <w:sz w:val="20"/>
                <w:szCs w:val="20"/>
              </w:rPr>
            </w:pPr>
          </w:p>
          <w:p w14:paraId="721317B8" w14:textId="77777777" w:rsidR="00CC1390" w:rsidRPr="005A0F5A" w:rsidRDefault="00CC1390" w:rsidP="0044125A">
            <w:pPr>
              <w:jc w:val="center"/>
              <w:rPr>
                <w:b/>
                <w:bCs/>
                <w:sz w:val="20"/>
                <w:szCs w:val="20"/>
              </w:rPr>
            </w:pPr>
            <w:r w:rsidRPr="005A0F5A">
              <w:rPr>
                <w:b/>
                <w:bCs/>
                <w:sz w:val="20"/>
                <w:szCs w:val="20"/>
              </w:rPr>
              <w:t>≤ 7 days</w:t>
            </w:r>
          </w:p>
          <w:p w14:paraId="6181E594" w14:textId="77777777" w:rsidR="00CC1390" w:rsidRPr="00E50412" w:rsidRDefault="00CC1390" w:rsidP="0044125A">
            <w:pPr>
              <w:jc w:val="center"/>
              <w:rPr>
                <w:bCs/>
                <w:sz w:val="20"/>
                <w:szCs w:val="20"/>
              </w:rPr>
            </w:pPr>
            <w:r w:rsidRPr="005A0F5A">
              <w:rPr>
                <w:bCs/>
                <w:sz w:val="20"/>
                <w:szCs w:val="20"/>
              </w:rPr>
              <w:t>after receipt of ERCOT Notice of receipt</w:t>
            </w:r>
          </w:p>
        </w:tc>
        <w:tc>
          <w:tcPr>
            <w:tcW w:w="1593" w:type="dxa"/>
            <w:vMerge w:val="restart"/>
            <w:shd w:val="clear" w:color="auto" w:fill="auto"/>
            <w:vAlign w:val="center"/>
          </w:tcPr>
          <w:p w14:paraId="4F5142CB" w14:textId="77777777" w:rsidR="00CC1390" w:rsidRPr="00E50412" w:rsidRDefault="00CC1390" w:rsidP="0044125A">
            <w:pPr>
              <w:jc w:val="center"/>
              <w:rPr>
                <w:bCs/>
                <w:sz w:val="20"/>
                <w:szCs w:val="20"/>
              </w:rPr>
            </w:pPr>
          </w:p>
          <w:p w14:paraId="7B7C5264" w14:textId="77777777" w:rsidR="00CC1390" w:rsidRPr="005A0F5A" w:rsidRDefault="00CC1390" w:rsidP="0044125A">
            <w:pPr>
              <w:jc w:val="center"/>
              <w:rPr>
                <w:bCs/>
                <w:sz w:val="20"/>
                <w:szCs w:val="20"/>
              </w:rPr>
            </w:pPr>
          </w:p>
          <w:p w14:paraId="6B71AEB3" w14:textId="77777777" w:rsidR="00CC1390" w:rsidRPr="005A0F5A" w:rsidRDefault="00CC1390" w:rsidP="0044125A">
            <w:pPr>
              <w:jc w:val="center"/>
              <w:rPr>
                <w:bCs/>
                <w:sz w:val="20"/>
                <w:szCs w:val="20"/>
              </w:rPr>
            </w:pPr>
          </w:p>
          <w:p w14:paraId="03480A48" w14:textId="77777777" w:rsidR="00CC1390" w:rsidRPr="00E50412" w:rsidRDefault="00CC1390" w:rsidP="0044125A">
            <w:pPr>
              <w:jc w:val="center"/>
              <w:rPr>
                <w:bCs/>
                <w:sz w:val="20"/>
                <w:szCs w:val="20"/>
              </w:rPr>
            </w:pPr>
          </w:p>
        </w:tc>
        <w:tc>
          <w:tcPr>
            <w:tcW w:w="1593" w:type="dxa"/>
            <w:vMerge w:val="restart"/>
            <w:shd w:val="clear" w:color="auto" w:fill="auto"/>
            <w:vAlign w:val="center"/>
          </w:tcPr>
          <w:p w14:paraId="7DBF2C5E" w14:textId="77777777" w:rsidR="00CC1390" w:rsidRPr="00E50412" w:rsidRDefault="00CC1390" w:rsidP="0044125A">
            <w:pPr>
              <w:jc w:val="center"/>
              <w:rPr>
                <w:bCs/>
                <w:sz w:val="20"/>
                <w:szCs w:val="20"/>
              </w:rPr>
            </w:pPr>
          </w:p>
          <w:p w14:paraId="2A16058B" w14:textId="77777777" w:rsidR="00CC1390" w:rsidRPr="005A0F5A" w:rsidRDefault="00CC1390" w:rsidP="0044125A">
            <w:pPr>
              <w:jc w:val="center"/>
              <w:rPr>
                <w:b/>
                <w:bCs/>
                <w:sz w:val="20"/>
                <w:szCs w:val="20"/>
              </w:rPr>
            </w:pPr>
            <w:r w:rsidRPr="005A0F5A">
              <w:rPr>
                <w:b/>
                <w:bCs/>
                <w:sz w:val="20"/>
                <w:szCs w:val="20"/>
              </w:rPr>
              <w:t>≤ 75 days</w:t>
            </w:r>
          </w:p>
          <w:p w14:paraId="29DF6590" w14:textId="77777777" w:rsidR="00CC1390" w:rsidRPr="00E50412" w:rsidRDefault="00CC1390" w:rsidP="0044125A">
            <w:pPr>
              <w:jc w:val="center"/>
              <w:rPr>
                <w:bCs/>
                <w:sz w:val="20"/>
                <w:szCs w:val="20"/>
              </w:rPr>
            </w:pPr>
            <w:r w:rsidRPr="005A0F5A">
              <w:rPr>
                <w:bCs/>
                <w:sz w:val="20"/>
                <w:szCs w:val="20"/>
              </w:rPr>
              <w:t>after ADR initiation date</w:t>
            </w:r>
            <w:r w:rsidRPr="00E50412">
              <w:rPr>
                <w:bCs/>
                <w:sz w:val="20"/>
                <w:szCs w:val="20"/>
                <w:vertAlign w:val="superscript"/>
              </w:rPr>
              <w:t>2</w:t>
            </w:r>
          </w:p>
        </w:tc>
        <w:tc>
          <w:tcPr>
            <w:tcW w:w="1593" w:type="dxa"/>
            <w:vMerge w:val="restart"/>
            <w:shd w:val="clear" w:color="auto" w:fill="auto"/>
            <w:vAlign w:val="center"/>
          </w:tcPr>
          <w:p w14:paraId="7A480466" w14:textId="77777777" w:rsidR="00CC1390" w:rsidRPr="00E50412" w:rsidRDefault="00CC1390" w:rsidP="0044125A">
            <w:pPr>
              <w:jc w:val="center"/>
              <w:rPr>
                <w:bCs/>
                <w:sz w:val="20"/>
                <w:szCs w:val="20"/>
              </w:rPr>
            </w:pPr>
          </w:p>
          <w:p w14:paraId="37DDBB03" w14:textId="77777777" w:rsidR="00CC1390" w:rsidRPr="005A0F5A" w:rsidRDefault="00CC1390" w:rsidP="0044125A">
            <w:pPr>
              <w:jc w:val="center"/>
              <w:rPr>
                <w:b/>
                <w:bCs/>
                <w:sz w:val="20"/>
                <w:szCs w:val="20"/>
              </w:rPr>
            </w:pPr>
            <w:r w:rsidRPr="005A0F5A">
              <w:rPr>
                <w:b/>
                <w:bCs/>
                <w:sz w:val="20"/>
                <w:szCs w:val="20"/>
              </w:rPr>
              <w:t>≤ 30 days</w:t>
            </w:r>
          </w:p>
          <w:p w14:paraId="505C229A" w14:textId="77777777" w:rsidR="00CC1390" w:rsidRPr="00E50412" w:rsidRDefault="00CC1390" w:rsidP="0044125A">
            <w:pPr>
              <w:jc w:val="center"/>
              <w:rPr>
                <w:bCs/>
                <w:sz w:val="20"/>
                <w:szCs w:val="20"/>
              </w:rPr>
            </w:pPr>
            <w:r w:rsidRPr="005A0F5A">
              <w:rPr>
                <w:bCs/>
                <w:sz w:val="20"/>
                <w:szCs w:val="20"/>
              </w:rPr>
              <w:t>after initial ADR meeting</w:t>
            </w:r>
            <w:r w:rsidRPr="00E50412">
              <w:rPr>
                <w:bCs/>
                <w:sz w:val="20"/>
                <w:szCs w:val="20"/>
                <w:vertAlign w:val="superscript"/>
              </w:rPr>
              <w:t>2</w:t>
            </w:r>
          </w:p>
        </w:tc>
      </w:tr>
      <w:tr w:rsidR="00CC1390" w:rsidRPr="00A47FD4" w14:paraId="101A2059" w14:textId="77777777" w:rsidTr="0044125A">
        <w:trPr>
          <w:trHeight w:val="230"/>
        </w:trPr>
        <w:tc>
          <w:tcPr>
            <w:tcW w:w="1593" w:type="dxa"/>
            <w:vMerge/>
            <w:shd w:val="clear" w:color="auto" w:fill="auto"/>
          </w:tcPr>
          <w:p w14:paraId="4A1881B2" w14:textId="77777777" w:rsidR="00CC1390" w:rsidRPr="00A47FD4" w:rsidRDefault="00CC1390" w:rsidP="0044125A">
            <w:pPr>
              <w:ind w:left="720" w:hanging="720"/>
              <w:jc w:val="center"/>
              <w:rPr>
                <w:sz w:val="20"/>
                <w:szCs w:val="20"/>
              </w:rPr>
            </w:pPr>
          </w:p>
        </w:tc>
        <w:tc>
          <w:tcPr>
            <w:tcW w:w="1593" w:type="dxa"/>
            <w:vMerge/>
            <w:shd w:val="clear" w:color="auto" w:fill="auto"/>
            <w:vAlign w:val="center"/>
          </w:tcPr>
          <w:p w14:paraId="293472CA" w14:textId="77777777" w:rsidR="00CC1390" w:rsidRPr="00A47FD4" w:rsidRDefault="00CC1390" w:rsidP="0044125A">
            <w:pPr>
              <w:ind w:left="720" w:hanging="720"/>
              <w:jc w:val="center"/>
              <w:rPr>
                <w:sz w:val="20"/>
                <w:szCs w:val="20"/>
              </w:rPr>
            </w:pPr>
          </w:p>
        </w:tc>
        <w:tc>
          <w:tcPr>
            <w:tcW w:w="1593" w:type="dxa"/>
            <w:vMerge/>
            <w:shd w:val="clear" w:color="auto" w:fill="auto"/>
            <w:vAlign w:val="center"/>
          </w:tcPr>
          <w:p w14:paraId="5C248327" w14:textId="77777777" w:rsidR="00CC1390" w:rsidRPr="00A47FD4" w:rsidRDefault="00CC1390" w:rsidP="0044125A">
            <w:pPr>
              <w:ind w:left="720" w:hanging="720"/>
              <w:jc w:val="center"/>
              <w:rPr>
                <w:sz w:val="20"/>
                <w:szCs w:val="20"/>
              </w:rPr>
            </w:pPr>
          </w:p>
        </w:tc>
        <w:tc>
          <w:tcPr>
            <w:tcW w:w="1593" w:type="dxa"/>
            <w:vMerge/>
            <w:shd w:val="clear" w:color="auto" w:fill="auto"/>
            <w:vAlign w:val="center"/>
          </w:tcPr>
          <w:p w14:paraId="7FC84BDA" w14:textId="77777777" w:rsidR="00CC1390" w:rsidRPr="00A47FD4" w:rsidRDefault="00CC1390" w:rsidP="0044125A">
            <w:pPr>
              <w:ind w:left="720" w:hanging="720"/>
              <w:jc w:val="center"/>
              <w:rPr>
                <w:sz w:val="20"/>
                <w:szCs w:val="20"/>
              </w:rPr>
            </w:pPr>
          </w:p>
        </w:tc>
        <w:tc>
          <w:tcPr>
            <w:tcW w:w="1593" w:type="dxa"/>
            <w:vMerge/>
            <w:shd w:val="clear" w:color="auto" w:fill="auto"/>
            <w:vAlign w:val="center"/>
          </w:tcPr>
          <w:p w14:paraId="4212DE7C" w14:textId="77777777" w:rsidR="00CC1390" w:rsidRPr="00A47FD4" w:rsidRDefault="00CC1390" w:rsidP="0044125A">
            <w:pPr>
              <w:ind w:left="720" w:hanging="720"/>
              <w:jc w:val="center"/>
              <w:rPr>
                <w:sz w:val="20"/>
                <w:szCs w:val="20"/>
              </w:rPr>
            </w:pPr>
          </w:p>
        </w:tc>
        <w:tc>
          <w:tcPr>
            <w:tcW w:w="1593" w:type="dxa"/>
            <w:vMerge/>
            <w:shd w:val="clear" w:color="auto" w:fill="auto"/>
            <w:vAlign w:val="center"/>
          </w:tcPr>
          <w:p w14:paraId="68EE114A" w14:textId="77777777" w:rsidR="00CC1390" w:rsidRPr="00A47FD4" w:rsidRDefault="00CC1390" w:rsidP="0044125A">
            <w:pPr>
              <w:ind w:left="720" w:hanging="720"/>
              <w:jc w:val="center"/>
              <w:rPr>
                <w:sz w:val="20"/>
                <w:szCs w:val="20"/>
              </w:rPr>
            </w:pPr>
          </w:p>
        </w:tc>
      </w:tr>
      <w:tr w:rsidR="00CC1390" w:rsidRPr="00A47FD4" w14:paraId="7BE558E3" w14:textId="77777777" w:rsidTr="0044125A">
        <w:trPr>
          <w:trHeight w:val="230"/>
        </w:trPr>
        <w:tc>
          <w:tcPr>
            <w:tcW w:w="1593" w:type="dxa"/>
            <w:vMerge/>
            <w:shd w:val="clear" w:color="auto" w:fill="auto"/>
          </w:tcPr>
          <w:p w14:paraId="5557AF5A" w14:textId="77777777" w:rsidR="00CC1390" w:rsidRPr="00A47FD4" w:rsidRDefault="00CC1390" w:rsidP="0044125A">
            <w:pPr>
              <w:ind w:left="720" w:hanging="720"/>
              <w:jc w:val="center"/>
              <w:rPr>
                <w:sz w:val="20"/>
                <w:szCs w:val="20"/>
              </w:rPr>
            </w:pPr>
          </w:p>
        </w:tc>
        <w:tc>
          <w:tcPr>
            <w:tcW w:w="1593" w:type="dxa"/>
            <w:vMerge/>
            <w:shd w:val="clear" w:color="auto" w:fill="auto"/>
          </w:tcPr>
          <w:p w14:paraId="1FEEF24E" w14:textId="77777777" w:rsidR="00CC1390" w:rsidRPr="00A47FD4" w:rsidRDefault="00CC1390" w:rsidP="0044125A">
            <w:pPr>
              <w:ind w:left="720" w:hanging="720"/>
              <w:jc w:val="center"/>
              <w:rPr>
                <w:sz w:val="20"/>
                <w:szCs w:val="20"/>
              </w:rPr>
            </w:pPr>
          </w:p>
        </w:tc>
        <w:tc>
          <w:tcPr>
            <w:tcW w:w="1593" w:type="dxa"/>
            <w:vMerge/>
            <w:shd w:val="clear" w:color="auto" w:fill="auto"/>
          </w:tcPr>
          <w:p w14:paraId="2CD24F50" w14:textId="77777777" w:rsidR="00CC1390" w:rsidRPr="00A47FD4" w:rsidRDefault="00CC1390" w:rsidP="0044125A">
            <w:pPr>
              <w:ind w:left="720" w:hanging="720"/>
              <w:jc w:val="center"/>
              <w:rPr>
                <w:sz w:val="20"/>
                <w:szCs w:val="20"/>
              </w:rPr>
            </w:pPr>
          </w:p>
        </w:tc>
        <w:tc>
          <w:tcPr>
            <w:tcW w:w="1593" w:type="dxa"/>
            <w:vMerge/>
            <w:shd w:val="clear" w:color="auto" w:fill="auto"/>
          </w:tcPr>
          <w:p w14:paraId="1B3973A7" w14:textId="77777777" w:rsidR="00CC1390" w:rsidRPr="00A47FD4" w:rsidRDefault="00CC1390" w:rsidP="0044125A">
            <w:pPr>
              <w:ind w:left="720" w:hanging="720"/>
              <w:jc w:val="center"/>
              <w:rPr>
                <w:sz w:val="20"/>
                <w:szCs w:val="20"/>
              </w:rPr>
            </w:pPr>
          </w:p>
        </w:tc>
        <w:tc>
          <w:tcPr>
            <w:tcW w:w="1593" w:type="dxa"/>
            <w:vMerge/>
            <w:shd w:val="clear" w:color="auto" w:fill="auto"/>
          </w:tcPr>
          <w:p w14:paraId="06167B01" w14:textId="77777777" w:rsidR="00CC1390" w:rsidRPr="00A47FD4" w:rsidRDefault="00CC1390" w:rsidP="0044125A">
            <w:pPr>
              <w:ind w:left="720" w:hanging="720"/>
              <w:jc w:val="center"/>
              <w:rPr>
                <w:sz w:val="20"/>
                <w:szCs w:val="20"/>
              </w:rPr>
            </w:pPr>
          </w:p>
        </w:tc>
        <w:tc>
          <w:tcPr>
            <w:tcW w:w="1593" w:type="dxa"/>
            <w:vMerge/>
            <w:shd w:val="clear" w:color="auto" w:fill="auto"/>
          </w:tcPr>
          <w:p w14:paraId="277984B8" w14:textId="77777777" w:rsidR="00CC1390" w:rsidRPr="00A47FD4" w:rsidRDefault="00CC1390" w:rsidP="0044125A">
            <w:pPr>
              <w:ind w:left="720" w:hanging="720"/>
              <w:jc w:val="center"/>
              <w:rPr>
                <w:sz w:val="20"/>
                <w:szCs w:val="20"/>
              </w:rPr>
            </w:pPr>
          </w:p>
        </w:tc>
      </w:tr>
    </w:tbl>
    <w:p w14:paraId="288FF8B3" w14:textId="77777777" w:rsidR="00CC1390" w:rsidRPr="00A47FD4" w:rsidRDefault="00CC1390" w:rsidP="00CC1390">
      <w:pPr>
        <w:ind w:left="720" w:hanging="720"/>
        <w:rPr>
          <w:sz w:val="20"/>
          <w:szCs w:val="20"/>
        </w:rPr>
      </w:pPr>
      <w:r w:rsidRPr="00A47FD4">
        <w:rPr>
          <w:sz w:val="20"/>
          <w:szCs w:val="20"/>
        </w:rPr>
        <w:t>Notes:</w:t>
      </w:r>
    </w:p>
    <w:p w14:paraId="3644A4CC" w14:textId="77777777" w:rsidR="00CC1390" w:rsidRDefault="00CC1390" w:rsidP="00CC1390">
      <w:pPr>
        <w:ind w:left="720" w:hanging="720"/>
        <w:rPr>
          <w:sz w:val="20"/>
          <w:szCs w:val="20"/>
        </w:rPr>
      </w:pPr>
      <w:r w:rsidRPr="00A47FD4">
        <w:rPr>
          <w:sz w:val="20"/>
          <w:szCs w:val="20"/>
        </w:rPr>
        <w:t>1.</w:t>
      </w:r>
      <w:r w:rsidRPr="00A47FD4">
        <w:rPr>
          <w:sz w:val="20"/>
          <w:szCs w:val="20"/>
        </w:rPr>
        <w:tab/>
        <w:t>If required pursuant to paragraph (2) above.</w:t>
      </w:r>
    </w:p>
    <w:p w14:paraId="027301AD" w14:textId="77777777" w:rsidR="00CC1390" w:rsidRPr="00A47FD4" w:rsidRDefault="00CC1390" w:rsidP="00CC1390">
      <w:pPr>
        <w:ind w:left="720" w:hanging="720"/>
        <w:rPr>
          <w:sz w:val="20"/>
          <w:szCs w:val="20"/>
        </w:rPr>
      </w:pPr>
      <w:r w:rsidRPr="00A47FD4">
        <w:rPr>
          <w:sz w:val="20"/>
          <w:szCs w:val="20"/>
        </w:rPr>
        <w:t>2.</w:t>
      </w:r>
      <w:r w:rsidRPr="00A47FD4">
        <w:rPr>
          <w:sz w:val="20"/>
          <w:szCs w:val="20"/>
        </w:rPr>
        <w:tab/>
        <w:t>Unless all parties agree to an extension of time.</w:t>
      </w:r>
    </w:p>
    <w:p w14:paraId="1113FBFA" w14:textId="77777777" w:rsidR="00CC1390" w:rsidRPr="00A47FD4" w:rsidRDefault="00CC1390" w:rsidP="00AB1A98">
      <w:pPr>
        <w:keepNext/>
        <w:tabs>
          <w:tab w:val="left" w:pos="900"/>
        </w:tabs>
        <w:spacing w:before="480" w:after="240"/>
        <w:ind w:left="900" w:hanging="900"/>
        <w:outlineLvl w:val="1"/>
        <w:rPr>
          <w:b/>
          <w:szCs w:val="20"/>
        </w:rPr>
      </w:pPr>
      <w:bookmarkStart w:id="30" w:name="_Toc453764639"/>
      <w:bookmarkStart w:id="31" w:name="_Toc453764684"/>
      <w:bookmarkStart w:id="32" w:name="_Toc453764711"/>
      <w:bookmarkStart w:id="33" w:name="_Toc453764800"/>
      <w:bookmarkStart w:id="34" w:name="_Toc148961532"/>
      <w:r w:rsidRPr="00A47FD4">
        <w:rPr>
          <w:b/>
          <w:szCs w:val="20"/>
        </w:rPr>
        <w:t>20.</w:t>
      </w:r>
      <w:r>
        <w:rPr>
          <w:b/>
          <w:szCs w:val="20"/>
        </w:rPr>
        <w:t>6</w:t>
      </w:r>
      <w:r w:rsidRPr="00A47FD4">
        <w:rPr>
          <w:b/>
          <w:szCs w:val="20"/>
        </w:rPr>
        <w:tab/>
        <w:t>Mediation Procedures</w:t>
      </w:r>
      <w:bookmarkEnd w:id="30"/>
      <w:bookmarkEnd w:id="31"/>
      <w:bookmarkEnd w:id="32"/>
      <w:bookmarkEnd w:id="33"/>
      <w:bookmarkEnd w:id="34"/>
    </w:p>
    <w:p w14:paraId="46B66D28" w14:textId="77777777" w:rsidR="00CC1390" w:rsidRPr="00A47FD4" w:rsidRDefault="00CC1390" w:rsidP="00CC1390">
      <w:pPr>
        <w:spacing w:after="240"/>
        <w:ind w:left="720" w:hanging="720"/>
      </w:pPr>
      <w:r w:rsidRPr="00A47FD4">
        <w:rPr>
          <w:szCs w:val="20"/>
        </w:rPr>
        <w:t>(1)</w:t>
      </w:r>
      <w:r w:rsidRPr="00A47FD4">
        <w:rPr>
          <w:szCs w:val="20"/>
        </w:rPr>
        <w:tab/>
        <w:t>The parties shall agree on a mediator who has no past or present official, financial, or personal conflict of interest with respect to the issues or parties in dispute, unless the interest is fully disclosed in writing to all participants in the dispute and all such participants waive in writing any objection to the conflict of interest.  If the parties are unable to agree on a mediator within ten days of the agreement to mediate, then the Commercial Mediation Rules of the American Arbitration Association (AAA) will be used to select the mediator.</w:t>
      </w:r>
    </w:p>
    <w:p w14:paraId="5F865F03" w14:textId="77777777" w:rsidR="00CC1390" w:rsidRPr="00A47FD4" w:rsidRDefault="00CC1390" w:rsidP="00CC1390">
      <w:pPr>
        <w:spacing w:after="240"/>
        <w:ind w:left="720" w:hanging="720"/>
      </w:pPr>
      <w:r w:rsidRPr="00A47FD4">
        <w:rPr>
          <w:szCs w:val="20"/>
        </w:rPr>
        <w:t>(2)</w:t>
      </w:r>
      <w:r w:rsidRPr="00A47FD4">
        <w:rPr>
          <w:szCs w:val="20"/>
        </w:rPr>
        <w:tab/>
        <w:t xml:space="preserve">The mediator and senior dispute representatives of the parties shall commence mediation of the dispute within ten days after the mediator’s date of appointment.  Communications regarding mediation shall be confidential and shall not be referred to or disclosed in any subsequent proceeding.  The mediator shall aid the parties in reaching a mutually acceptable resolution of the dispute.  If agreement regarding </w:t>
      </w:r>
      <w:r>
        <w:rPr>
          <w:szCs w:val="20"/>
        </w:rPr>
        <w:t xml:space="preserve">the </w:t>
      </w:r>
      <w:r w:rsidR="009F4812">
        <w:rPr>
          <w:szCs w:val="20"/>
        </w:rPr>
        <w:t>Alternative Dispute Resolution (</w:t>
      </w:r>
      <w:r>
        <w:rPr>
          <w:szCs w:val="20"/>
        </w:rPr>
        <w:t>ADR</w:t>
      </w:r>
      <w:r w:rsidR="009F4812">
        <w:rPr>
          <w:szCs w:val="20"/>
        </w:rPr>
        <w:t>)</w:t>
      </w:r>
      <w:r w:rsidRPr="00A47FD4">
        <w:rPr>
          <w:szCs w:val="20"/>
        </w:rPr>
        <w:t xml:space="preserve"> cannot be reached, any of the parties may apply for relief to the Public Utility Commission of Texas (PUCT), or any other Governmental Authority.</w:t>
      </w:r>
    </w:p>
    <w:p w14:paraId="40F7DADE" w14:textId="77777777" w:rsidR="00E431FD" w:rsidRDefault="00E431FD">
      <w:pPr>
        <w:pStyle w:val="H2"/>
      </w:pPr>
      <w:bookmarkStart w:id="35" w:name="_Toc453764640"/>
      <w:bookmarkStart w:id="36" w:name="_Toc453764685"/>
      <w:bookmarkStart w:id="37" w:name="_Toc453764712"/>
      <w:bookmarkStart w:id="38" w:name="_Toc453764801"/>
      <w:bookmarkStart w:id="39" w:name="_Hlk147916388"/>
      <w:bookmarkStart w:id="40" w:name="_Toc148961533"/>
      <w:r w:rsidRPr="003760AA">
        <w:lastRenderedPageBreak/>
        <w:t>20.</w:t>
      </w:r>
      <w:r w:rsidR="00CC1390">
        <w:t>7</w:t>
      </w:r>
      <w:r w:rsidRPr="003760AA">
        <w:tab/>
      </w:r>
      <w:r w:rsidR="00CC1390">
        <w:t xml:space="preserve">Alternative </w:t>
      </w:r>
      <w:r w:rsidRPr="003760AA">
        <w:t>Dispute Resolution Costs</w:t>
      </w:r>
      <w:bookmarkEnd w:id="35"/>
      <w:bookmarkEnd w:id="36"/>
      <w:bookmarkEnd w:id="37"/>
      <w:bookmarkEnd w:id="38"/>
      <w:r w:rsidR="00E16F75" w:rsidRPr="00E16F75">
        <w:t xml:space="preserve"> </w:t>
      </w:r>
      <w:r w:rsidR="00E16F75" w:rsidRPr="00585E54">
        <w:t>and Return of Settlement Funds</w:t>
      </w:r>
      <w:bookmarkEnd w:id="40"/>
    </w:p>
    <w:p w14:paraId="7F945C3F" w14:textId="77777777" w:rsidR="00E431FD" w:rsidRDefault="00E431FD" w:rsidP="003F57E9">
      <w:pPr>
        <w:pStyle w:val="BodyText"/>
        <w:ind w:left="720" w:hanging="720"/>
      </w:pPr>
      <w:r w:rsidRPr="003760AA">
        <w:rPr>
          <w:iCs/>
          <w:szCs w:val="20"/>
        </w:rPr>
        <w:t>(1)</w:t>
      </w:r>
      <w:r w:rsidRPr="003760AA">
        <w:rPr>
          <w:iCs/>
          <w:szCs w:val="20"/>
        </w:rPr>
        <w:tab/>
        <w:t>Each party shall be responsible for its own costs incurred during an Alternative Dispute Resolution (ADR)</w:t>
      </w:r>
      <w:r w:rsidR="00E16F75" w:rsidRPr="00E16F75">
        <w:rPr>
          <w:iCs/>
          <w:szCs w:val="20"/>
        </w:rPr>
        <w:t xml:space="preserve"> </w:t>
      </w:r>
      <w:r w:rsidR="00E16F75" w:rsidRPr="00585E54">
        <w:rPr>
          <w:iCs/>
          <w:szCs w:val="20"/>
        </w:rPr>
        <w:t>or Return of Settlement Funds (RSF)</w:t>
      </w:r>
      <w:r w:rsidRPr="003760AA">
        <w:rPr>
          <w:iCs/>
          <w:szCs w:val="20"/>
        </w:rPr>
        <w:t xml:space="preserve"> </w:t>
      </w:r>
      <w:r w:rsidR="00CC1390">
        <w:rPr>
          <w:iCs/>
          <w:szCs w:val="20"/>
        </w:rPr>
        <w:t>proceeding</w:t>
      </w:r>
      <w:r w:rsidRPr="003760AA">
        <w:rPr>
          <w:iCs/>
          <w:szCs w:val="20"/>
        </w:rPr>
        <w:t>.</w:t>
      </w:r>
    </w:p>
    <w:p w14:paraId="79A3E8C6" w14:textId="77777777" w:rsidR="00E431FD" w:rsidRDefault="00E431FD">
      <w:pPr>
        <w:pStyle w:val="H2"/>
      </w:pPr>
      <w:bookmarkStart w:id="41" w:name="_Toc453764641"/>
      <w:bookmarkStart w:id="42" w:name="_Toc453764686"/>
      <w:bookmarkStart w:id="43" w:name="_Toc453764713"/>
      <w:bookmarkStart w:id="44" w:name="_Toc453764802"/>
      <w:bookmarkStart w:id="45" w:name="_Toc148961534"/>
      <w:r w:rsidRPr="003760AA">
        <w:t>20.</w:t>
      </w:r>
      <w:r w:rsidR="00CC1390">
        <w:t>8</w:t>
      </w:r>
      <w:r w:rsidRPr="003760AA">
        <w:tab/>
        <w:t xml:space="preserve">Requests for </w:t>
      </w:r>
      <w:r w:rsidR="00CC1390">
        <w:t xml:space="preserve">Documents and </w:t>
      </w:r>
      <w:r w:rsidRPr="003760AA">
        <w:t>Data</w:t>
      </w:r>
      <w:bookmarkEnd w:id="41"/>
      <w:bookmarkEnd w:id="42"/>
      <w:bookmarkEnd w:id="43"/>
      <w:bookmarkEnd w:id="44"/>
      <w:bookmarkEnd w:id="45"/>
    </w:p>
    <w:p w14:paraId="2025F8EE" w14:textId="77777777" w:rsidR="00E431FD" w:rsidRDefault="00E431FD">
      <w:pPr>
        <w:pStyle w:val="BodyText"/>
        <w:ind w:left="720" w:hanging="720"/>
      </w:pPr>
      <w:r w:rsidRPr="003760AA">
        <w:rPr>
          <w:szCs w:val="20"/>
        </w:rPr>
        <w:t>(1)</w:t>
      </w:r>
      <w:r w:rsidRPr="003760AA">
        <w:rPr>
          <w:szCs w:val="20"/>
        </w:rPr>
        <w:tab/>
        <w:t xml:space="preserve">If, as part of the Alternative Dispute Resolution (ADR) </w:t>
      </w:r>
      <w:r w:rsidR="00CC1390">
        <w:rPr>
          <w:szCs w:val="20"/>
        </w:rPr>
        <w:t>proceeding</w:t>
      </w:r>
      <w:r w:rsidR="00E16F75" w:rsidRPr="00E16F75">
        <w:rPr>
          <w:szCs w:val="20"/>
        </w:rPr>
        <w:t xml:space="preserve"> </w:t>
      </w:r>
      <w:r w:rsidR="00E16F75" w:rsidRPr="00585E54">
        <w:rPr>
          <w:szCs w:val="20"/>
        </w:rPr>
        <w:t>or Return of Settlement Funds (RSF) proceeding</w:t>
      </w:r>
      <w:r w:rsidRPr="003760AA">
        <w:rPr>
          <w:szCs w:val="20"/>
        </w:rPr>
        <w:t>, a party requests documents or data from another party to the ADR</w:t>
      </w:r>
      <w:r w:rsidR="00E16F75">
        <w:rPr>
          <w:szCs w:val="20"/>
        </w:rPr>
        <w:t xml:space="preserve"> or RSF</w:t>
      </w:r>
      <w:r w:rsidR="00CC1390">
        <w:rPr>
          <w:szCs w:val="20"/>
        </w:rPr>
        <w:t xml:space="preserve"> proceeding</w:t>
      </w:r>
      <w:r w:rsidRPr="003760AA">
        <w:rPr>
          <w:szCs w:val="20"/>
        </w:rPr>
        <w:t xml:space="preserve">, the responding party must provide </w:t>
      </w:r>
      <w:r w:rsidR="00CC1390">
        <w:rPr>
          <w:szCs w:val="20"/>
        </w:rPr>
        <w:t xml:space="preserve">one of the following </w:t>
      </w:r>
      <w:r w:rsidRPr="003760AA">
        <w:rPr>
          <w:szCs w:val="20"/>
        </w:rPr>
        <w:t>within 15 days of the request:</w:t>
      </w:r>
    </w:p>
    <w:p w14:paraId="6BCB85D2" w14:textId="77777777" w:rsidR="00E431FD" w:rsidRDefault="00E431FD">
      <w:pPr>
        <w:pStyle w:val="List"/>
        <w:ind w:left="1440"/>
      </w:pPr>
      <w:r w:rsidRPr="003760AA">
        <w:t>(a)</w:t>
      </w:r>
      <w:r w:rsidRPr="003760AA">
        <w:tab/>
        <w:t>The requested documents or data;</w:t>
      </w:r>
    </w:p>
    <w:p w14:paraId="79D9AE70" w14:textId="77777777" w:rsidR="00E431FD" w:rsidRDefault="00E431FD">
      <w:pPr>
        <w:pStyle w:val="List"/>
        <w:ind w:left="1440"/>
      </w:pPr>
      <w:r w:rsidRPr="003760AA">
        <w:t>(b)</w:t>
      </w:r>
      <w:r w:rsidRPr="003760AA">
        <w:tab/>
        <w:t>An explanation of why the documents or data should not be produced (</w:t>
      </w:r>
      <w:r w:rsidRPr="003760AA">
        <w:rPr>
          <w:i/>
        </w:rPr>
        <w:t>e.g.</w:t>
      </w:r>
      <w:r w:rsidR="00304E4B">
        <w:rPr>
          <w:i/>
        </w:rPr>
        <w:t>,</w:t>
      </w:r>
      <w:r w:rsidRPr="003760AA">
        <w:rPr>
          <w:i/>
        </w:rPr>
        <w:t xml:space="preserve"> </w:t>
      </w:r>
      <w:r w:rsidRPr="003760AA">
        <w:t>relevance); or</w:t>
      </w:r>
    </w:p>
    <w:p w14:paraId="2F060748" w14:textId="77777777" w:rsidR="00E431FD" w:rsidRDefault="00E431FD">
      <w:pPr>
        <w:pStyle w:val="List"/>
        <w:ind w:left="1440"/>
      </w:pPr>
      <w:r w:rsidRPr="003760AA">
        <w:t>(c)</w:t>
      </w:r>
      <w:r w:rsidRPr="003760AA">
        <w:tab/>
        <w:t>An explanation of why the information cannot be provided on that date and a reasonable date on which the documents or data will be produced.</w:t>
      </w:r>
    </w:p>
    <w:p w14:paraId="15523418" w14:textId="77777777" w:rsidR="00E431FD" w:rsidRDefault="00E431FD">
      <w:pPr>
        <w:pStyle w:val="BodyText"/>
        <w:ind w:left="720" w:hanging="720"/>
      </w:pPr>
      <w:r w:rsidRPr="003760AA">
        <w:rPr>
          <w:szCs w:val="20"/>
        </w:rPr>
        <w:t>(</w:t>
      </w:r>
      <w:r w:rsidR="00CC1390">
        <w:rPr>
          <w:szCs w:val="20"/>
        </w:rPr>
        <w:t>2</w:t>
      </w:r>
      <w:r w:rsidRPr="003760AA">
        <w:rPr>
          <w:szCs w:val="20"/>
        </w:rPr>
        <w:t>)</w:t>
      </w:r>
      <w:r w:rsidRPr="003760AA">
        <w:rPr>
          <w:szCs w:val="20"/>
        </w:rPr>
        <w:tab/>
        <w:t xml:space="preserve">All information provided pursuant to this subsection </w:t>
      </w:r>
      <w:r w:rsidR="00CC1390">
        <w:rPr>
          <w:szCs w:val="20"/>
        </w:rPr>
        <w:t>shall</w:t>
      </w:r>
      <w:r w:rsidRPr="003760AA">
        <w:rPr>
          <w:szCs w:val="20"/>
        </w:rPr>
        <w:t xml:space="preserve"> be provided by mail, </w:t>
      </w:r>
      <w:r w:rsidR="00CC1390">
        <w:rPr>
          <w:szCs w:val="20"/>
        </w:rPr>
        <w:t>email</w:t>
      </w:r>
      <w:r w:rsidRPr="003760AA">
        <w:rPr>
          <w:szCs w:val="20"/>
        </w:rPr>
        <w:t xml:space="preserve">, or other </w:t>
      </w:r>
      <w:r w:rsidR="00CC1390">
        <w:rPr>
          <w:szCs w:val="20"/>
        </w:rPr>
        <w:t>mutually agreed-upon method</w:t>
      </w:r>
      <w:r w:rsidRPr="003760AA">
        <w:rPr>
          <w:szCs w:val="20"/>
        </w:rPr>
        <w:t>.</w:t>
      </w:r>
    </w:p>
    <w:p w14:paraId="0DA53585" w14:textId="77777777" w:rsidR="00E431FD" w:rsidRDefault="00E431FD" w:rsidP="00AB1A98">
      <w:pPr>
        <w:pStyle w:val="H2"/>
        <w:rPr>
          <w:color w:val="000000"/>
        </w:rPr>
      </w:pPr>
      <w:bookmarkStart w:id="46" w:name="_Toc453764642"/>
      <w:bookmarkStart w:id="47" w:name="_Toc453764687"/>
      <w:bookmarkStart w:id="48" w:name="_Toc453764714"/>
      <w:bookmarkStart w:id="49" w:name="_Toc453764803"/>
      <w:bookmarkStart w:id="50" w:name="_Toc148961535"/>
      <w:bookmarkEnd w:id="39"/>
      <w:r w:rsidRPr="003760AA">
        <w:rPr>
          <w:color w:val="000000"/>
        </w:rPr>
        <w:t>20.</w:t>
      </w:r>
      <w:r w:rsidR="00CC1390">
        <w:rPr>
          <w:color w:val="000000"/>
        </w:rPr>
        <w:t>9</w:t>
      </w:r>
      <w:r w:rsidRPr="003760AA">
        <w:rPr>
          <w:color w:val="000000"/>
        </w:rPr>
        <w:tab/>
      </w:r>
      <w:r w:rsidRPr="00AB1A98">
        <w:t>Resolution</w:t>
      </w:r>
      <w:r w:rsidRPr="003760AA">
        <w:rPr>
          <w:color w:val="000000"/>
        </w:rPr>
        <w:t xml:space="preserve"> of </w:t>
      </w:r>
      <w:r w:rsidR="00CC1390">
        <w:rPr>
          <w:color w:val="000000"/>
        </w:rPr>
        <w:t xml:space="preserve">Alternative </w:t>
      </w:r>
      <w:r w:rsidRPr="003760AA">
        <w:rPr>
          <w:color w:val="000000"/>
        </w:rPr>
        <w:t>Dispute</w:t>
      </w:r>
      <w:r w:rsidR="00CC1390">
        <w:rPr>
          <w:color w:val="000000"/>
        </w:rPr>
        <w:t xml:space="preserve"> Resolution Proceeding</w:t>
      </w:r>
      <w:r w:rsidRPr="003760AA">
        <w:rPr>
          <w:color w:val="000000"/>
        </w:rPr>
        <w:t>s and Notification to Market Participants</w:t>
      </w:r>
      <w:bookmarkEnd w:id="46"/>
      <w:bookmarkEnd w:id="47"/>
      <w:bookmarkEnd w:id="48"/>
      <w:bookmarkEnd w:id="49"/>
      <w:bookmarkEnd w:id="50"/>
      <w:r w:rsidRPr="003760AA">
        <w:rPr>
          <w:color w:val="000000"/>
        </w:rPr>
        <w:t xml:space="preserve"> </w:t>
      </w:r>
    </w:p>
    <w:p w14:paraId="1602D6A8" w14:textId="77777777" w:rsidR="00CC1390" w:rsidRPr="00A47FD4" w:rsidRDefault="00CC1390" w:rsidP="00CC1390">
      <w:pPr>
        <w:spacing w:after="240"/>
        <w:ind w:left="720" w:hanging="720"/>
      </w:pPr>
      <w:r w:rsidRPr="00A47FD4">
        <w:rPr>
          <w:szCs w:val="20"/>
        </w:rPr>
        <w:t>(1)</w:t>
      </w:r>
      <w:r w:rsidRPr="00A47FD4">
        <w:rPr>
          <w:szCs w:val="20"/>
        </w:rPr>
        <w:tab/>
      </w:r>
      <w:r w:rsidRPr="00C90996">
        <w:rPr>
          <w:szCs w:val="20"/>
        </w:rPr>
        <w:t xml:space="preserve">If ERCOT has determined the appropriate disposition of an Alternative Dispute Resolution (ADR) proceeding, ERCOT shall issue a Market Notice </w:t>
      </w:r>
      <w:r w:rsidRPr="00C90996">
        <w:t xml:space="preserve">providing a brief description of the relevant facts, a list of the parties involved in the dispute, the disposition of the </w:t>
      </w:r>
      <w:r w:rsidRPr="00C90996">
        <w:rPr>
          <w:szCs w:val="20"/>
        </w:rPr>
        <w:t xml:space="preserve">proceeding and the reasoning supporting the resolution.  </w:t>
      </w:r>
      <w:r w:rsidRPr="00C90996">
        <w:t xml:space="preserve">No later than seven days prior to issuing a Market Notice pursuant to this paragraph (1), ERCOT shall provide a copy of the proposed Market Notice, including the proposed issuance date, to the party that submitted the request for ADR, </w:t>
      </w:r>
      <w:r>
        <w:t>who</w:t>
      </w:r>
      <w:r w:rsidRPr="00C90996">
        <w:t xml:space="preserve"> may comment on the proposed Market Notice.</w:t>
      </w:r>
    </w:p>
    <w:p w14:paraId="05F1AC5F" w14:textId="77777777" w:rsidR="00CC1390" w:rsidRPr="00A47FD4" w:rsidRDefault="00CC1390" w:rsidP="00CC1390">
      <w:pPr>
        <w:spacing w:after="240"/>
        <w:ind w:left="720" w:hanging="720"/>
        <w:rPr>
          <w:szCs w:val="20"/>
        </w:rPr>
      </w:pPr>
      <w:r w:rsidRPr="00A47FD4">
        <w:rPr>
          <w:szCs w:val="20"/>
        </w:rPr>
        <w:t>(2)</w:t>
      </w:r>
      <w:r w:rsidRPr="00A47FD4">
        <w:rPr>
          <w:szCs w:val="20"/>
        </w:rPr>
        <w:tab/>
        <w:t xml:space="preserve">In addition to the Market Notice described in paragraph (1) above, if an ADR claim is approved in whole or in part, ERCOT shall issue a Market Notice describing the total resettlement amount and the </w:t>
      </w:r>
      <w:proofErr w:type="gramStart"/>
      <w:r w:rsidRPr="00A47FD4">
        <w:rPr>
          <w:szCs w:val="20"/>
        </w:rPr>
        <w:t>manner in which</w:t>
      </w:r>
      <w:proofErr w:type="gramEnd"/>
      <w:r w:rsidRPr="00A47FD4">
        <w:rPr>
          <w:szCs w:val="20"/>
        </w:rPr>
        <w:t xml:space="preserve"> the resulting overpayments or underpayments will be allocated to the appropriate Settlement Statement recipients and Invoice Recipients, including the specific Settlement Statements and Invoices that will be affected.  The Market Notice shall include the information required by Section 9.2.6, Notice of Resettlement for the DAM, or Section 9.5.7, Notice of Resettlement for the Real-Time Market, as applicable.</w:t>
      </w:r>
    </w:p>
    <w:p w14:paraId="236E7AFA" w14:textId="77777777" w:rsidR="00CC1390" w:rsidRPr="00BF7996" w:rsidRDefault="00CC1390" w:rsidP="00CC1390">
      <w:pPr>
        <w:spacing w:after="240"/>
        <w:ind w:left="720" w:hanging="720"/>
      </w:pPr>
      <w:r w:rsidRPr="00A47FD4">
        <w:rPr>
          <w:szCs w:val="20"/>
        </w:rPr>
        <w:t>(3)</w:t>
      </w:r>
      <w:r w:rsidRPr="00A47FD4">
        <w:rPr>
          <w:szCs w:val="20"/>
        </w:rPr>
        <w:tab/>
        <w:t xml:space="preserve">If, in connection with the disposition of an ADR proceeding, ERCOT determines that it is appropriate to correct Day-Ahead </w:t>
      </w:r>
      <w:r w:rsidR="008D7EC1">
        <w:rPr>
          <w:szCs w:val="20"/>
        </w:rPr>
        <w:t xml:space="preserve">Market </w:t>
      </w:r>
      <w:r w:rsidRPr="00A47FD4">
        <w:rPr>
          <w:szCs w:val="20"/>
        </w:rPr>
        <w:t>Clearing Prices for Capacity (MCPCs), Day-</w:t>
      </w:r>
      <w:r w:rsidRPr="00A47FD4">
        <w:rPr>
          <w:szCs w:val="20"/>
        </w:rPr>
        <w:lastRenderedPageBreak/>
        <w:t>Ahead hourly Locational Marginal Prices (LMPs), Day-Ahead Settlement Point Prices</w:t>
      </w:r>
      <w:r w:rsidR="009F4812">
        <w:rPr>
          <w:szCs w:val="20"/>
        </w:rPr>
        <w:t xml:space="preserve"> (DASPPs)</w:t>
      </w:r>
      <w:r w:rsidRPr="00A47FD4">
        <w:rPr>
          <w:szCs w:val="20"/>
        </w:rPr>
        <w:t>, Real-Time Settlement Point Prices, Real-Time Settlement Point LMPs, Real-Time Electrical Bus LMPs, Real-Time prices for energy metered, Real-Time On-Line Reserve Price Adders, Real-Time Off-Line Reserve Price Adders, Real-Time Reserve Prices for On-Line Reserves, Real-Time Reserve Prices for Off-Line Reserves</w:t>
      </w:r>
      <w:r w:rsidRPr="00BF7996">
        <w:rPr>
          <w:szCs w:val="20"/>
        </w:rPr>
        <w:t>, Real-Time On-Line Reliability Deployment Adders, Real-Time On-Line Reliability Deployment Prices, and/or constraint Shadow Prices, approval of the ERCOT Board pursuant to paragraph (</w:t>
      </w:r>
      <w:r w:rsidR="009E4A77">
        <w:rPr>
          <w:szCs w:val="20"/>
        </w:rPr>
        <w:t>6</w:t>
      </w:r>
      <w:r w:rsidRPr="00BF7996">
        <w:rPr>
          <w:szCs w:val="20"/>
        </w:rPr>
        <w:t>) of Section 4.5.3, Communicating DAM Results</w:t>
      </w:r>
      <w:r w:rsidR="009F4812">
        <w:rPr>
          <w:szCs w:val="20"/>
        </w:rPr>
        <w:t>,</w:t>
      </w:r>
      <w:r w:rsidRPr="00BF7996">
        <w:rPr>
          <w:szCs w:val="20"/>
        </w:rPr>
        <w:t xml:space="preserve"> or paragraph (</w:t>
      </w:r>
      <w:r w:rsidR="009E4A77">
        <w:rPr>
          <w:szCs w:val="20"/>
        </w:rPr>
        <w:t>7</w:t>
      </w:r>
      <w:r w:rsidRPr="00BF7996">
        <w:rPr>
          <w:szCs w:val="20"/>
        </w:rPr>
        <w:t>) of Section 6.3, Adjustment Period and Real-Time Operations Timeline, as applicable, is not required.</w:t>
      </w:r>
    </w:p>
    <w:p w14:paraId="607080B7" w14:textId="77777777" w:rsidR="00CC1390" w:rsidRPr="00A47FD4" w:rsidRDefault="00CC1390" w:rsidP="00CC1390">
      <w:pPr>
        <w:spacing w:after="240"/>
        <w:ind w:left="720" w:hanging="720"/>
      </w:pPr>
      <w:r w:rsidRPr="00BF7996">
        <w:rPr>
          <w:szCs w:val="20"/>
        </w:rPr>
        <w:t>(4)</w:t>
      </w:r>
      <w:r w:rsidRPr="00BF7996">
        <w:rPr>
          <w:szCs w:val="20"/>
        </w:rPr>
        <w:tab/>
        <w:t>Upon issuance of the Market Notice described in paragraph (1) above, the ADR process shall be deemed complete, and any Market Participant that is adversely aff</w:t>
      </w:r>
      <w:r w:rsidRPr="00A47FD4">
        <w:rPr>
          <w:szCs w:val="20"/>
        </w:rPr>
        <w:t xml:space="preserve">ected may appeal ERCOT’s decision to the Public Utility Commission of Texas (PUCT) pursuant to P.U.C. </w:t>
      </w:r>
      <w:r w:rsidRPr="00A47FD4">
        <w:rPr>
          <w:smallCaps/>
          <w:szCs w:val="20"/>
        </w:rPr>
        <w:t>Proc.</w:t>
      </w:r>
      <w:r w:rsidRPr="00A47FD4">
        <w:rPr>
          <w:szCs w:val="20"/>
        </w:rPr>
        <w:t xml:space="preserve"> R. 22.251, Review of Electric Reliability Council of Texas (ERCOT) Conduct.</w:t>
      </w:r>
    </w:p>
    <w:p w14:paraId="5706D9A6" w14:textId="77777777" w:rsidR="00E16F75" w:rsidRPr="00E16F75" w:rsidRDefault="00E16F75" w:rsidP="00E16F75">
      <w:pPr>
        <w:pStyle w:val="H2"/>
        <w:rPr>
          <w:color w:val="000000"/>
        </w:rPr>
      </w:pPr>
      <w:bookmarkStart w:id="51" w:name="_Toc453764644"/>
      <w:bookmarkStart w:id="52" w:name="_Toc453764688"/>
      <w:bookmarkStart w:id="53" w:name="_Toc453764715"/>
      <w:bookmarkStart w:id="54" w:name="_Toc453764805"/>
      <w:bookmarkStart w:id="55" w:name="_Toc453764643"/>
      <w:bookmarkStart w:id="56" w:name="_Hlk147916404"/>
      <w:bookmarkStart w:id="57" w:name="_Toc148961536"/>
      <w:r w:rsidRPr="00E16F75">
        <w:rPr>
          <w:color w:val="000000"/>
        </w:rPr>
        <w:t>20.10</w:t>
      </w:r>
      <w:r w:rsidRPr="00E16F75">
        <w:rPr>
          <w:color w:val="000000"/>
        </w:rPr>
        <w:tab/>
        <w:t>Return of Settlement Funds by a Qualified Scheduling Entity or Congestion Revenue Right Account Holder to ERCOT</w:t>
      </w:r>
      <w:bookmarkEnd w:id="57"/>
      <w:r w:rsidRPr="00E16F75">
        <w:rPr>
          <w:color w:val="000000"/>
        </w:rPr>
        <w:t xml:space="preserve"> </w:t>
      </w:r>
    </w:p>
    <w:p w14:paraId="3CD8A818" w14:textId="77777777" w:rsidR="00E16F75" w:rsidRPr="00585E54" w:rsidRDefault="00E16F75" w:rsidP="00E16F75">
      <w:pPr>
        <w:keepNext/>
        <w:spacing w:before="240" w:after="240"/>
        <w:outlineLvl w:val="2"/>
        <w:rPr>
          <w:b/>
          <w:bCs/>
          <w:i/>
          <w:iCs/>
          <w:szCs w:val="20"/>
        </w:rPr>
      </w:pPr>
      <w:bookmarkStart w:id="58" w:name="_Toc148961537"/>
      <w:r w:rsidRPr="00585E54">
        <w:rPr>
          <w:b/>
          <w:bCs/>
          <w:i/>
          <w:iCs/>
          <w:szCs w:val="20"/>
        </w:rPr>
        <w:t>20.10.1</w:t>
      </w:r>
      <w:r w:rsidRPr="00585E54">
        <w:rPr>
          <w:b/>
          <w:bCs/>
          <w:i/>
          <w:iCs/>
          <w:szCs w:val="20"/>
        </w:rPr>
        <w:tab/>
        <w:t>Applicability</w:t>
      </w:r>
      <w:bookmarkEnd w:id="58"/>
      <w:r w:rsidRPr="00585E54">
        <w:rPr>
          <w:b/>
          <w:bCs/>
          <w:i/>
          <w:iCs/>
          <w:szCs w:val="20"/>
        </w:rPr>
        <w:t xml:space="preserve"> </w:t>
      </w:r>
    </w:p>
    <w:p w14:paraId="5EB5850C" w14:textId="77777777" w:rsidR="00E16F75" w:rsidRPr="00585E54" w:rsidRDefault="00E16F75" w:rsidP="00E16F75">
      <w:pPr>
        <w:spacing w:after="240"/>
        <w:ind w:left="720" w:hanging="720"/>
        <w:rPr>
          <w:szCs w:val="20"/>
        </w:rPr>
      </w:pPr>
      <w:r w:rsidRPr="00585E54">
        <w:rPr>
          <w:szCs w:val="20"/>
        </w:rPr>
        <w:t>(1)</w:t>
      </w:r>
      <w:r w:rsidRPr="00585E54">
        <w:rPr>
          <w:szCs w:val="20"/>
        </w:rPr>
        <w:tab/>
        <w:t xml:space="preserve">This Section applies to a claim by a Qualified Scheduling Entity (QSE) or Congestion Revenue Right (CRR) Account Holder (“Applicant”) that it received a payment or reduction of charge from ERCOT that exceeds the amount that ERCOT should have credited to the QSE or CRR Account Holder for a </w:t>
      </w:r>
      <w:r w:rsidR="006E4A9F">
        <w:rPr>
          <w:szCs w:val="20"/>
        </w:rPr>
        <w:t>“</w:t>
      </w:r>
      <w:r w:rsidRPr="00585E54">
        <w:rPr>
          <w:szCs w:val="20"/>
        </w:rPr>
        <w:t>Charge Type</w:t>
      </w:r>
      <w:r w:rsidR="006E4A9F">
        <w:rPr>
          <w:szCs w:val="20"/>
        </w:rPr>
        <w:t>”</w:t>
      </w:r>
      <w:r w:rsidRPr="00585E54">
        <w:rPr>
          <w:szCs w:val="20"/>
        </w:rPr>
        <w:t xml:space="preserve"> for a given Operating Day or other </w:t>
      </w:r>
      <w:proofErr w:type="gramStart"/>
      <w:r w:rsidRPr="00585E54">
        <w:rPr>
          <w:szCs w:val="20"/>
        </w:rPr>
        <w:t>period of time</w:t>
      </w:r>
      <w:proofErr w:type="gramEnd"/>
      <w:r w:rsidRPr="00585E54">
        <w:rPr>
          <w:szCs w:val="20"/>
        </w:rPr>
        <w:t xml:space="preserve"> (“Overpayment”).</w:t>
      </w:r>
    </w:p>
    <w:p w14:paraId="74BDFF83" w14:textId="073860F6" w:rsidR="00E16F75" w:rsidRPr="00585E54" w:rsidRDefault="00E16F75" w:rsidP="00E16F75">
      <w:pPr>
        <w:spacing w:after="240"/>
        <w:ind w:left="720" w:hanging="720"/>
        <w:rPr>
          <w:szCs w:val="20"/>
        </w:rPr>
      </w:pPr>
      <w:r w:rsidRPr="00585E54">
        <w:rPr>
          <w:szCs w:val="20"/>
        </w:rPr>
        <w:t>(2)</w:t>
      </w:r>
      <w:r w:rsidRPr="00585E54">
        <w:rPr>
          <w:szCs w:val="20"/>
        </w:rPr>
        <w:tab/>
        <w:t xml:space="preserve">An Applicant may use the procedures set forth in this Section to return Settlement funds to ERCOT </w:t>
      </w:r>
      <w:proofErr w:type="gramStart"/>
      <w:r w:rsidRPr="00585E54">
        <w:rPr>
          <w:szCs w:val="20"/>
        </w:rPr>
        <w:t>in the event that</w:t>
      </w:r>
      <w:proofErr w:type="gramEnd"/>
      <w:r w:rsidRPr="00585E54">
        <w:rPr>
          <w:szCs w:val="20"/>
        </w:rPr>
        <w:t xml:space="preserve"> it has received an Overpayment.  This process shall be known as a Return of Settlement Funds (RSF) proceeding.  </w:t>
      </w:r>
    </w:p>
    <w:p w14:paraId="380042D8" w14:textId="77777777" w:rsidR="00E16F75" w:rsidRPr="00585E54" w:rsidRDefault="00E16F75" w:rsidP="00E16F75">
      <w:pPr>
        <w:spacing w:after="240"/>
        <w:ind w:left="720" w:hanging="720"/>
        <w:rPr>
          <w:szCs w:val="20"/>
        </w:rPr>
      </w:pPr>
      <w:r w:rsidRPr="00585E54">
        <w:rPr>
          <w:szCs w:val="20"/>
        </w:rPr>
        <w:t>(3)</w:t>
      </w:r>
      <w:r w:rsidRPr="00585E54">
        <w:rPr>
          <w:szCs w:val="20"/>
        </w:rPr>
        <w:tab/>
        <w:t>An Applicant that seeks to initiate a</w:t>
      </w:r>
      <w:r w:rsidR="00C16D16">
        <w:rPr>
          <w:szCs w:val="20"/>
        </w:rPr>
        <w:t>n</w:t>
      </w:r>
      <w:r w:rsidRPr="00585E54">
        <w:rPr>
          <w:szCs w:val="20"/>
        </w:rPr>
        <w:t xml:space="preserve"> RSF proceeding shall file a request with ERCOT, as described in Section 20.10.2,</w:t>
      </w:r>
      <w:r w:rsidRPr="00585E54">
        <w:t xml:space="preserve"> Initiation of Return of Settlement Funds,</w:t>
      </w:r>
      <w:r w:rsidRPr="00585E54">
        <w:rPr>
          <w:szCs w:val="20"/>
        </w:rPr>
        <w:t xml:space="preserve"> within one year of the Operating Day at issue.  ERCOT may reject a request if it determines that other Protocol processes apply to address the issue.</w:t>
      </w:r>
    </w:p>
    <w:p w14:paraId="7D1134DA" w14:textId="77777777" w:rsidR="00E16F75" w:rsidRPr="00585E54" w:rsidRDefault="00E16F75" w:rsidP="00E16F75">
      <w:pPr>
        <w:spacing w:after="240"/>
        <w:ind w:left="720" w:hanging="720"/>
      </w:pPr>
      <w:r w:rsidRPr="00585E54">
        <w:rPr>
          <w:szCs w:val="20"/>
        </w:rPr>
        <w:t>(4)</w:t>
      </w:r>
      <w:r w:rsidRPr="00585E54">
        <w:rPr>
          <w:szCs w:val="20"/>
        </w:rPr>
        <w:tab/>
        <w:t>If ERCOT denies an Applicant’s RSF request, the Applicant may appeal ERCOT’s decision to the Public Utility Commission of Texas (PUCT) pursuant to P.U.C. P</w:t>
      </w:r>
      <w:r w:rsidRPr="00585E54">
        <w:rPr>
          <w:smallCaps/>
          <w:szCs w:val="20"/>
        </w:rPr>
        <w:t>roc</w:t>
      </w:r>
      <w:r w:rsidRPr="00585E54">
        <w:rPr>
          <w:szCs w:val="20"/>
        </w:rPr>
        <w:t>. R. 22.251, Review of Electric Reliability Council of Texas (ERCOT) Conduct.</w:t>
      </w:r>
    </w:p>
    <w:p w14:paraId="18258DFA" w14:textId="77777777" w:rsidR="00E16F75" w:rsidRPr="00585E54" w:rsidRDefault="00E16F75" w:rsidP="00E16F75">
      <w:pPr>
        <w:keepNext/>
        <w:spacing w:before="240" w:after="240"/>
        <w:outlineLvl w:val="2"/>
        <w:rPr>
          <w:b/>
          <w:bCs/>
          <w:i/>
          <w:iCs/>
          <w:szCs w:val="20"/>
        </w:rPr>
      </w:pPr>
      <w:bookmarkStart w:id="59" w:name="_Toc148961538"/>
      <w:r w:rsidRPr="00585E54">
        <w:rPr>
          <w:b/>
          <w:bCs/>
          <w:i/>
          <w:iCs/>
          <w:szCs w:val="20"/>
        </w:rPr>
        <w:t>20.10.2</w:t>
      </w:r>
      <w:r w:rsidRPr="00585E54">
        <w:rPr>
          <w:b/>
          <w:bCs/>
          <w:i/>
          <w:iCs/>
          <w:szCs w:val="20"/>
        </w:rPr>
        <w:tab/>
        <w:t>Initiation of Return of Settlement Funds</w:t>
      </w:r>
      <w:bookmarkEnd w:id="59"/>
      <w:r w:rsidRPr="00585E54">
        <w:rPr>
          <w:b/>
          <w:bCs/>
          <w:i/>
          <w:iCs/>
          <w:szCs w:val="20"/>
        </w:rPr>
        <w:t xml:space="preserve"> </w:t>
      </w:r>
    </w:p>
    <w:p w14:paraId="73C4702E" w14:textId="77777777" w:rsidR="00E16F75" w:rsidRPr="00585E54" w:rsidRDefault="00E16F75" w:rsidP="00E16F75">
      <w:pPr>
        <w:spacing w:after="240"/>
        <w:ind w:left="720" w:hanging="720"/>
        <w:rPr>
          <w:szCs w:val="20"/>
        </w:rPr>
      </w:pPr>
      <w:r w:rsidRPr="00585E54">
        <w:rPr>
          <w:szCs w:val="20"/>
        </w:rPr>
        <w:t>(1)</w:t>
      </w:r>
      <w:r w:rsidRPr="00585E54">
        <w:rPr>
          <w:szCs w:val="20"/>
        </w:rPr>
        <w:tab/>
        <w:t xml:space="preserve">To initiate an RSF proceeding, an Applicant shall complete and submit to the ERCOT Legal Department and the Independent Market Monitor (IMM) the designated form </w:t>
      </w:r>
      <w:r w:rsidRPr="00585E54">
        <w:rPr>
          <w:szCs w:val="20"/>
        </w:rPr>
        <w:lastRenderedPageBreak/>
        <w:t xml:space="preserve">provided on the ERCOT website in the manner required by the form.  </w:t>
      </w:r>
      <w:r w:rsidRPr="00585E54">
        <w:t xml:space="preserve">All written requests shall include the following information: </w:t>
      </w:r>
    </w:p>
    <w:p w14:paraId="52109609" w14:textId="77777777" w:rsidR="00E16F75" w:rsidRPr="00585E54" w:rsidRDefault="00E16F75" w:rsidP="00E16F75">
      <w:pPr>
        <w:spacing w:after="240"/>
        <w:ind w:left="1440" w:hanging="720"/>
      </w:pPr>
      <w:r w:rsidRPr="00585E54">
        <w:t>(a)</w:t>
      </w:r>
      <w:r w:rsidRPr="00585E54">
        <w:tab/>
        <w:t xml:space="preserve">The name of the Applicant initiating the RSF proceeding; </w:t>
      </w:r>
    </w:p>
    <w:p w14:paraId="6158C4E3" w14:textId="77777777" w:rsidR="00E16F75" w:rsidRPr="00585E54" w:rsidRDefault="00E16F75" w:rsidP="00E16F75">
      <w:pPr>
        <w:spacing w:after="240"/>
        <w:ind w:left="1440" w:hanging="720"/>
      </w:pPr>
      <w:r w:rsidRPr="00585E54">
        <w:t>(b)</w:t>
      </w:r>
      <w:r w:rsidRPr="00585E54">
        <w:tab/>
        <w:t xml:space="preserve">The amount of Settlement funds that the Applicant intends to return; </w:t>
      </w:r>
    </w:p>
    <w:p w14:paraId="25862EB4" w14:textId="77777777" w:rsidR="00E16F75" w:rsidRPr="00585E54" w:rsidRDefault="00E16F75" w:rsidP="00E16F75">
      <w:pPr>
        <w:spacing w:after="240"/>
        <w:ind w:left="1440" w:hanging="720"/>
      </w:pPr>
      <w:r w:rsidRPr="00585E54">
        <w:t>(c)</w:t>
      </w:r>
      <w:r w:rsidRPr="00585E54">
        <w:tab/>
        <w:t xml:space="preserve">A description of the reason(s) for the Applicant’s initiation of the RSF proceeding, including references to any statute(s), rule(s), Protocol Section(s), Other Binding Document(s), Agreement(s), or other law(s) that may form all or part of the basis for the RSF; </w:t>
      </w:r>
    </w:p>
    <w:p w14:paraId="27BA7AFF" w14:textId="77777777" w:rsidR="00E16F75" w:rsidRPr="00585E54" w:rsidRDefault="00E16F75" w:rsidP="00E16F75">
      <w:pPr>
        <w:spacing w:after="240"/>
        <w:ind w:left="1440" w:hanging="720"/>
      </w:pPr>
      <w:r w:rsidRPr="00585E54">
        <w:t>(d)</w:t>
      </w:r>
      <w:r w:rsidRPr="00585E54">
        <w:tab/>
        <w:t xml:space="preserve">The Operating Day(s) involved in the RSF; </w:t>
      </w:r>
    </w:p>
    <w:p w14:paraId="380D46AE" w14:textId="77777777" w:rsidR="00E16F75" w:rsidRPr="00585E54" w:rsidRDefault="00E16F75" w:rsidP="00E16F75">
      <w:pPr>
        <w:spacing w:after="240"/>
        <w:ind w:left="1440" w:hanging="720"/>
      </w:pPr>
      <w:r w:rsidRPr="00585E54">
        <w:t>(e)</w:t>
      </w:r>
      <w:r w:rsidRPr="00585E54">
        <w:tab/>
        <w:t xml:space="preserve">A list of all other parties that would be affected by the RSF; and </w:t>
      </w:r>
    </w:p>
    <w:p w14:paraId="705D43F8" w14:textId="77777777" w:rsidR="00E16F75" w:rsidRPr="00585E54" w:rsidRDefault="00E16F75" w:rsidP="00E16F75">
      <w:pPr>
        <w:spacing w:after="240"/>
        <w:ind w:left="1440" w:hanging="720"/>
      </w:pPr>
      <w:r w:rsidRPr="00585E54">
        <w:t>(f)</w:t>
      </w:r>
      <w:r w:rsidRPr="00585E54">
        <w:tab/>
        <w:t xml:space="preserve">Designation of a senior representative who is responsible for handling matters relating to the RSF proceeding.  </w:t>
      </w:r>
    </w:p>
    <w:p w14:paraId="45057B3A" w14:textId="77777777" w:rsidR="00E16F75" w:rsidRPr="00585E54" w:rsidRDefault="00E16F75" w:rsidP="00E16F75">
      <w:pPr>
        <w:spacing w:after="240"/>
        <w:ind w:left="720" w:hanging="720"/>
      </w:pPr>
      <w:r w:rsidRPr="00585E54">
        <w:t>(2)</w:t>
      </w:r>
      <w:r w:rsidRPr="00585E54">
        <w:tab/>
        <w:t xml:space="preserve">The date on which ERCOT receives the completed RSF written request shall be the RSF initiation date. </w:t>
      </w:r>
    </w:p>
    <w:p w14:paraId="7E553CE7" w14:textId="77777777" w:rsidR="00E16F75" w:rsidRPr="00585E54" w:rsidRDefault="00E16F75" w:rsidP="00E16F75">
      <w:pPr>
        <w:keepNext/>
        <w:spacing w:before="240" w:after="240"/>
        <w:outlineLvl w:val="2"/>
        <w:rPr>
          <w:b/>
          <w:bCs/>
          <w:i/>
          <w:iCs/>
          <w:szCs w:val="20"/>
        </w:rPr>
      </w:pPr>
      <w:bookmarkStart w:id="60" w:name="_Toc148961539"/>
      <w:r w:rsidRPr="00585E54">
        <w:rPr>
          <w:b/>
          <w:bCs/>
          <w:i/>
          <w:iCs/>
          <w:szCs w:val="20"/>
        </w:rPr>
        <w:t>20.10.3</w:t>
      </w:r>
      <w:r w:rsidRPr="00585E54">
        <w:rPr>
          <w:b/>
          <w:bCs/>
          <w:i/>
          <w:iCs/>
          <w:szCs w:val="20"/>
        </w:rPr>
        <w:tab/>
        <w:t>Process for a Return of Settlement Funds Request</w:t>
      </w:r>
      <w:bookmarkEnd w:id="60"/>
    </w:p>
    <w:p w14:paraId="270E6C25" w14:textId="77777777" w:rsidR="00E16F75" w:rsidRPr="00585E54" w:rsidRDefault="00E16F75" w:rsidP="00E16F75">
      <w:pPr>
        <w:spacing w:after="240"/>
        <w:ind w:left="720" w:hanging="720"/>
      </w:pPr>
      <w:r w:rsidRPr="00585E54">
        <w:t>(1)</w:t>
      </w:r>
      <w:r w:rsidRPr="00585E54">
        <w:tab/>
        <w:t xml:space="preserve">Unless otherwise specified in these Protocols, the process for the resolution of an Applicant’s request to return an Overpayment of Settlement funds filed under this Section will follow the process established for the resolution of </w:t>
      </w:r>
      <w:r w:rsidR="00756A99">
        <w:t>Alternative Dispute Resolutions (</w:t>
      </w:r>
      <w:r w:rsidRPr="00585E54">
        <w:t>ADRs</w:t>
      </w:r>
      <w:r w:rsidR="00756A99">
        <w:t>)</w:t>
      </w:r>
      <w:r w:rsidRPr="00585E54">
        <w:t xml:space="preserve"> under Section 20.5, Alternative Dispute Resolution Process.  </w:t>
      </w:r>
    </w:p>
    <w:p w14:paraId="6F579597" w14:textId="77777777" w:rsidR="00E16F75" w:rsidRPr="00585E54" w:rsidRDefault="00E16F75" w:rsidP="00E16F75">
      <w:pPr>
        <w:keepNext/>
        <w:spacing w:before="240" w:after="240"/>
        <w:outlineLvl w:val="2"/>
        <w:rPr>
          <w:b/>
          <w:bCs/>
          <w:i/>
          <w:iCs/>
          <w:szCs w:val="20"/>
        </w:rPr>
      </w:pPr>
      <w:bookmarkStart w:id="61" w:name="_Toc148961540"/>
      <w:r w:rsidRPr="00585E54">
        <w:rPr>
          <w:b/>
          <w:bCs/>
          <w:i/>
          <w:iCs/>
          <w:szCs w:val="20"/>
        </w:rPr>
        <w:t>20.10.4</w:t>
      </w:r>
      <w:r w:rsidRPr="00585E54">
        <w:rPr>
          <w:b/>
          <w:bCs/>
          <w:i/>
          <w:iCs/>
          <w:szCs w:val="20"/>
        </w:rPr>
        <w:tab/>
        <w:t>Settlement Following Approved Return of Settlement Funds</w:t>
      </w:r>
      <w:bookmarkEnd w:id="61"/>
      <w:r w:rsidRPr="00585E54">
        <w:rPr>
          <w:b/>
          <w:bCs/>
          <w:i/>
          <w:iCs/>
          <w:szCs w:val="20"/>
        </w:rPr>
        <w:t xml:space="preserve">  </w:t>
      </w:r>
    </w:p>
    <w:p w14:paraId="0E12AD02" w14:textId="77777777" w:rsidR="00E16F75" w:rsidRPr="00585E54" w:rsidRDefault="00E16F75" w:rsidP="00E16F75">
      <w:pPr>
        <w:spacing w:after="240"/>
        <w:ind w:left="720" w:hanging="720"/>
      </w:pPr>
      <w:r w:rsidRPr="00585E54">
        <w:rPr>
          <w:szCs w:val="20"/>
        </w:rPr>
        <w:t>(1)</w:t>
      </w:r>
      <w:r w:rsidRPr="00585E54">
        <w:rPr>
          <w:szCs w:val="20"/>
        </w:rPr>
        <w:tab/>
        <w:t>If resettlement is practicable to address an adjustment required by the resolution of an RSF proceeding, ERCOT shall issue a Resettlement Statement for the affected Operating Day(s) and shall adjust applicable timelines accordingly.</w:t>
      </w:r>
    </w:p>
    <w:p w14:paraId="7D83CF9C" w14:textId="77777777" w:rsidR="00E16F75" w:rsidRPr="00585E54" w:rsidRDefault="00E16F75" w:rsidP="00E16F75">
      <w:pPr>
        <w:spacing w:after="240"/>
        <w:ind w:left="720" w:hanging="720"/>
      </w:pPr>
      <w:r w:rsidRPr="00585E54">
        <w:rPr>
          <w:szCs w:val="20"/>
        </w:rPr>
        <w:t>(2)</w:t>
      </w:r>
      <w:r w:rsidRPr="00585E54">
        <w:rPr>
          <w:szCs w:val="20"/>
        </w:rPr>
        <w:tab/>
        <w:t>If a resettlement is not practicable to address an adjustment required by an RSF resolution, ERCOT shall make the adjustments through a separate miscellaneous RSF Invoice that is produced outside of normal Settlement Invoices.  The appropriate payments and charges, along with Settlement quality information, shall be supplied to all impacted Market Participants.</w:t>
      </w:r>
    </w:p>
    <w:p w14:paraId="44C0821E" w14:textId="5995734A" w:rsidR="00E431FD" w:rsidRPr="003F57E9" w:rsidRDefault="003F57E9" w:rsidP="00AB1A98">
      <w:pPr>
        <w:pStyle w:val="Heading2"/>
        <w:numPr>
          <w:ilvl w:val="0"/>
          <w:numId w:val="0"/>
        </w:numPr>
      </w:pPr>
      <w:bookmarkStart w:id="62" w:name="_Toc148961541"/>
      <w:bookmarkEnd w:id="56"/>
      <w:r w:rsidRPr="00913402">
        <w:lastRenderedPageBreak/>
        <w:t>20.1</w:t>
      </w:r>
      <w:r w:rsidR="00E16F75">
        <w:t>1</w:t>
      </w:r>
      <w:bookmarkEnd w:id="55"/>
      <w:r w:rsidRPr="00913402">
        <w:tab/>
      </w:r>
      <w:r w:rsidR="00E431FD" w:rsidRPr="003F57E9">
        <w:t>Settlement of Approved Alternative Dispute Resolution Claims</w:t>
      </w:r>
      <w:bookmarkEnd w:id="51"/>
      <w:bookmarkEnd w:id="52"/>
      <w:bookmarkEnd w:id="53"/>
      <w:bookmarkEnd w:id="54"/>
      <w:bookmarkEnd w:id="62"/>
    </w:p>
    <w:p w14:paraId="284C88D9" w14:textId="63B0A858" w:rsidR="00E431FD" w:rsidRDefault="00E431FD" w:rsidP="00AB1A98">
      <w:pPr>
        <w:pStyle w:val="Heading3"/>
        <w:numPr>
          <w:ilvl w:val="0"/>
          <w:numId w:val="0"/>
        </w:numPr>
      </w:pPr>
      <w:bookmarkStart w:id="63" w:name="_Toc453764645"/>
      <w:bookmarkStart w:id="64" w:name="_Toc453764689"/>
      <w:bookmarkStart w:id="65" w:name="_Toc453764716"/>
      <w:bookmarkStart w:id="66" w:name="_Toc453764806"/>
      <w:bookmarkStart w:id="67" w:name="_Toc148961542"/>
      <w:r w:rsidRPr="003760AA">
        <w:t>20.</w:t>
      </w:r>
      <w:r w:rsidR="00CC1390">
        <w:t>1</w:t>
      </w:r>
      <w:r w:rsidR="00E16F75">
        <w:t>1</w:t>
      </w:r>
      <w:r w:rsidRPr="003760AA">
        <w:t>.1</w:t>
      </w:r>
      <w:r w:rsidRPr="003760AA">
        <w:tab/>
        <w:t>Adjustments Based on Alternative Dispute Resolution</w:t>
      </w:r>
      <w:bookmarkEnd w:id="63"/>
      <w:bookmarkEnd w:id="64"/>
      <w:bookmarkEnd w:id="65"/>
      <w:bookmarkEnd w:id="66"/>
      <w:bookmarkEnd w:id="67"/>
    </w:p>
    <w:p w14:paraId="1B2ABF68" w14:textId="77777777" w:rsidR="00E431FD" w:rsidRDefault="00E431FD">
      <w:pPr>
        <w:pStyle w:val="BodyText"/>
        <w:ind w:left="720" w:hanging="720"/>
      </w:pPr>
      <w:r w:rsidRPr="003760AA">
        <w:rPr>
          <w:szCs w:val="20"/>
        </w:rPr>
        <w:t>(1)</w:t>
      </w:r>
      <w:r w:rsidRPr="003760AA">
        <w:rPr>
          <w:szCs w:val="20"/>
        </w:rPr>
        <w:tab/>
        <w:t xml:space="preserve">If </w:t>
      </w:r>
      <w:r w:rsidR="00CC1390">
        <w:rPr>
          <w:szCs w:val="20"/>
        </w:rPr>
        <w:t>r</w:t>
      </w:r>
      <w:r w:rsidRPr="003760AA">
        <w:rPr>
          <w:szCs w:val="20"/>
        </w:rPr>
        <w:t xml:space="preserve">esettlement is </w:t>
      </w:r>
      <w:r w:rsidR="00CC1390">
        <w:rPr>
          <w:szCs w:val="20"/>
        </w:rPr>
        <w:t>practicable</w:t>
      </w:r>
      <w:r w:rsidRPr="003760AA">
        <w:rPr>
          <w:szCs w:val="20"/>
        </w:rPr>
        <w:t xml:space="preserve"> to address an adjustment required by </w:t>
      </w:r>
      <w:r w:rsidR="00CC1390">
        <w:rPr>
          <w:szCs w:val="20"/>
        </w:rPr>
        <w:t>the resolution of an</w:t>
      </w:r>
      <w:r w:rsidRPr="003760AA">
        <w:rPr>
          <w:szCs w:val="20"/>
        </w:rPr>
        <w:t xml:space="preserve"> Alternative Dispute Resolution (ADR) </w:t>
      </w:r>
      <w:r w:rsidR="00CC1390">
        <w:rPr>
          <w:szCs w:val="20"/>
        </w:rPr>
        <w:t>proceeding</w:t>
      </w:r>
      <w:r w:rsidRPr="003760AA">
        <w:rPr>
          <w:szCs w:val="20"/>
        </w:rPr>
        <w:t>, ERCOT shall issue a Resettlement Statement for the affected Operating Day(s) and shall adjust applicable timelines accordingly.</w:t>
      </w:r>
    </w:p>
    <w:p w14:paraId="51FDB2B3" w14:textId="1375F215" w:rsidR="00CC1390" w:rsidRDefault="00E431FD">
      <w:pPr>
        <w:pStyle w:val="BodyText"/>
        <w:ind w:left="720" w:hanging="720"/>
        <w:rPr>
          <w:szCs w:val="20"/>
        </w:rPr>
      </w:pPr>
      <w:r w:rsidRPr="003760AA">
        <w:rPr>
          <w:szCs w:val="20"/>
        </w:rPr>
        <w:t>(2)</w:t>
      </w:r>
      <w:r w:rsidRPr="003760AA">
        <w:rPr>
          <w:szCs w:val="20"/>
        </w:rPr>
        <w:tab/>
        <w:t xml:space="preserve">If a resettlement is not </w:t>
      </w:r>
      <w:r w:rsidR="00CC1390">
        <w:rPr>
          <w:szCs w:val="20"/>
        </w:rPr>
        <w:t>practicable</w:t>
      </w:r>
      <w:r w:rsidRPr="003760AA">
        <w:rPr>
          <w:szCs w:val="20"/>
        </w:rPr>
        <w:t xml:space="preserve"> to address an adjustment required by an ADR resolution, ERCOT shall make the adjustments through a separate ADR Invoice that is produced outside of normal Settlement </w:t>
      </w:r>
      <w:r w:rsidR="00CC1390">
        <w:rPr>
          <w:szCs w:val="20"/>
        </w:rPr>
        <w:t>Invoices</w:t>
      </w:r>
      <w:r w:rsidRPr="003760AA">
        <w:rPr>
          <w:szCs w:val="20"/>
        </w:rPr>
        <w:t xml:space="preserve">.  The appropriate payments and charges, along with </w:t>
      </w:r>
      <w:r w:rsidR="007D34AC">
        <w:rPr>
          <w:szCs w:val="20"/>
        </w:rPr>
        <w:t>S</w:t>
      </w:r>
      <w:r w:rsidRPr="003760AA">
        <w:rPr>
          <w:szCs w:val="20"/>
        </w:rPr>
        <w:t xml:space="preserve">ettlement quality information, shall be supplied to all </w:t>
      </w:r>
      <w:r w:rsidR="00CC1390">
        <w:rPr>
          <w:szCs w:val="20"/>
        </w:rPr>
        <w:t xml:space="preserve">impacted </w:t>
      </w:r>
      <w:r w:rsidRPr="003760AA">
        <w:rPr>
          <w:szCs w:val="20"/>
        </w:rPr>
        <w:t>Market Participants.</w:t>
      </w:r>
      <w:r w:rsidR="00B12FE2">
        <w:rPr>
          <w:szCs w:val="20"/>
        </w:rPr>
        <w:t xml:space="preserve"> </w:t>
      </w:r>
      <w:r w:rsidRPr="003760AA">
        <w:rPr>
          <w:szCs w:val="20"/>
        </w:rPr>
        <w:t xml:space="preserve"> </w:t>
      </w:r>
    </w:p>
    <w:p w14:paraId="0CBD6688" w14:textId="77777777" w:rsidR="00E431FD" w:rsidRDefault="00CC1390">
      <w:pPr>
        <w:pStyle w:val="BodyText"/>
        <w:ind w:left="720" w:hanging="720"/>
      </w:pPr>
      <w:r>
        <w:rPr>
          <w:szCs w:val="20"/>
        </w:rPr>
        <w:t>(3)</w:t>
      </w:r>
      <w:r>
        <w:rPr>
          <w:szCs w:val="20"/>
        </w:rPr>
        <w:tab/>
      </w:r>
      <w:r w:rsidR="00E431FD" w:rsidRPr="003760AA">
        <w:rPr>
          <w:szCs w:val="20"/>
        </w:rPr>
        <w:t>Any amount greater than $5,000,000</w:t>
      </w:r>
      <w:r w:rsidR="003F57E9">
        <w:rPr>
          <w:szCs w:val="20"/>
        </w:rPr>
        <w:t>, as approved through the ADR proceeding,</w:t>
      </w:r>
      <w:r w:rsidR="00E431FD" w:rsidRPr="003760AA">
        <w:rPr>
          <w:szCs w:val="20"/>
        </w:rPr>
        <w:t xml:space="preserve"> shall be divided so that no one Invoice has more than $5,000,000 in ADR adjustments and such Invoices shall be issued at least 14 days apart from each other.  Payments </w:t>
      </w:r>
      <w:r w:rsidR="003F57E9">
        <w:rPr>
          <w:szCs w:val="20"/>
        </w:rPr>
        <w:t>shall</w:t>
      </w:r>
      <w:r w:rsidR="00E431FD" w:rsidRPr="003760AA">
        <w:rPr>
          <w:szCs w:val="20"/>
        </w:rPr>
        <w:t xml:space="preserve"> be due on the date specified on the Invoice.  Any short payment </w:t>
      </w:r>
      <w:r w:rsidR="003F57E9">
        <w:rPr>
          <w:szCs w:val="20"/>
        </w:rPr>
        <w:t>shall</w:t>
      </w:r>
      <w:r w:rsidR="00E431FD" w:rsidRPr="003760AA">
        <w:rPr>
          <w:szCs w:val="20"/>
        </w:rPr>
        <w:t xml:space="preserve"> be handled pursuant to Section</w:t>
      </w:r>
      <w:r w:rsidR="00295643">
        <w:rPr>
          <w:szCs w:val="20"/>
        </w:rPr>
        <w:t xml:space="preserve"> 9.19, </w:t>
      </w:r>
      <w:r w:rsidR="00295643">
        <w:t>Partial Payments by Invoice Recipients</w:t>
      </w:r>
      <w:r w:rsidR="00E431FD" w:rsidRPr="003760AA">
        <w:rPr>
          <w:szCs w:val="20"/>
        </w:rPr>
        <w:t>.</w:t>
      </w:r>
    </w:p>
    <w:p w14:paraId="5913194A" w14:textId="52BDE766" w:rsidR="00E431FD" w:rsidRDefault="00E431FD" w:rsidP="00AB1A98">
      <w:pPr>
        <w:pStyle w:val="Heading3"/>
        <w:numPr>
          <w:ilvl w:val="0"/>
          <w:numId w:val="0"/>
        </w:numPr>
      </w:pPr>
      <w:bookmarkStart w:id="68" w:name="_Toc453764646"/>
      <w:bookmarkStart w:id="69" w:name="_Toc453764690"/>
      <w:bookmarkStart w:id="70" w:name="_Toc453764717"/>
      <w:bookmarkStart w:id="71" w:name="_Toc453764807"/>
      <w:bookmarkStart w:id="72" w:name="_Toc148961543"/>
      <w:r w:rsidRPr="003760AA">
        <w:t>20.</w:t>
      </w:r>
      <w:r w:rsidR="003F57E9">
        <w:t>1</w:t>
      </w:r>
      <w:r w:rsidR="00E16F75">
        <w:t>1</w:t>
      </w:r>
      <w:r w:rsidRPr="003760AA">
        <w:t>.2</w:t>
      </w:r>
      <w:r w:rsidRPr="003760AA">
        <w:tab/>
        <w:t>Charges for Approved ADR Claim</w:t>
      </w:r>
      <w:bookmarkEnd w:id="68"/>
      <w:bookmarkEnd w:id="69"/>
      <w:bookmarkEnd w:id="70"/>
      <w:bookmarkEnd w:id="71"/>
      <w:bookmarkEnd w:id="72"/>
    </w:p>
    <w:p w14:paraId="4CBE1A54" w14:textId="782BDC16" w:rsidR="00E431FD" w:rsidRDefault="003F57E9" w:rsidP="00AB1A98">
      <w:pPr>
        <w:pStyle w:val="BodyText"/>
        <w:ind w:left="720" w:hanging="720"/>
      </w:pPr>
      <w:r>
        <w:rPr>
          <w:szCs w:val="20"/>
        </w:rPr>
        <w:t>(1)</w:t>
      </w:r>
      <w:r>
        <w:rPr>
          <w:szCs w:val="20"/>
        </w:rPr>
        <w:tab/>
      </w:r>
      <w:r w:rsidR="00E431FD" w:rsidRPr="003760AA">
        <w:rPr>
          <w:szCs w:val="20"/>
        </w:rPr>
        <w:t xml:space="preserve">The charges assigned to Market Participants to pay for an approved ADR claim </w:t>
      </w:r>
      <w:r>
        <w:rPr>
          <w:szCs w:val="20"/>
        </w:rPr>
        <w:t>shall</w:t>
      </w:r>
      <w:r w:rsidR="00E431FD" w:rsidRPr="003760AA">
        <w:rPr>
          <w:szCs w:val="20"/>
        </w:rPr>
        <w:t xml:space="preserve"> be settled on the same </w:t>
      </w:r>
      <w:r>
        <w:rPr>
          <w:szCs w:val="20"/>
        </w:rPr>
        <w:t>Res</w:t>
      </w:r>
      <w:r w:rsidR="00E431FD" w:rsidRPr="003760AA">
        <w:rPr>
          <w:szCs w:val="20"/>
        </w:rPr>
        <w:t>ettlement Statement</w:t>
      </w:r>
      <w:r>
        <w:rPr>
          <w:szCs w:val="20"/>
        </w:rPr>
        <w:t xml:space="preserve"> or ADR Invoice</w:t>
      </w:r>
      <w:r w:rsidR="00E431FD" w:rsidRPr="003760AA">
        <w:rPr>
          <w:szCs w:val="20"/>
        </w:rPr>
        <w:t xml:space="preserve"> as set forth in Section 20.</w:t>
      </w:r>
      <w:r>
        <w:rPr>
          <w:szCs w:val="20"/>
        </w:rPr>
        <w:t>1</w:t>
      </w:r>
      <w:r w:rsidR="004F7B51">
        <w:rPr>
          <w:szCs w:val="20"/>
        </w:rPr>
        <w:t>1</w:t>
      </w:r>
      <w:r w:rsidR="00E431FD" w:rsidRPr="003760AA">
        <w:rPr>
          <w:szCs w:val="20"/>
        </w:rPr>
        <w:t xml:space="preserve">.1, Adjustments Based on </w:t>
      </w:r>
      <w:r w:rsidR="000E228F">
        <w:rPr>
          <w:szCs w:val="20"/>
        </w:rPr>
        <w:t>A</w:t>
      </w:r>
      <w:r w:rsidR="00897ECD">
        <w:rPr>
          <w:szCs w:val="20"/>
        </w:rPr>
        <w:t xml:space="preserve">lternative </w:t>
      </w:r>
      <w:r w:rsidR="000E228F">
        <w:rPr>
          <w:szCs w:val="20"/>
        </w:rPr>
        <w:t>D</w:t>
      </w:r>
      <w:r w:rsidR="00897ECD">
        <w:rPr>
          <w:szCs w:val="20"/>
        </w:rPr>
        <w:t>ispute</w:t>
      </w:r>
      <w:r w:rsidR="000E228F">
        <w:rPr>
          <w:szCs w:val="20"/>
        </w:rPr>
        <w:t xml:space="preserve"> </w:t>
      </w:r>
      <w:r w:rsidR="00E431FD" w:rsidRPr="003760AA">
        <w:rPr>
          <w:szCs w:val="20"/>
        </w:rPr>
        <w:t xml:space="preserve">Resolution.  ERCOT </w:t>
      </w:r>
      <w:r>
        <w:rPr>
          <w:szCs w:val="20"/>
        </w:rPr>
        <w:t>shall</w:t>
      </w:r>
      <w:r w:rsidR="00E431FD" w:rsidRPr="003760AA">
        <w:rPr>
          <w:szCs w:val="20"/>
        </w:rPr>
        <w:t xml:space="preserve"> assign the costs for the approved ADR claim according to the appropriate allocation for the market service in dispute as outlined in </w:t>
      </w:r>
      <w:r w:rsidR="00FE313A">
        <w:rPr>
          <w:szCs w:val="20"/>
        </w:rPr>
        <w:t xml:space="preserve">the </w:t>
      </w:r>
      <w:r w:rsidR="00BD0800">
        <w:rPr>
          <w:szCs w:val="20"/>
        </w:rPr>
        <w:t>applicable</w:t>
      </w:r>
      <w:r w:rsidR="00FE313A">
        <w:rPr>
          <w:szCs w:val="20"/>
        </w:rPr>
        <w:t xml:space="preserve"> Protocol sections</w:t>
      </w:r>
      <w:r w:rsidR="00E431FD" w:rsidRPr="003760AA">
        <w:rPr>
          <w:szCs w:val="20"/>
        </w:rPr>
        <w:t>.</w:t>
      </w:r>
    </w:p>
    <w:sectPr w:rsidR="00E431FD" w:rsidSect="00533FBB">
      <w:headerReference w:type="default" r:id="rId12"/>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1BEF9" w14:textId="77777777" w:rsidR="00E00D62" w:rsidRDefault="00E00D62">
      <w:r>
        <w:separator/>
      </w:r>
    </w:p>
  </w:endnote>
  <w:endnote w:type="continuationSeparator" w:id="0">
    <w:p w14:paraId="558FCEB9" w14:textId="77777777" w:rsidR="00E00D62" w:rsidRDefault="00E00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6732" w14:textId="77777777" w:rsidR="00870CC3" w:rsidRDefault="00870C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DEB465" w14:textId="77777777" w:rsidR="00870CC3" w:rsidRDefault="00870C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FBCFB" w14:textId="77777777" w:rsidR="00870CC3" w:rsidRDefault="00870CC3">
    <w:pPr>
      <w:pStyle w:val="Footer"/>
      <w:tabs>
        <w:tab w:val="clear" w:pos="4320"/>
        <w:tab w:val="clear" w:pos="8640"/>
        <w:tab w:val="right" w:pos="9360"/>
      </w:tabs>
      <w:jc w:val="center"/>
      <w:rPr>
        <w:rFonts w:ascii="Arial" w:hAnsi="Arial"/>
        <w:sz w:val="18"/>
      </w:rPr>
    </w:pPr>
    <w:r>
      <w:rPr>
        <w:rFonts w:ascii="Arial" w:hAnsi="Arial"/>
        <w:sz w:val="18"/>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2C37B" w14:textId="7010524D" w:rsidR="00870CC3" w:rsidRDefault="00870CC3">
    <w:pPr>
      <w:pStyle w:val="Footer"/>
      <w:pBdr>
        <w:top w:val="single" w:sz="4" w:space="1" w:color="auto"/>
      </w:pBdr>
      <w:tabs>
        <w:tab w:val="clear" w:pos="4320"/>
        <w:tab w:val="clear" w:pos="8640"/>
        <w:tab w:val="right" w:pos="9360"/>
      </w:tabs>
      <w:rPr>
        <w:rFonts w:ascii="Arial" w:hAnsi="Arial" w:cs="Arial"/>
        <w:sz w:val="18"/>
        <w:szCs w:val="18"/>
      </w:rPr>
    </w:pPr>
    <w:r>
      <w:rPr>
        <w:smallCaps/>
        <w:sz w:val="20"/>
        <w:szCs w:val="20"/>
      </w:rPr>
      <w:t xml:space="preserve">ERCOT Nodal Protocols – </w:t>
    </w:r>
    <w:r w:rsidR="00E25FED">
      <w:rPr>
        <w:smallCaps/>
        <w:sz w:val="20"/>
        <w:szCs w:val="20"/>
      </w:rPr>
      <w:t>November</w:t>
    </w:r>
    <w:r>
      <w:rPr>
        <w:smallCaps/>
        <w:sz w:val="20"/>
        <w:szCs w:val="20"/>
      </w:rPr>
      <w:t xml:space="preserve"> 1, 20</w:t>
    </w:r>
    <w:r w:rsidR="009E4A77">
      <w:rPr>
        <w:smallCaps/>
        <w:sz w:val="20"/>
        <w:szCs w:val="20"/>
      </w:rPr>
      <w:t>2</w:t>
    </w:r>
    <w:r w:rsidR="00E16F75">
      <w:rPr>
        <w:smallCaps/>
        <w:sz w:val="20"/>
        <w:szCs w:val="20"/>
      </w:rPr>
      <w:t>3</w:t>
    </w:r>
    <w:r>
      <w:rPr>
        <w:smallCaps/>
        <w:sz w:val="20"/>
        <w:szCs w:val="20"/>
      </w:rPr>
      <w:tab/>
    </w:r>
  </w:p>
  <w:p w14:paraId="6542357A" w14:textId="77777777" w:rsidR="00870CC3" w:rsidRDefault="00870CC3">
    <w:pPr>
      <w:pStyle w:val="Footer"/>
      <w:tabs>
        <w:tab w:val="clear" w:pos="4320"/>
        <w:tab w:val="clear" w:pos="8640"/>
        <w:tab w:val="right" w:pos="9360"/>
      </w:tabs>
      <w:jc w:val="center"/>
      <w:rPr>
        <w:smallCaps/>
        <w:sz w:val="20"/>
        <w:szCs w:val="20"/>
      </w:rPr>
    </w:pPr>
    <w:r w:rsidRPr="001E0EE8">
      <w:rPr>
        <w:rFonts w:ascii="Arial" w:hAnsi="Arial" w:cs="Arial"/>
        <w:sz w:val="18"/>
        <w:szCs w:val="18"/>
      </w:rP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2B24" w14:textId="53A56CD2" w:rsidR="00870CC3" w:rsidRDefault="00870CC3">
    <w:pPr>
      <w:pStyle w:val="Footer"/>
      <w:pBdr>
        <w:top w:val="single" w:sz="4" w:space="1" w:color="auto"/>
      </w:pBdr>
      <w:tabs>
        <w:tab w:val="clear" w:pos="4320"/>
        <w:tab w:val="clear" w:pos="8640"/>
        <w:tab w:val="right" w:pos="9360"/>
      </w:tabs>
      <w:rPr>
        <w:rFonts w:ascii="Arial" w:hAnsi="Arial"/>
        <w:sz w:val="20"/>
        <w:szCs w:val="20"/>
      </w:rPr>
    </w:pPr>
    <w:r>
      <w:rPr>
        <w:smallCaps/>
        <w:sz w:val="20"/>
        <w:szCs w:val="20"/>
      </w:rPr>
      <w:t xml:space="preserve">ERCOT Nodal Protocols – </w:t>
    </w:r>
    <w:r w:rsidR="00E25FED">
      <w:rPr>
        <w:smallCaps/>
        <w:sz w:val="20"/>
        <w:szCs w:val="20"/>
      </w:rPr>
      <w:t>November</w:t>
    </w:r>
    <w:r>
      <w:rPr>
        <w:smallCaps/>
        <w:sz w:val="20"/>
        <w:szCs w:val="20"/>
      </w:rPr>
      <w:t xml:space="preserve"> 1, </w:t>
    </w:r>
    <w:proofErr w:type="gramStart"/>
    <w:r>
      <w:rPr>
        <w:smallCaps/>
        <w:sz w:val="20"/>
        <w:szCs w:val="20"/>
      </w:rPr>
      <w:t>20</w:t>
    </w:r>
    <w:r w:rsidR="009E4A77">
      <w:rPr>
        <w:smallCaps/>
        <w:sz w:val="20"/>
        <w:szCs w:val="20"/>
      </w:rPr>
      <w:t>2</w:t>
    </w:r>
    <w:r w:rsidR="00E16F75">
      <w:rPr>
        <w:smallCaps/>
        <w:sz w:val="20"/>
        <w:szCs w:val="20"/>
      </w:rPr>
      <w:t>3</w:t>
    </w:r>
    <w:proofErr w:type="gramEnd"/>
    <w:r>
      <w:rPr>
        <w:smallCaps/>
        <w:sz w:val="20"/>
        <w:szCs w:val="20"/>
      </w:rPr>
      <w:tab/>
      <w:t>20-</w:t>
    </w:r>
    <w:r w:rsidRPr="003760AA">
      <w:rPr>
        <w:rStyle w:val="PageNumber"/>
        <w:sz w:val="20"/>
        <w:szCs w:val="20"/>
      </w:rPr>
      <w:fldChar w:fldCharType="begin"/>
    </w:r>
    <w:r w:rsidRPr="003760AA">
      <w:rPr>
        <w:rStyle w:val="PageNumber"/>
        <w:sz w:val="20"/>
        <w:szCs w:val="20"/>
      </w:rPr>
      <w:instrText xml:space="preserve"> PAGE </w:instrText>
    </w:r>
    <w:r w:rsidRPr="003760AA">
      <w:rPr>
        <w:rStyle w:val="PageNumber"/>
        <w:sz w:val="20"/>
        <w:szCs w:val="20"/>
      </w:rPr>
      <w:fldChar w:fldCharType="separate"/>
    </w:r>
    <w:r w:rsidR="00DB28E1">
      <w:rPr>
        <w:rStyle w:val="PageNumber"/>
        <w:noProof/>
        <w:sz w:val="20"/>
        <w:szCs w:val="20"/>
      </w:rPr>
      <w:t>1</w:t>
    </w:r>
    <w:r w:rsidRPr="003760AA">
      <w:rPr>
        <w:rStyle w:val="PageNumber"/>
        <w:sz w:val="20"/>
        <w:szCs w:val="20"/>
      </w:rPr>
      <w:fldChar w:fldCharType="end"/>
    </w:r>
  </w:p>
  <w:p w14:paraId="51FC0EC5" w14:textId="77777777" w:rsidR="00870CC3" w:rsidRDefault="00870CC3">
    <w:pPr>
      <w:pStyle w:val="Footer"/>
      <w:tabs>
        <w:tab w:val="clear" w:pos="4320"/>
        <w:tab w:val="clear" w:pos="8640"/>
        <w:tab w:val="right" w:pos="9360"/>
      </w:tabs>
      <w:jc w:val="center"/>
      <w:rPr>
        <w:rFonts w:ascii="Arial" w:hAnsi="Arial"/>
        <w:sz w:val="18"/>
      </w:rPr>
    </w:pPr>
    <w:r>
      <w:rPr>
        <w:rFonts w:ascii="Arial" w:hAnsi="Arial"/>
        <w:sz w:val="18"/>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53C47" w14:textId="77777777" w:rsidR="00E00D62" w:rsidRDefault="00E00D62">
      <w:r>
        <w:separator/>
      </w:r>
    </w:p>
  </w:footnote>
  <w:footnote w:type="continuationSeparator" w:id="0">
    <w:p w14:paraId="6FFF18C1" w14:textId="77777777" w:rsidR="00E00D62" w:rsidRDefault="00E00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AE49" w14:textId="77777777" w:rsidR="00870CC3" w:rsidRPr="0044368D" w:rsidRDefault="00870CC3">
    <w:pPr>
      <w:pStyle w:val="Header"/>
      <w:jc w:val="center"/>
      <w:rPr>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DC90" w14:textId="77777777" w:rsidR="00870CC3" w:rsidRDefault="00870CC3">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 xml:space="preserve">Table of Contents: Section 20 </w:t>
    </w:r>
  </w:p>
  <w:p w14:paraId="0794422E" w14:textId="77777777" w:rsidR="00870CC3" w:rsidRPr="0022376F" w:rsidRDefault="00870CC3">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6D0E" w14:textId="77777777" w:rsidR="00870CC3" w:rsidRDefault="00870CC3">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 xml:space="preserve">Section 20: Alternative Dispute Resolution Procedure </w:t>
    </w:r>
    <w:r w:rsidR="004F7B51">
      <w:rPr>
        <w:rFonts w:ascii="Times New Roman" w:hAnsi="Times New Roman"/>
        <w:b w:val="0"/>
        <w:smallCaps/>
        <w:sz w:val="20"/>
        <w:szCs w:val="20"/>
      </w:rPr>
      <w:t>and Procedure for Return of Settlement Funds</w:t>
    </w:r>
  </w:p>
  <w:p w14:paraId="02E254A2" w14:textId="77777777" w:rsidR="00870CC3" w:rsidRDefault="00870CC3">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18"/>
    <w:multiLevelType w:val="singleLevel"/>
    <w:tmpl w:val="DFB241A2"/>
    <w:lvl w:ilvl="0">
      <w:start w:val="1"/>
      <w:numFmt w:val="bullet"/>
      <w:pStyle w:val="BulletIndent"/>
      <w:lvlText w:val=""/>
      <w:lvlJc w:val="left"/>
      <w:pPr>
        <w:tabs>
          <w:tab w:val="num" w:pos="360"/>
        </w:tabs>
        <w:ind w:left="360" w:hanging="360"/>
      </w:pPr>
      <w:rPr>
        <w:rFonts w:ascii="Symbol" w:hAnsi="Symbol" w:hint="default"/>
      </w:rPr>
    </w:lvl>
  </w:abstractNum>
  <w:abstractNum w:abstractNumId="2"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610052"/>
    <w:multiLevelType w:val="multilevel"/>
    <w:tmpl w:val="10CEF07E"/>
    <w:lvl w:ilvl="0">
      <w:start w:val="20"/>
      <w:numFmt w:val="decimal"/>
      <w:lvlText w:val="%1"/>
      <w:lvlJc w:val="left"/>
      <w:pPr>
        <w:tabs>
          <w:tab w:val="num" w:pos="900"/>
        </w:tabs>
        <w:ind w:left="900" w:hanging="900"/>
      </w:pPr>
      <w:rPr>
        <w:rFonts w:hint="default"/>
      </w:rPr>
    </w:lvl>
    <w:lvl w:ilvl="1">
      <w:start w:val="9"/>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900"/>
        </w:tabs>
        <w:ind w:left="900" w:hanging="90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66510064"/>
    <w:multiLevelType w:val="multilevel"/>
    <w:tmpl w:val="78CEE07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6D180E87"/>
    <w:multiLevelType w:val="multilevel"/>
    <w:tmpl w:val="52A4B93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B331525"/>
    <w:multiLevelType w:val="singleLevel"/>
    <w:tmpl w:val="0AB409BE"/>
    <w:lvl w:ilvl="0">
      <w:start w:val="1"/>
      <w:numFmt w:val="bullet"/>
      <w:pStyle w:val="Bullet"/>
      <w:lvlText w:val=""/>
      <w:lvlJc w:val="left"/>
      <w:pPr>
        <w:tabs>
          <w:tab w:val="num" w:pos="360"/>
        </w:tabs>
        <w:ind w:left="360" w:hanging="360"/>
      </w:pPr>
      <w:rPr>
        <w:rFonts w:ascii="Symbol" w:hAnsi="Symbol" w:hint="default"/>
      </w:rPr>
    </w:lvl>
  </w:abstractNum>
  <w:abstractNum w:abstractNumId="8" w15:restartNumberingAfterBreak="0">
    <w:nsid w:val="7C1E509D"/>
    <w:multiLevelType w:val="hybridMultilevel"/>
    <w:tmpl w:val="BD32C9CE"/>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14232A"/>
    <w:multiLevelType w:val="hybridMultilevel"/>
    <w:tmpl w:val="52A4B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80142240">
    <w:abstractNumId w:val="0"/>
  </w:num>
  <w:num w:numId="2" w16cid:durableId="1993486936">
    <w:abstractNumId w:val="6"/>
  </w:num>
  <w:num w:numId="3" w16cid:durableId="577057022">
    <w:abstractNumId w:val="7"/>
  </w:num>
  <w:num w:numId="4" w16cid:durableId="983041880">
    <w:abstractNumId w:val="1"/>
  </w:num>
  <w:num w:numId="5" w16cid:durableId="1708338561">
    <w:abstractNumId w:val="4"/>
  </w:num>
  <w:num w:numId="6" w16cid:durableId="2014994478">
    <w:abstractNumId w:val="4"/>
  </w:num>
  <w:num w:numId="7" w16cid:durableId="176234079">
    <w:abstractNumId w:val="4"/>
  </w:num>
  <w:num w:numId="8" w16cid:durableId="1490753251">
    <w:abstractNumId w:val="4"/>
  </w:num>
  <w:num w:numId="9" w16cid:durableId="1184711676">
    <w:abstractNumId w:val="4"/>
  </w:num>
  <w:num w:numId="10" w16cid:durableId="1594968281">
    <w:abstractNumId w:val="4"/>
  </w:num>
  <w:num w:numId="11" w16cid:durableId="1732925023">
    <w:abstractNumId w:val="4"/>
  </w:num>
  <w:num w:numId="12" w16cid:durableId="1343971290">
    <w:abstractNumId w:val="4"/>
  </w:num>
  <w:num w:numId="13" w16cid:durableId="63914279">
    <w:abstractNumId w:val="4"/>
  </w:num>
  <w:num w:numId="14" w16cid:durableId="944923790">
    <w:abstractNumId w:val="2"/>
  </w:num>
  <w:num w:numId="15" w16cid:durableId="1887135594">
    <w:abstractNumId w:val="9"/>
  </w:num>
  <w:num w:numId="16" w16cid:durableId="584261702">
    <w:abstractNumId w:val="5"/>
  </w:num>
  <w:num w:numId="17" w16cid:durableId="1656179491">
    <w:abstractNumId w:val="8"/>
  </w:num>
  <w:num w:numId="18" w16cid:durableId="1078089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7EEB"/>
    <w:rsid w:val="00024741"/>
    <w:rsid w:val="00035788"/>
    <w:rsid w:val="000505F1"/>
    <w:rsid w:val="00086120"/>
    <w:rsid w:val="000A7BCA"/>
    <w:rsid w:val="000B5B58"/>
    <w:rsid w:val="000C0460"/>
    <w:rsid w:val="000E228F"/>
    <w:rsid w:val="0011266F"/>
    <w:rsid w:val="00161726"/>
    <w:rsid w:val="00180581"/>
    <w:rsid w:val="001C6060"/>
    <w:rsid w:val="001D4C3D"/>
    <w:rsid w:val="00215BF8"/>
    <w:rsid w:val="0022221E"/>
    <w:rsid w:val="002236EE"/>
    <w:rsid w:val="002322C1"/>
    <w:rsid w:val="0023268B"/>
    <w:rsid w:val="00255099"/>
    <w:rsid w:val="002633E7"/>
    <w:rsid w:val="00295643"/>
    <w:rsid w:val="002E1AC6"/>
    <w:rsid w:val="00304E4B"/>
    <w:rsid w:val="0031273A"/>
    <w:rsid w:val="00356254"/>
    <w:rsid w:val="00380529"/>
    <w:rsid w:val="003A646E"/>
    <w:rsid w:val="003E4557"/>
    <w:rsid w:val="003F36A8"/>
    <w:rsid w:val="003F57E9"/>
    <w:rsid w:val="004250CE"/>
    <w:rsid w:val="0044125A"/>
    <w:rsid w:val="00441994"/>
    <w:rsid w:val="00487C0C"/>
    <w:rsid w:val="004940FC"/>
    <w:rsid w:val="004A0DE3"/>
    <w:rsid w:val="004A6868"/>
    <w:rsid w:val="004D6BC4"/>
    <w:rsid w:val="004E4C87"/>
    <w:rsid w:val="004E542D"/>
    <w:rsid w:val="004F75B5"/>
    <w:rsid w:val="004F7B51"/>
    <w:rsid w:val="0052247A"/>
    <w:rsid w:val="0052597B"/>
    <w:rsid w:val="00533FBB"/>
    <w:rsid w:val="00560E76"/>
    <w:rsid w:val="00575643"/>
    <w:rsid w:val="005A6FA4"/>
    <w:rsid w:val="005A7F14"/>
    <w:rsid w:val="005E7C70"/>
    <w:rsid w:val="00636D4C"/>
    <w:rsid w:val="006A6CCE"/>
    <w:rsid w:val="006B7E0F"/>
    <w:rsid w:val="006C2BE4"/>
    <w:rsid w:val="006C7DCB"/>
    <w:rsid w:val="006D1846"/>
    <w:rsid w:val="006E4A9F"/>
    <w:rsid w:val="007134E3"/>
    <w:rsid w:val="00756A99"/>
    <w:rsid w:val="007772F8"/>
    <w:rsid w:val="00780CF6"/>
    <w:rsid w:val="007A12A4"/>
    <w:rsid w:val="007A4BD3"/>
    <w:rsid w:val="007C2EC2"/>
    <w:rsid w:val="007C4DE4"/>
    <w:rsid w:val="007D34AC"/>
    <w:rsid w:val="008118CD"/>
    <w:rsid w:val="00817A1C"/>
    <w:rsid w:val="00867FC7"/>
    <w:rsid w:val="00870CC3"/>
    <w:rsid w:val="00885CE3"/>
    <w:rsid w:val="00897CBA"/>
    <w:rsid w:val="00897ECD"/>
    <w:rsid w:val="008C055A"/>
    <w:rsid w:val="008C05A2"/>
    <w:rsid w:val="008D1B16"/>
    <w:rsid w:val="008D7EC1"/>
    <w:rsid w:val="008F1B70"/>
    <w:rsid w:val="008F6317"/>
    <w:rsid w:val="008F7EEB"/>
    <w:rsid w:val="00902800"/>
    <w:rsid w:val="00912C09"/>
    <w:rsid w:val="00917E82"/>
    <w:rsid w:val="00924356"/>
    <w:rsid w:val="00937DF4"/>
    <w:rsid w:val="009607FA"/>
    <w:rsid w:val="009C61DB"/>
    <w:rsid w:val="009C6F0E"/>
    <w:rsid w:val="009E0655"/>
    <w:rsid w:val="009E4A77"/>
    <w:rsid w:val="009E5930"/>
    <w:rsid w:val="009F4812"/>
    <w:rsid w:val="00A358EB"/>
    <w:rsid w:val="00A72128"/>
    <w:rsid w:val="00A80A0C"/>
    <w:rsid w:val="00A82BB9"/>
    <w:rsid w:val="00AB1A98"/>
    <w:rsid w:val="00AD286F"/>
    <w:rsid w:val="00AD6DCF"/>
    <w:rsid w:val="00AD75B7"/>
    <w:rsid w:val="00AE5163"/>
    <w:rsid w:val="00AF5672"/>
    <w:rsid w:val="00B12FE2"/>
    <w:rsid w:val="00B40399"/>
    <w:rsid w:val="00B52A5B"/>
    <w:rsid w:val="00BA154B"/>
    <w:rsid w:val="00BC1261"/>
    <w:rsid w:val="00BD0800"/>
    <w:rsid w:val="00BD29C0"/>
    <w:rsid w:val="00BE4282"/>
    <w:rsid w:val="00BF2278"/>
    <w:rsid w:val="00C0434E"/>
    <w:rsid w:val="00C16D16"/>
    <w:rsid w:val="00C26C21"/>
    <w:rsid w:val="00C40A1E"/>
    <w:rsid w:val="00C67DDA"/>
    <w:rsid w:val="00C77595"/>
    <w:rsid w:val="00C9546D"/>
    <w:rsid w:val="00C97304"/>
    <w:rsid w:val="00CA44ED"/>
    <w:rsid w:val="00CC1390"/>
    <w:rsid w:val="00CC6097"/>
    <w:rsid w:val="00D36300"/>
    <w:rsid w:val="00D422A6"/>
    <w:rsid w:val="00D535A2"/>
    <w:rsid w:val="00D65CC5"/>
    <w:rsid w:val="00D8560F"/>
    <w:rsid w:val="00DB28E1"/>
    <w:rsid w:val="00DE2BAF"/>
    <w:rsid w:val="00E00D62"/>
    <w:rsid w:val="00E1249C"/>
    <w:rsid w:val="00E16F75"/>
    <w:rsid w:val="00E25FED"/>
    <w:rsid w:val="00E3562D"/>
    <w:rsid w:val="00E431FD"/>
    <w:rsid w:val="00E624EC"/>
    <w:rsid w:val="00E64F23"/>
    <w:rsid w:val="00E650CF"/>
    <w:rsid w:val="00E85270"/>
    <w:rsid w:val="00E908D7"/>
    <w:rsid w:val="00E92CC9"/>
    <w:rsid w:val="00EA4751"/>
    <w:rsid w:val="00EB16A7"/>
    <w:rsid w:val="00EE4045"/>
    <w:rsid w:val="00EF23A3"/>
    <w:rsid w:val="00F05112"/>
    <w:rsid w:val="00F06276"/>
    <w:rsid w:val="00F46425"/>
    <w:rsid w:val="00F93B5B"/>
    <w:rsid w:val="00FB16D0"/>
    <w:rsid w:val="00FD1B00"/>
    <w:rsid w:val="00FE313A"/>
    <w:rsid w:val="00FE6BE1"/>
    <w:rsid w:val="00FF5575"/>
    <w:rsid w:val="00FF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BC1DDC7"/>
  <w15:chartTrackingRefBased/>
  <w15:docId w15:val="{8CC702E7-B8EC-4B05-9576-20DBF8F9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3FBB"/>
    <w:rPr>
      <w:sz w:val="24"/>
      <w:szCs w:val="24"/>
    </w:rPr>
  </w:style>
  <w:style w:type="paragraph" w:styleId="Heading1">
    <w:name w:val="heading 1"/>
    <w:basedOn w:val="Normal"/>
    <w:next w:val="BodyText"/>
    <w:qFormat/>
    <w:rsid w:val="00533FBB"/>
    <w:pPr>
      <w:keepNext/>
      <w:numPr>
        <w:numId w:val="13"/>
      </w:numPr>
      <w:tabs>
        <w:tab w:val="clear" w:pos="432"/>
        <w:tab w:val="num" w:pos="360"/>
      </w:tabs>
      <w:spacing w:after="240"/>
      <w:ind w:left="0" w:firstLine="0"/>
      <w:outlineLvl w:val="0"/>
    </w:pPr>
    <w:rPr>
      <w:b/>
      <w:caps/>
      <w:szCs w:val="20"/>
    </w:rPr>
  </w:style>
  <w:style w:type="paragraph" w:styleId="Heading2">
    <w:name w:val="heading 2"/>
    <w:basedOn w:val="Normal"/>
    <w:next w:val="BodyText"/>
    <w:qFormat/>
    <w:rsid w:val="00533FBB"/>
    <w:pPr>
      <w:keepNext/>
      <w:numPr>
        <w:ilvl w:val="1"/>
        <w:numId w:val="13"/>
      </w:numPr>
      <w:tabs>
        <w:tab w:val="clear" w:pos="576"/>
        <w:tab w:val="num" w:pos="360"/>
      </w:tabs>
      <w:spacing w:before="240" w:after="240"/>
      <w:ind w:left="0" w:firstLine="0"/>
      <w:outlineLvl w:val="1"/>
    </w:pPr>
    <w:rPr>
      <w:b/>
      <w:szCs w:val="20"/>
    </w:rPr>
  </w:style>
  <w:style w:type="paragraph" w:styleId="Heading3">
    <w:name w:val="heading 3"/>
    <w:basedOn w:val="Normal"/>
    <w:next w:val="BodyText"/>
    <w:qFormat/>
    <w:rsid w:val="00533FBB"/>
    <w:pPr>
      <w:keepNext/>
      <w:numPr>
        <w:ilvl w:val="2"/>
        <w:numId w:val="13"/>
      </w:numPr>
      <w:tabs>
        <w:tab w:val="clear" w:pos="720"/>
        <w:tab w:val="num" w:pos="360"/>
        <w:tab w:val="left" w:pos="1008"/>
      </w:tabs>
      <w:spacing w:before="240" w:after="240"/>
      <w:ind w:left="0" w:firstLine="0"/>
      <w:outlineLvl w:val="2"/>
    </w:pPr>
    <w:rPr>
      <w:b/>
      <w:bCs/>
      <w:i/>
      <w:szCs w:val="20"/>
    </w:rPr>
  </w:style>
  <w:style w:type="paragraph" w:styleId="Heading4">
    <w:name w:val="heading 4"/>
    <w:basedOn w:val="Normal"/>
    <w:next w:val="BodyText"/>
    <w:qFormat/>
    <w:rsid w:val="00533FBB"/>
    <w:pPr>
      <w:keepNext/>
      <w:widowControl w:val="0"/>
      <w:numPr>
        <w:ilvl w:val="3"/>
        <w:numId w:val="13"/>
      </w:numPr>
      <w:tabs>
        <w:tab w:val="clear" w:pos="864"/>
        <w:tab w:val="num" w:pos="360"/>
        <w:tab w:val="left" w:pos="1296"/>
      </w:tabs>
      <w:spacing w:before="240" w:after="240"/>
      <w:ind w:left="0" w:firstLine="0"/>
      <w:outlineLvl w:val="3"/>
    </w:pPr>
    <w:rPr>
      <w:b/>
      <w:bCs/>
      <w:snapToGrid w:val="0"/>
      <w:szCs w:val="20"/>
    </w:rPr>
  </w:style>
  <w:style w:type="paragraph" w:styleId="Heading5">
    <w:name w:val="heading 5"/>
    <w:basedOn w:val="Normal"/>
    <w:next w:val="BodyText"/>
    <w:qFormat/>
    <w:rsid w:val="00533FBB"/>
    <w:pPr>
      <w:keepNext/>
      <w:numPr>
        <w:ilvl w:val="4"/>
        <w:numId w:val="13"/>
      </w:numPr>
      <w:tabs>
        <w:tab w:val="clear" w:pos="1008"/>
        <w:tab w:val="num" w:pos="360"/>
        <w:tab w:val="left" w:pos="1440"/>
      </w:tabs>
      <w:spacing w:before="240" w:after="240"/>
      <w:ind w:left="0" w:firstLine="0"/>
      <w:outlineLvl w:val="4"/>
    </w:pPr>
    <w:rPr>
      <w:b/>
      <w:bCs/>
      <w:i/>
      <w:iCs/>
      <w:szCs w:val="26"/>
    </w:rPr>
  </w:style>
  <w:style w:type="paragraph" w:styleId="Heading6">
    <w:name w:val="heading 6"/>
    <w:basedOn w:val="Normal"/>
    <w:next w:val="BodyText"/>
    <w:qFormat/>
    <w:rsid w:val="00533FBB"/>
    <w:pPr>
      <w:keepNext/>
      <w:numPr>
        <w:ilvl w:val="5"/>
        <w:numId w:val="13"/>
      </w:numPr>
      <w:tabs>
        <w:tab w:val="clear" w:pos="1152"/>
        <w:tab w:val="num" w:pos="360"/>
        <w:tab w:val="left" w:pos="1584"/>
      </w:tabs>
      <w:spacing w:before="240" w:after="240"/>
      <w:ind w:left="0" w:firstLine="0"/>
      <w:outlineLvl w:val="5"/>
    </w:pPr>
    <w:rPr>
      <w:b/>
      <w:bCs/>
      <w:szCs w:val="22"/>
    </w:rPr>
  </w:style>
  <w:style w:type="paragraph" w:styleId="Heading7">
    <w:name w:val="heading 7"/>
    <w:basedOn w:val="Normal"/>
    <w:next w:val="BodyText"/>
    <w:qFormat/>
    <w:rsid w:val="00533FBB"/>
    <w:pPr>
      <w:keepNext/>
      <w:numPr>
        <w:ilvl w:val="6"/>
        <w:numId w:val="13"/>
      </w:numPr>
      <w:tabs>
        <w:tab w:val="clear" w:pos="1296"/>
        <w:tab w:val="num" w:pos="360"/>
        <w:tab w:val="left" w:pos="1728"/>
      </w:tabs>
      <w:spacing w:before="240" w:after="240"/>
      <w:ind w:left="0" w:firstLine="0"/>
      <w:outlineLvl w:val="6"/>
    </w:pPr>
  </w:style>
  <w:style w:type="paragraph" w:styleId="Heading8">
    <w:name w:val="heading 8"/>
    <w:basedOn w:val="Normal"/>
    <w:next w:val="BodyText"/>
    <w:qFormat/>
    <w:rsid w:val="00533FBB"/>
    <w:pPr>
      <w:keepNext/>
      <w:numPr>
        <w:ilvl w:val="7"/>
        <w:numId w:val="13"/>
      </w:numPr>
      <w:tabs>
        <w:tab w:val="clear" w:pos="1440"/>
        <w:tab w:val="num" w:pos="360"/>
        <w:tab w:val="left" w:pos="1872"/>
      </w:tabs>
      <w:spacing w:before="240" w:after="240"/>
      <w:ind w:left="0" w:firstLine="0"/>
      <w:outlineLvl w:val="7"/>
    </w:pPr>
    <w:rPr>
      <w:i/>
      <w:iCs/>
    </w:rPr>
  </w:style>
  <w:style w:type="paragraph" w:styleId="Heading9">
    <w:name w:val="heading 9"/>
    <w:basedOn w:val="Normal"/>
    <w:next w:val="BodyText"/>
    <w:qFormat/>
    <w:rsid w:val="00533FBB"/>
    <w:pPr>
      <w:keepNext/>
      <w:numPr>
        <w:ilvl w:val="8"/>
        <w:numId w:val="13"/>
      </w:numPr>
      <w:tabs>
        <w:tab w:val="clear" w:pos="1584"/>
        <w:tab w:val="num" w:pos="360"/>
        <w:tab w:val="left" w:pos="2160"/>
      </w:tabs>
      <w:spacing w:before="240" w:after="240"/>
      <w:ind w:left="0" w:firstLine="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3FBB"/>
    <w:pPr>
      <w:tabs>
        <w:tab w:val="center" w:pos="4320"/>
        <w:tab w:val="right" w:pos="8640"/>
      </w:tabs>
    </w:pPr>
    <w:rPr>
      <w:rFonts w:ascii="Arial" w:hAnsi="Arial"/>
      <w:b/>
      <w:bCs/>
    </w:rPr>
  </w:style>
  <w:style w:type="paragraph" w:styleId="Footer">
    <w:name w:val="footer"/>
    <w:basedOn w:val="Normal"/>
    <w:rsid w:val="00533FBB"/>
    <w:pPr>
      <w:tabs>
        <w:tab w:val="center" w:pos="4320"/>
        <w:tab w:val="right" w:pos="8640"/>
      </w:tabs>
    </w:pPr>
  </w:style>
  <w:style w:type="paragraph" w:customStyle="1" w:styleId="TXUNormal">
    <w:name w:val="TXUNormal"/>
    <w:rsid w:val="00533FBB"/>
    <w:pPr>
      <w:spacing w:after="120"/>
    </w:pPr>
  </w:style>
  <w:style w:type="paragraph" w:customStyle="1" w:styleId="TXUHeader">
    <w:name w:val="TXUHeader"/>
    <w:basedOn w:val="TXUNormal"/>
    <w:rsid w:val="00533FBB"/>
    <w:pPr>
      <w:tabs>
        <w:tab w:val="right" w:pos="9360"/>
      </w:tabs>
      <w:spacing w:after="0"/>
    </w:pPr>
    <w:rPr>
      <w:noProof/>
      <w:sz w:val="16"/>
    </w:rPr>
  </w:style>
  <w:style w:type="paragraph" w:customStyle="1" w:styleId="TXUHeaderForm">
    <w:name w:val="TXUHeaderForm"/>
    <w:basedOn w:val="TXUHeader"/>
    <w:next w:val="Normal"/>
    <w:rsid w:val="00533FBB"/>
    <w:rPr>
      <w:sz w:val="24"/>
    </w:rPr>
  </w:style>
  <w:style w:type="paragraph" w:customStyle="1" w:styleId="TXUSubject">
    <w:name w:val="TXUSubject"/>
    <w:basedOn w:val="TXUNormal"/>
    <w:next w:val="TXUNormal"/>
    <w:rsid w:val="00533FBB"/>
    <w:pPr>
      <w:spacing w:after="240"/>
    </w:pPr>
    <w:rPr>
      <w:b/>
    </w:rPr>
  </w:style>
  <w:style w:type="paragraph" w:customStyle="1" w:styleId="TXUFooter">
    <w:name w:val="TXUFooter"/>
    <w:basedOn w:val="TXUNormal"/>
    <w:rsid w:val="00533FBB"/>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sid w:val="00533FBB"/>
    <w:rPr>
      <w:sz w:val="20"/>
    </w:rPr>
  </w:style>
  <w:style w:type="paragraph" w:customStyle="1" w:styleId="Comments">
    <w:name w:val="Comments"/>
    <w:basedOn w:val="Normal"/>
    <w:rsid w:val="00533FBB"/>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uiPriority w:val="99"/>
    <w:rsid w:val="00533FBB"/>
    <w:rPr>
      <w:color w:val="0000FF"/>
      <w:u w:val="single"/>
    </w:rPr>
  </w:style>
  <w:style w:type="paragraph" w:styleId="BodyText">
    <w:name w:val="Body Text"/>
    <w:aliases w:val=" Char Char Char, Char1,Body Text Char Char, Char Char Char Char Char,Body Text Char2 Char Char,Body Text Char2 Char Char Char Char Char Char Char Char Char Char Char,Body Text Char2 Char,Body Text Char2,Body Text Char1 Char Ch, Char1 Char Char"/>
    <w:basedOn w:val="Normal"/>
    <w:rsid w:val="00533FBB"/>
    <w:pPr>
      <w:spacing w:after="240"/>
    </w:pPr>
  </w:style>
  <w:style w:type="paragraph" w:styleId="BodyTextIndent">
    <w:name w:val="Body Text Indent"/>
    <w:basedOn w:val="Normal"/>
    <w:rsid w:val="00533FBB"/>
    <w:pPr>
      <w:spacing w:after="240"/>
      <w:ind w:left="720"/>
    </w:pPr>
    <w:rPr>
      <w:iCs/>
      <w:szCs w:val="20"/>
    </w:rPr>
  </w:style>
  <w:style w:type="paragraph" w:customStyle="1" w:styleId="Bullet">
    <w:name w:val="Bullet"/>
    <w:basedOn w:val="Normal"/>
    <w:rsid w:val="00533FBB"/>
    <w:pPr>
      <w:numPr>
        <w:numId w:val="3"/>
      </w:numPr>
      <w:tabs>
        <w:tab w:val="clear" w:pos="360"/>
        <w:tab w:val="num" w:pos="432"/>
      </w:tabs>
      <w:spacing w:after="180"/>
      <w:ind w:left="432" w:hanging="432"/>
    </w:pPr>
    <w:rPr>
      <w:szCs w:val="20"/>
    </w:rPr>
  </w:style>
  <w:style w:type="paragraph" w:customStyle="1" w:styleId="NormalArial">
    <w:name w:val="Normal+Arial"/>
    <w:basedOn w:val="Normal"/>
    <w:link w:val="NormalArialChar"/>
    <w:rsid w:val="00533FBB"/>
    <w:rPr>
      <w:rFonts w:ascii="Arial" w:hAnsi="Arial"/>
    </w:rPr>
  </w:style>
  <w:style w:type="table" w:customStyle="1" w:styleId="BoxedLanguage">
    <w:name w:val="Boxed Language"/>
    <w:basedOn w:val="TableNormal"/>
    <w:rsid w:val="00533FBB"/>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BulletIndent">
    <w:name w:val="Bullet Indent"/>
    <w:basedOn w:val="Normal"/>
    <w:rsid w:val="00533FBB"/>
    <w:pPr>
      <w:numPr>
        <w:numId w:val="4"/>
      </w:numPr>
      <w:tabs>
        <w:tab w:val="clear" w:pos="360"/>
        <w:tab w:val="num" w:pos="432"/>
      </w:tabs>
      <w:spacing w:after="180"/>
      <w:ind w:left="432" w:hanging="432"/>
    </w:pPr>
    <w:rPr>
      <w:szCs w:val="20"/>
    </w:rPr>
  </w:style>
  <w:style w:type="paragraph" w:styleId="FootnoteText">
    <w:name w:val="footnote text"/>
    <w:basedOn w:val="Normal"/>
    <w:semiHidden/>
    <w:rsid w:val="00533FBB"/>
    <w:rPr>
      <w:sz w:val="18"/>
      <w:szCs w:val="20"/>
    </w:rPr>
  </w:style>
  <w:style w:type="paragraph" w:customStyle="1" w:styleId="Formula">
    <w:name w:val="Formula"/>
    <w:basedOn w:val="Normal"/>
    <w:autoRedefine/>
    <w:rsid w:val="00533FBB"/>
    <w:pPr>
      <w:tabs>
        <w:tab w:val="left" w:pos="2340"/>
        <w:tab w:val="left" w:pos="3420"/>
      </w:tabs>
      <w:spacing w:after="240"/>
      <w:ind w:left="3420" w:hanging="2700"/>
    </w:pPr>
    <w:rPr>
      <w:bCs/>
    </w:rPr>
  </w:style>
  <w:style w:type="paragraph" w:customStyle="1" w:styleId="FormulaBold">
    <w:name w:val="Formula Bold"/>
    <w:basedOn w:val="Normal"/>
    <w:autoRedefine/>
    <w:rsid w:val="00533FBB"/>
    <w:pPr>
      <w:tabs>
        <w:tab w:val="left" w:pos="2340"/>
        <w:tab w:val="left" w:pos="3420"/>
      </w:tabs>
      <w:spacing w:after="240"/>
      <w:ind w:left="3420" w:hanging="2700"/>
    </w:pPr>
    <w:rPr>
      <w:b/>
      <w:bCs/>
    </w:rPr>
  </w:style>
  <w:style w:type="table" w:customStyle="1" w:styleId="FormulaVariableTable">
    <w:name w:val="Formula Variable Table"/>
    <w:basedOn w:val="TableNormal"/>
    <w:rsid w:val="00533FBB"/>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2">
    <w:name w:val="H2"/>
    <w:basedOn w:val="Heading2"/>
    <w:next w:val="BodyText"/>
    <w:rsid w:val="00533FBB"/>
    <w:pPr>
      <w:numPr>
        <w:ilvl w:val="0"/>
        <w:numId w:val="0"/>
      </w:numPr>
      <w:tabs>
        <w:tab w:val="left" w:pos="900"/>
      </w:tabs>
      <w:ind w:left="900" w:hanging="900"/>
    </w:pPr>
  </w:style>
  <w:style w:type="paragraph" w:customStyle="1" w:styleId="H3">
    <w:name w:val="H3"/>
    <w:basedOn w:val="Heading3"/>
    <w:next w:val="BodyText"/>
    <w:link w:val="H3Char1"/>
    <w:rsid w:val="00533FBB"/>
    <w:pPr>
      <w:numPr>
        <w:ilvl w:val="0"/>
        <w:numId w:val="0"/>
      </w:numPr>
      <w:tabs>
        <w:tab w:val="clear" w:pos="1008"/>
        <w:tab w:val="left" w:pos="1080"/>
      </w:tabs>
      <w:ind w:left="1080" w:hanging="1080"/>
    </w:pPr>
  </w:style>
  <w:style w:type="paragraph" w:customStyle="1" w:styleId="H4">
    <w:name w:val="H4"/>
    <w:basedOn w:val="Heading4"/>
    <w:next w:val="BodyText"/>
    <w:rsid w:val="00533FBB"/>
    <w:pPr>
      <w:numPr>
        <w:ilvl w:val="0"/>
        <w:numId w:val="0"/>
      </w:numPr>
      <w:tabs>
        <w:tab w:val="clear" w:pos="1296"/>
        <w:tab w:val="left" w:pos="1260"/>
      </w:tabs>
      <w:ind w:left="1260" w:hanging="1260"/>
    </w:pPr>
  </w:style>
  <w:style w:type="paragraph" w:customStyle="1" w:styleId="H5">
    <w:name w:val="H5"/>
    <w:basedOn w:val="Heading5"/>
    <w:next w:val="BodyText"/>
    <w:rsid w:val="00533FBB"/>
    <w:pPr>
      <w:numPr>
        <w:ilvl w:val="0"/>
        <w:numId w:val="0"/>
      </w:numPr>
      <w:tabs>
        <w:tab w:val="clear" w:pos="1440"/>
        <w:tab w:val="left" w:pos="1620"/>
      </w:tabs>
      <w:ind w:left="1620" w:hanging="1620"/>
    </w:pPr>
  </w:style>
  <w:style w:type="paragraph" w:customStyle="1" w:styleId="H6">
    <w:name w:val="H6"/>
    <w:basedOn w:val="Heading6"/>
    <w:next w:val="BodyText"/>
    <w:rsid w:val="00533FBB"/>
    <w:pPr>
      <w:numPr>
        <w:ilvl w:val="0"/>
        <w:numId w:val="0"/>
      </w:numPr>
      <w:tabs>
        <w:tab w:val="clear" w:pos="1584"/>
        <w:tab w:val="left" w:pos="1800"/>
      </w:tabs>
      <w:ind w:left="1800" w:hanging="1800"/>
    </w:pPr>
  </w:style>
  <w:style w:type="paragraph" w:customStyle="1" w:styleId="H7">
    <w:name w:val="H7"/>
    <w:basedOn w:val="Heading7"/>
    <w:next w:val="BodyText"/>
    <w:rsid w:val="00533FBB"/>
    <w:pPr>
      <w:numPr>
        <w:ilvl w:val="0"/>
        <w:numId w:val="0"/>
      </w:numPr>
      <w:tabs>
        <w:tab w:val="clear" w:pos="1728"/>
        <w:tab w:val="left" w:pos="1980"/>
      </w:tabs>
      <w:ind w:left="1980" w:hanging="1980"/>
    </w:pPr>
    <w:rPr>
      <w:b/>
      <w:i/>
    </w:rPr>
  </w:style>
  <w:style w:type="paragraph" w:customStyle="1" w:styleId="H8">
    <w:name w:val="H8"/>
    <w:basedOn w:val="Heading8"/>
    <w:next w:val="BodyText"/>
    <w:rsid w:val="00533FBB"/>
    <w:pPr>
      <w:numPr>
        <w:ilvl w:val="0"/>
        <w:numId w:val="0"/>
      </w:numPr>
      <w:tabs>
        <w:tab w:val="clear" w:pos="1872"/>
        <w:tab w:val="left" w:pos="2160"/>
      </w:tabs>
      <w:ind w:left="2160" w:hanging="2160"/>
    </w:pPr>
    <w:rPr>
      <w:b/>
      <w:i w:val="0"/>
    </w:rPr>
  </w:style>
  <w:style w:type="paragraph" w:customStyle="1" w:styleId="H9">
    <w:name w:val="H9"/>
    <w:basedOn w:val="Heading9"/>
    <w:next w:val="BodyText"/>
    <w:rsid w:val="00533FBB"/>
    <w:pPr>
      <w:numPr>
        <w:ilvl w:val="0"/>
        <w:numId w:val="0"/>
      </w:numPr>
      <w:tabs>
        <w:tab w:val="clear" w:pos="2160"/>
        <w:tab w:val="left" w:pos="2340"/>
      </w:tabs>
      <w:ind w:left="2340" w:hanging="2340"/>
    </w:pPr>
    <w:rPr>
      <w:i/>
    </w:rPr>
  </w:style>
  <w:style w:type="paragraph" w:customStyle="1" w:styleId="HeadSub">
    <w:name w:val="Head Sub"/>
    <w:basedOn w:val="BodyText"/>
    <w:next w:val="BodyText"/>
    <w:rsid w:val="00533FBB"/>
    <w:pPr>
      <w:keepNext/>
      <w:spacing w:before="240"/>
    </w:pPr>
    <w:rPr>
      <w:b/>
      <w:iCs/>
      <w:szCs w:val="20"/>
    </w:rPr>
  </w:style>
  <w:style w:type="paragraph" w:customStyle="1" w:styleId="Instructions">
    <w:name w:val="Instructions"/>
    <w:basedOn w:val="BodyText"/>
    <w:link w:val="InstructionsChar"/>
    <w:rsid w:val="00533FBB"/>
    <w:rPr>
      <w:b/>
      <w:i/>
      <w:iCs/>
    </w:rPr>
  </w:style>
  <w:style w:type="paragraph" w:styleId="List">
    <w:name w:val="List"/>
    <w:basedOn w:val="Normal"/>
    <w:rsid w:val="00533FBB"/>
    <w:pPr>
      <w:spacing w:after="240"/>
      <w:ind w:left="720" w:hanging="720"/>
    </w:pPr>
    <w:rPr>
      <w:szCs w:val="20"/>
    </w:rPr>
  </w:style>
  <w:style w:type="paragraph" w:styleId="List2">
    <w:name w:val="List 2"/>
    <w:basedOn w:val="Normal"/>
    <w:rsid w:val="00533FBB"/>
    <w:pPr>
      <w:spacing w:after="240"/>
      <w:ind w:left="1440" w:hanging="720"/>
    </w:pPr>
    <w:rPr>
      <w:szCs w:val="20"/>
    </w:rPr>
  </w:style>
  <w:style w:type="paragraph" w:styleId="List3">
    <w:name w:val="List 3"/>
    <w:basedOn w:val="Normal"/>
    <w:rsid w:val="00533FBB"/>
    <w:pPr>
      <w:spacing w:after="240"/>
      <w:ind w:left="2160" w:hanging="720"/>
    </w:pPr>
    <w:rPr>
      <w:szCs w:val="20"/>
    </w:rPr>
  </w:style>
  <w:style w:type="paragraph" w:customStyle="1" w:styleId="ListIntroduction">
    <w:name w:val="List Introduction"/>
    <w:basedOn w:val="BodyText"/>
    <w:link w:val="ListIntroductionChar"/>
    <w:rsid w:val="00533FBB"/>
    <w:pPr>
      <w:keepNext/>
    </w:pPr>
    <w:rPr>
      <w:iCs/>
      <w:szCs w:val="20"/>
    </w:rPr>
  </w:style>
  <w:style w:type="paragraph" w:customStyle="1" w:styleId="ListSub">
    <w:name w:val="List Sub"/>
    <w:basedOn w:val="List"/>
    <w:rsid w:val="00533FBB"/>
    <w:pPr>
      <w:ind w:firstLine="0"/>
    </w:pPr>
  </w:style>
  <w:style w:type="character" w:styleId="PageNumber">
    <w:name w:val="page number"/>
    <w:basedOn w:val="DefaultParagraphFont"/>
    <w:rsid w:val="00533FBB"/>
  </w:style>
  <w:style w:type="paragraph" w:customStyle="1" w:styleId="Spaceafterbox">
    <w:name w:val="Space after box"/>
    <w:basedOn w:val="Normal"/>
    <w:rsid w:val="00533FBB"/>
    <w:rPr>
      <w:szCs w:val="20"/>
    </w:rPr>
  </w:style>
  <w:style w:type="paragraph" w:customStyle="1" w:styleId="TableBody">
    <w:name w:val="Table Body"/>
    <w:basedOn w:val="BodyText"/>
    <w:rsid w:val="00533FBB"/>
    <w:pPr>
      <w:spacing w:after="60"/>
    </w:pPr>
    <w:rPr>
      <w:iCs/>
      <w:sz w:val="20"/>
      <w:szCs w:val="20"/>
    </w:rPr>
  </w:style>
  <w:style w:type="paragraph" w:customStyle="1" w:styleId="TableBullet">
    <w:name w:val="Table Bullet"/>
    <w:basedOn w:val="TableBody"/>
    <w:rsid w:val="00533FBB"/>
    <w:pPr>
      <w:numPr>
        <w:numId w:val="14"/>
      </w:numPr>
      <w:ind w:left="0" w:firstLine="0"/>
    </w:pPr>
  </w:style>
  <w:style w:type="table" w:styleId="TableGrid">
    <w:name w:val="Table Grid"/>
    <w:basedOn w:val="TableNormal"/>
    <w:rsid w:val="00533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BodyText"/>
    <w:rsid w:val="00533FBB"/>
    <w:rPr>
      <w:b/>
      <w:iCs/>
      <w:sz w:val="20"/>
      <w:szCs w:val="20"/>
    </w:rPr>
  </w:style>
  <w:style w:type="paragraph" w:styleId="TOC1">
    <w:name w:val="toc 1"/>
    <w:basedOn w:val="Normal"/>
    <w:next w:val="Normal"/>
    <w:autoRedefine/>
    <w:uiPriority w:val="39"/>
    <w:rsid w:val="007D34AC"/>
    <w:pPr>
      <w:tabs>
        <w:tab w:val="left" w:pos="540"/>
        <w:tab w:val="right" w:leader="dot" w:pos="9360"/>
      </w:tabs>
      <w:spacing w:before="120" w:after="120"/>
      <w:ind w:left="540" w:right="720" w:hanging="540"/>
    </w:pPr>
    <w:rPr>
      <w:b/>
      <w:bCs/>
      <w:noProof/>
    </w:rPr>
  </w:style>
  <w:style w:type="paragraph" w:styleId="TOC2">
    <w:name w:val="toc 2"/>
    <w:basedOn w:val="Normal"/>
    <w:next w:val="Normal"/>
    <w:autoRedefine/>
    <w:uiPriority w:val="39"/>
    <w:rsid w:val="00533FBB"/>
    <w:pPr>
      <w:tabs>
        <w:tab w:val="left" w:pos="1260"/>
        <w:tab w:val="right" w:leader="dot" w:pos="9360"/>
      </w:tabs>
      <w:ind w:left="1260" w:right="720" w:hanging="720"/>
    </w:pPr>
    <w:rPr>
      <w:sz w:val="20"/>
      <w:szCs w:val="20"/>
    </w:rPr>
  </w:style>
  <w:style w:type="paragraph" w:styleId="TOC3">
    <w:name w:val="toc 3"/>
    <w:basedOn w:val="Normal"/>
    <w:next w:val="Normal"/>
    <w:autoRedefine/>
    <w:uiPriority w:val="39"/>
    <w:rsid w:val="00533FBB"/>
    <w:pPr>
      <w:tabs>
        <w:tab w:val="left" w:pos="1980"/>
        <w:tab w:val="right" w:leader="dot" w:pos="9360"/>
      </w:tabs>
      <w:ind w:left="1980" w:right="720" w:hanging="900"/>
    </w:pPr>
    <w:rPr>
      <w:i/>
      <w:iCs/>
      <w:sz w:val="20"/>
      <w:szCs w:val="20"/>
    </w:rPr>
  </w:style>
  <w:style w:type="paragraph" w:styleId="TOC4">
    <w:name w:val="toc 4"/>
    <w:basedOn w:val="Normal"/>
    <w:next w:val="Normal"/>
    <w:autoRedefine/>
    <w:semiHidden/>
    <w:rsid w:val="00533FBB"/>
    <w:pPr>
      <w:tabs>
        <w:tab w:val="left" w:pos="2700"/>
        <w:tab w:val="right" w:leader="dot" w:pos="9360"/>
      </w:tabs>
      <w:ind w:left="2700" w:right="720" w:hanging="1080"/>
    </w:pPr>
    <w:rPr>
      <w:sz w:val="18"/>
      <w:szCs w:val="18"/>
    </w:rPr>
  </w:style>
  <w:style w:type="paragraph" w:styleId="TOC5">
    <w:name w:val="toc 5"/>
    <w:basedOn w:val="Normal"/>
    <w:next w:val="Normal"/>
    <w:autoRedefine/>
    <w:semiHidden/>
    <w:rsid w:val="00533FBB"/>
    <w:pPr>
      <w:tabs>
        <w:tab w:val="left" w:pos="3600"/>
        <w:tab w:val="right" w:leader="dot" w:pos="9360"/>
      </w:tabs>
      <w:ind w:left="3600" w:right="720" w:hanging="1260"/>
    </w:pPr>
    <w:rPr>
      <w:i/>
      <w:noProof/>
      <w:sz w:val="18"/>
      <w:szCs w:val="18"/>
    </w:rPr>
  </w:style>
  <w:style w:type="paragraph" w:styleId="TOC6">
    <w:name w:val="toc 6"/>
    <w:basedOn w:val="Normal"/>
    <w:next w:val="Normal"/>
    <w:autoRedefine/>
    <w:semiHidden/>
    <w:rsid w:val="00533FBB"/>
    <w:pPr>
      <w:tabs>
        <w:tab w:val="left" w:pos="4500"/>
        <w:tab w:val="right" w:leader="dot" w:pos="9360"/>
      </w:tabs>
      <w:ind w:left="4500" w:right="720" w:hanging="1440"/>
    </w:pPr>
    <w:rPr>
      <w:sz w:val="18"/>
      <w:szCs w:val="18"/>
    </w:rPr>
  </w:style>
  <w:style w:type="paragraph" w:styleId="TOC7">
    <w:name w:val="toc 7"/>
    <w:basedOn w:val="Normal"/>
    <w:next w:val="Normal"/>
    <w:autoRedefine/>
    <w:semiHidden/>
    <w:rsid w:val="00533FBB"/>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rsid w:val="00533FBB"/>
    <w:pPr>
      <w:ind w:left="1680"/>
    </w:pPr>
    <w:rPr>
      <w:sz w:val="18"/>
      <w:szCs w:val="18"/>
    </w:rPr>
  </w:style>
  <w:style w:type="paragraph" w:styleId="TOC9">
    <w:name w:val="toc 9"/>
    <w:basedOn w:val="Normal"/>
    <w:next w:val="Normal"/>
    <w:autoRedefine/>
    <w:semiHidden/>
    <w:rsid w:val="00533FBB"/>
    <w:pPr>
      <w:ind w:left="1920"/>
    </w:pPr>
    <w:rPr>
      <w:sz w:val="18"/>
      <w:szCs w:val="18"/>
    </w:rPr>
  </w:style>
  <w:style w:type="paragraph" w:customStyle="1" w:styleId="VariableDefinition">
    <w:name w:val="Variable Definition"/>
    <w:basedOn w:val="BodyTextIndent"/>
    <w:rsid w:val="00533FBB"/>
    <w:pPr>
      <w:tabs>
        <w:tab w:val="left" w:pos="2160"/>
      </w:tabs>
      <w:ind w:left="2160" w:hanging="1440"/>
      <w:contextualSpacing/>
    </w:pPr>
  </w:style>
  <w:style w:type="table" w:customStyle="1" w:styleId="VariableTable">
    <w:name w:val="Variable Table"/>
    <w:basedOn w:val="TableNormal"/>
    <w:rsid w:val="00533FBB"/>
    <w:tblPr/>
  </w:style>
  <w:style w:type="paragraph" w:styleId="BalloonText">
    <w:name w:val="Balloon Text"/>
    <w:basedOn w:val="Normal"/>
    <w:semiHidden/>
    <w:rsid w:val="00533FBB"/>
    <w:rPr>
      <w:rFonts w:ascii="Tahoma" w:hAnsi="Tahoma" w:cs="Tahoma"/>
      <w:sz w:val="16"/>
      <w:szCs w:val="16"/>
    </w:rPr>
  </w:style>
  <w:style w:type="character" w:styleId="CommentReference">
    <w:name w:val="annotation reference"/>
    <w:semiHidden/>
    <w:rsid w:val="00533FBB"/>
    <w:rPr>
      <w:sz w:val="16"/>
      <w:szCs w:val="16"/>
    </w:rPr>
  </w:style>
  <w:style w:type="paragraph" w:styleId="CommentText">
    <w:name w:val="annotation text"/>
    <w:basedOn w:val="Normal"/>
    <w:semiHidden/>
    <w:rsid w:val="00533FBB"/>
    <w:rPr>
      <w:sz w:val="20"/>
      <w:szCs w:val="20"/>
    </w:rPr>
  </w:style>
  <w:style w:type="paragraph" w:styleId="CommentSubject">
    <w:name w:val="annotation subject"/>
    <w:basedOn w:val="CommentText"/>
    <w:next w:val="CommentText"/>
    <w:semiHidden/>
    <w:rsid w:val="00533FBB"/>
    <w:rPr>
      <w:b/>
      <w:bCs/>
    </w:rPr>
  </w:style>
  <w:style w:type="paragraph" w:customStyle="1" w:styleId="Char3">
    <w:name w:val="Char3"/>
    <w:basedOn w:val="Normal"/>
    <w:rsid w:val="00533FBB"/>
    <w:pPr>
      <w:spacing w:after="160" w:line="240" w:lineRule="exact"/>
    </w:pPr>
    <w:rPr>
      <w:rFonts w:ascii="Verdana" w:hAnsi="Verdana"/>
      <w:sz w:val="16"/>
      <w:szCs w:val="20"/>
    </w:rPr>
  </w:style>
  <w:style w:type="character" w:customStyle="1" w:styleId="NormalArialChar">
    <w:name w:val="Normal+Arial Char"/>
    <w:link w:val="NormalArial"/>
    <w:rsid w:val="00533FBB"/>
    <w:rPr>
      <w:rFonts w:ascii="Arial" w:hAnsi="Arial"/>
      <w:sz w:val="24"/>
      <w:szCs w:val="24"/>
      <w:lang w:val="en-US" w:eastAsia="en-US" w:bidi="ar-SA"/>
    </w:rPr>
  </w:style>
  <w:style w:type="character" w:customStyle="1" w:styleId="ListIntroductionChar">
    <w:name w:val="List Introduction Char"/>
    <w:link w:val="ListIntroduction"/>
    <w:rsid w:val="00533FBB"/>
    <w:rPr>
      <w:iCs/>
      <w:sz w:val="24"/>
      <w:lang w:val="en-US" w:eastAsia="en-US" w:bidi="ar-SA"/>
    </w:rPr>
  </w:style>
  <w:style w:type="character" w:customStyle="1" w:styleId="H3Char1">
    <w:name w:val="H3 Char1"/>
    <w:link w:val="H3"/>
    <w:rsid w:val="00533FBB"/>
    <w:rPr>
      <w:b/>
      <w:bCs/>
      <w:i/>
      <w:sz w:val="24"/>
      <w:lang w:val="en-US" w:eastAsia="en-US" w:bidi="ar-SA"/>
    </w:rPr>
  </w:style>
  <w:style w:type="paragraph" w:styleId="Revision">
    <w:name w:val="Revision"/>
    <w:hidden/>
    <w:uiPriority w:val="99"/>
    <w:semiHidden/>
    <w:rsid w:val="00D65CC5"/>
    <w:rPr>
      <w:sz w:val="24"/>
      <w:szCs w:val="24"/>
    </w:rPr>
  </w:style>
  <w:style w:type="character" w:styleId="FollowedHyperlink">
    <w:name w:val="FollowedHyperlink"/>
    <w:rsid w:val="00780CF6"/>
    <w:rPr>
      <w:color w:val="954F72"/>
      <w:u w:val="single"/>
    </w:rPr>
  </w:style>
  <w:style w:type="paragraph" w:customStyle="1" w:styleId="BodyTextNumbered">
    <w:name w:val="Body Text Numbered"/>
    <w:basedOn w:val="BodyText"/>
    <w:link w:val="BodyTextNumberedChar"/>
    <w:rsid w:val="008F1B70"/>
    <w:pPr>
      <w:ind w:left="720" w:hanging="720"/>
    </w:pPr>
    <w:rPr>
      <w:szCs w:val="20"/>
    </w:rPr>
  </w:style>
  <w:style w:type="character" w:customStyle="1" w:styleId="BodyTextNumberedChar">
    <w:name w:val="Body Text Numbered Char"/>
    <w:link w:val="BodyTextNumbered"/>
    <w:rsid w:val="008F1B70"/>
    <w:rPr>
      <w:sz w:val="24"/>
    </w:rPr>
  </w:style>
  <w:style w:type="character" w:customStyle="1" w:styleId="InstructionsChar">
    <w:name w:val="Instructions Char"/>
    <w:link w:val="Instructions"/>
    <w:rsid w:val="008F1B70"/>
    <w:rPr>
      <w:b/>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3399</Words>
  <Characters>19376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Protocols Workshop</vt:lpstr>
    </vt:vector>
  </TitlesOfParts>
  <Company>Hewlett-Packard Company</Company>
  <LinksUpToDate>false</LinksUpToDate>
  <CharactersWithSpaces>22730</CharactersWithSpaces>
  <SharedDoc>false</SharedDoc>
  <HLinks>
    <vt:vector size="78" baseType="variant">
      <vt:variant>
        <vt:i4>1179700</vt:i4>
      </vt:variant>
      <vt:variant>
        <vt:i4>74</vt:i4>
      </vt:variant>
      <vt:variant>
        <vt:i4>0</vt:i4>
      </vt:variant>
      <vt:variant>
        <vt:i4>5</vt:i4>
      </vt:variant>
      <vt:variant>
        <vt:lpwstr/>
      </vt:variant>
      <vt:variant>
        <vt:lpwstr>_Toc463445724</vt:lpwstr>
      </vt:variant>
      <vt:variant>
        <vt:i4>1179700</vt:i4>
      </vt:variant>
      <vt:variant>
        <vt:i4>68</vt:i4>
      </vt:variant>
      <vt:variant>
        <vt:i4>0</vt:i4>
      </vt:variant>
      <vt:variant>
        <vt:i4>5</vt:i4>
      </vt:variant>
      <vt:variant>
        <vt:lpwstr/>
      </vt:variant>
      <vt:variant>
        <vt:lpwstr>_Toc463445723</vt:lpwstr>
      </vt:variant>
      <vt:variant>
        <vt:i4>1179700</vt:i4>
      </vt:variant>
      <vt:variant>
        <vt:i4>62</vt:i4>
      </vt:variant>
      <vt:variant>
        <vt:i4>0</vt:i4>
      </vt:variant>
      <vt:variant>
        <vt:i4>5</vt:i4>
      </vt:variant>
      <vt:variant>
        <vt:lpwstr/>
      </vt:variant>
      <vt:variant>
        <vt:lpwstr>_Toc463445722</vt:lpwstr>
      </vt:variant>
      <vt:variant>
        <vt:i4>1179700</vt:i4>
      </vt:variant>
      <vt:variant>
        <vt:i4>56</vt:i4>
      </vt:variant>
      <vt:variant>
        <vt:i4>0</vt:i4>
      </vt:variant>
      <vt:variant>
        <vt:i4>5</vt:i4>
      </vt:variant>
      <vt:variant>
        <vt:lpwstr/>
      </vt:variant>
      <vt:variant>
        <vt:lpwstr>_Toc463445721</vt:lpwstr>
      </vt:variant>
      <vt:variant>
        <vt:i4>1179700</vt:i4>
      </vt:variant>
      <vt:variant>
        <vt:i4>50</vt:i4>
      </vt:variant>
      <vt:variant>
        <vt:i4>0</vt:i4>
      </vt:variant>
      <vt:variant>
        <vt:i4>5</vt:i4>
      </vt:variant>
      <vt:variant>
        <vt:lpwstr/>
      </vt:variant>
      <vt:variant>
        <vt:lpwstr>_Toc463445720</vt:lpwstr>
      </vt:variant>
      <vt:variant>
        <vt:i4>1114164</vt:i4>
      </vt:variant>
      <vt:variant>
        <vt:i4>44</vt:i4>
      </vt:variant>
      <vt:variant>
        <vt:i4>0</vt:i4>
      </vt:variant>
      <vt:variant>
        <vt:i4>5</vt:i4>
      </vt:variant>
      <vt:variant>
        <vt:lpwstr/>
      </vt:variant>
      <vt:variant>
        <vt:lpwstr>_Toc463445719</vt:lpwstr>
      </vt:variant>
      <vt:variant>
        <vt:i4>1114164</vt:i4>
      </vt:variant>
      <vt:variant>
        <vt:i4>38</vt:i4>
      </vt:variant>
      <vt:variant>
        <vt:i4>0</vt:i4>
      </vt:variant>
      <vt:variant>
        <vt:i4>5</vt:i4>
      </vt:variant>
      <vt:variant>
        <vt:lpwstr/>
      </vt:variant>
      <vt:variant>
        <vt:lpwstr>_Toc463445718</vt:lpwstr>
      </vt:variant>
      <vt:variant>
        <vt:i4>1114164</vt:i4>
      </vt:variant>
      <vt:variant>
        <vt:i4>32</vt:i4>
      </vt:variant>
      <vt:variant>
        <vt:i4>0</vt:i4>
      </vt:variant>
      <vt:variant>
        <vt:i4>5</vt:i4>
      </vt:variant>
      <vt:variant>
        <vt:lpwstr/>
      </vt:variant>
      <vt:variant>
        <vt:lpwstr>_Toc463445717</vt:lpwstr>
      </vt:variant>
      <vt:variant>
        <vt:i4>1114164</vt:i4>
      </vt:variant>
      <vt:variant>
        <vt:i4>26</vt:i4>
      </vt:variant>
      <vt:variant>
        <vt:i4>0</vt:i4>
      </vt:variant>
      <vt:variant>
        <vt:i4>5</vt:i4>
      </vt:variant>
      <vt:variant>
        <vt:lpwstr/>
      </vt:variant>
      <vt:variant>
        <vt:lpwstr>_Toc463445716</vt:lpwstr>
      </vt:variant>
      <vt:variant>
        <vt:i4>1114164</vt:i4>
      </vt:variant>
      <vt:variant>
        <vt:i4>20</vt:i4>
      </vt:variant>
      <vt:variant>
        <vt:i4>0</vt:i4>
      </vt:variant>
      <vt:variant>
        <vt:i4>5</vt:i4>
      </vt:variant>
      <vt:variant>
        <vt:lpwstr/>
      </vt:variant>
      <vt:variant>
        <vt:lpwstr>_Toc463445715</vt:lpwstr>
      </vt:variant>
      <vt:variant>
        <vt:i4>1114164</vt:i4>
      </vt:variant>
      <vt:variant>
        <vt:i4>14</vt:i4>
      </vt:variant>
      <vt:variant>
        <vt:i4>0</vt:i4>
      </vt:variant>
      <vt:variant>
        <vt:i4>5</vt:i4>
      </vt:variant>
      <vt:variant>
        <vt:lpwstr/>
      </vt:variant>
      <vt:variant>
        <vt:lpwstr>_Toc463445714</vt:lpwstr>
      </vt:variant>
      <vt:variant>
        <vt:i4>1114164</vt:i4>
      </vt:variant>
      <vt:variant>
        <vt:i4>8</vt:i4>
      </vt:variant>
      <vt:variant>
        <vt:i4>0</vt:i4>
      </vt:variant>
      <vt:variant>
        <vt:i4>5</vt:i4>
      </vt:variant>
      <vt:variant>
        <vt:lpwstr/>
      </vt:variant>
      <vt:variant>
        <vt:lpwstr>_Toc463445713</vt:lpwstr>
      </vt:variant>
      <vt:variant>
        <vt:i4>1114164</vt:i4>
      </vt:variant>
      <vt:variant>
        <vt:i4>2</vt:i4>
      </vt:variant>
      <vt:variant>
        <vt:i4>0</vt:i4>
      </vt:variant>
      <vt:variant>
        <vt:i4>5</vt:i4>
      </vt:variant>
      <vt:variant>
        <vt:lpwstr/>
      </vt:variant>
      <vt:variant>
        <vt:lpwstr>_Toc463445712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Giriraj Sharma</dc:creator>
  <cp:keywords/>
  <cp:lastModifiedBy>ERCOT</cp:lastModifiedBy>
  <cp:revision>2</cp:revision>
  <cp:lastPrinted>2004-09-29T14:26:00Z</cp:lastPrinted>
  <dcterms:created xsi:type="dcterms:W3CDTF">2023-10-23T18:54:00Z</dcterms:created>
  <dcterms:modified xsi:type="dcterms:W3CDTF">2023-10-23T18:54:00Z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2023-10-11T15:29:06Z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610f8630-159e-459a-bae2-1c8b00ad25cf</vt:lpwstr>
  </property>
  <property fmtid="{D5CDD505-2E9C-101B-9397-08002B2CF9AE}" pid="8" name="MSIP_Label_7084cbda-52b8-46fb-a7b7-cb5bd465ed85_ContentBits">
    <vt:lpwstr>0</vt:lpwstr>
  </property>
</Properties>
</file>