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DD90" w14:textId="77777777" w:rsidR="00DD2DA2" w:rsidRDefault="00DD2DA2"/>
    <w:p w14:paraId="40F9B5CE" w14:textId="77777777" w:rsidR="00DD2DA2" w:rsidRDefault="00DD2DA2">
      <w:pPr>
        <w:spacing w:before="2400"/>
        <w:jc w:val="center"/>
        <w:rPr>
          <w:b/>
          <w:sz w:val="36"/>
          <w:szCs w:val="36"/>
        </w:rPr>
      </w:pPr>
      <w:r>
        <w:rPr>
          <w:b/>
          <w:sz w:val="36"/>
        </w:rPr>
        <w:t>ERCOT Nodal Protocols</w:t>
      </w:r>
    </w:p>
    <w:p w14:paraId="46C0672B" w14:textId="77777777" w:rsidR="00DD2DA2" w:rsidRDefault="00DD2DA2">
      <w:pPr>
        <w:jc w:val="center"/>
        <w:rPr>
          <w:b/>
          <w:sz w:val="36"/>
          <w:szCs w:val="36"/>
        </w:rPr>
      </w:pPr>
    </w:p>
    <w:p w14:paraId="5E42B376" w14:textId="77777777" w:rsidR="00DD2DA2" w:rsidRDefault="00DD2DA2">
      <w:pPr>
        <w:jc w:val="center"/>
        <w:rPr>
          <w:b/>
          <w:sz w:val="36"/>
          <w:szCs w:val="36"/>
        </w:rPr>
      </w:pPr>
      <w:r>
        <w:rPr>
          <w:b/>
          <w:sz w:val="36"/>
          <w:szCs w:val="36"/>
        </w:rPr>
        <w:t>Section 24:  Retail Point to Point Communications</w:t>
      </w:r>
    </w:p>
    <w:p w14:paraId="3FEBA3B6" w14:textId="77777777" w:rsidR="00DD2DA2" w:rsidRDefault="00DD2DA2">
      <w:pPr>
        <w:spacing w:before="360"/>
        <w:jc w:val="center"/>
        <w:rPr>
          <w:b/>
        </w:rPr>
      </w:pPr>
    </w:p>
    <w:p w14:paraId="4DF461E5" w14:textId="66AD4794" w:rsidR="00DD2DA2" w:rsidRDefault="00975D6F">
      <w:pPr>
        <w:spacing w:before="360"/>
        <w:jc w:val="center"/>
        <w:rPr>
          <w:b/>
        </w:rPr>
      </w:pPr>
      <w:r>
        <w:rPr>
          <w:b/>
        </w:rPr>
        <w:t>November</w:t>
      </w:r>
      <w:r w:rsidR="00DD063E">
        <w:rPr>
          <w:b/>
        </w:rPr>
        <w:t xml:space="preserve"> 1, 20</w:t>
      </w:r>
      <w:r w:rsidR="003C57EC">
        <w:rPr>
          <w:b/>
        </w:rPr>
        <w:t>2</w:t>
      </w:r>
      <w:r>
        <w:rPr>
          <w:b/>
        </w:rPr>
        <w:t>3</w:t>
      </w:r>
    </w:p>
    <w:p w14:paraId="335C73CC" w14:textId="77777777" w:rsidR="00DD2DA2" w:rsidRDefault="00DD2DA2">
      <w:pPr>
        <w:jc w:val="center"/>
        <w:rPr>
          <w:b/>
          <w:i/>
        </w:rPr>
      </w:pPr>
    </w:p>
    <w:p w14:paraId="7CD31845" w14:textId="77777777" w:rsidR="006567BD" w:rsidRDefault="006567BD">
      <w:pPr>
        <w:jc w:val="center"/>
        <w:rPr>
          <w:b/>
          <w:i/>
        </w:rPr>
      </w:pPr>
    </w:p>
    <w:p w14:paraId="495713FD" w14:textId="77777777" w:rsidR="00DD2DA2" w:rsidRDefault="00DD2DA2">
      <w:pPr>
        <w:pBdr>
          <w:bottom w:val="single" w:sz="4" w:space="1" w:color="auto"/>
        </w:pBdr>
      </w:pPr>
    </w:p>
    <w:p w14:paraId="2CA6B3BE" w14:textId="77777777" w:rsidR="00DD2DA2" w:rsidRDefault="00DD2DA2">
      <w:pPr>
        <w:pStyle w:val="TOC1"/>
        <w:sectPr w:rsidR="00DD2DA2">
          <w:headerReference w:type="default" r:id="rId7"/>
          <w:footerReference w:type="default" r:id="rId8"/>
          <w:pgSz w:w="12240" w:h="15840" w:code="1"/>
          <w:pgMar w:top="1440" w:right="1440" w:bottom="1440" w:left="1440" w:header="720" w:footer="720" w:gutter="0"/>
          <w:pgNumType w:start="1" w:chapStyle="1"/>
          <w:cols w:space="720"/>
        </w:sectPr>
      </w:pPr>
    </w:p>
    <w:p w14:paraId="124A49E8" w14:textId="0448AF17" w:rsidR="005C63E2" w:rsidRDefault="00DD2DA2">
      <w:pPr>
        <w:pStyle w:val="TOC1"/>
        <w:rPr>
          <w:rFonts w:ascii="Calibri" w:hAnsi="Calibri"/>
          <w:b w:val="0"/>
          <w:bCs w:val="0"/>
          <w:i w:val="0"/>
          <w:noProof/>
          <w:sz w:val="22"/>
          <w:szCs w:val="22"/>
        </w:rPr>
      </w:pPr>
      <w:r>
        <w:rPr>
          <w:b w:val="0"/>
          <w:bCs w:val="0"/>
          <w:i w:val="0"/>
        </w:rPr>
        <w:lastRenderedPageBreak/>
        <w:fldChar w:fldCharType="begin"/>
      </w:r>
      <w:r>
        <w:rPr>
          <w:b w:val="0"/>
          <w:bCs w:val="0"/>
          <w:i w:val="0"/>
        </w:rPr>
        <w:instrText xml:space="preserve"> TOC \o "1-5" \h \z \u </w:instrText>
      </w:r>
      <w:r>
        <w:rPr>
          <w:b w:val="0"/>
          <w:bCs w:val="0"/>
          <w:i w:val="0"/>
        </w:rPr>
        <w:fldChar w:fldCharType="separate"/>
      </w:r>
      <w:hyperlink w:anchor="_Toc326656518" w:history="1">
        <w:r w:rsidR="005C63E2" w:rsidRPr="00480F2A">
          <w:rPr>
            <w:rStyle w:val="Hyperlink"/>
            <w:noProof/>
          </w:rPr>
          <w:t>24</w:t>
        </w:r>
        <w:r w:rsidR="005C63E2">
          <w:rPr>
            <w:rFonts w:ascii="Calibri" w:hAnsi="Calibri"/>
            <w:b w:val="0"/>
            <w:bCs w:val="0"/>
            <w:i w:val="0"/>
            <w:noProof/>
            <w:sz w:val="22"/>
            <w:szCs w:val="22"/>
          </w:rPr>
          <w:tab/>
        </w:r>
        <w:r w:rsidR="005C63E2" w:rsidRPr="00480F2A">
          <w:rPr>
            <w:rStyle w:val="Hyperlink"/>
            <w:noProof/>
          </w:rPr>
          <w:t>Retail Point to Point Communications</w:t>
        </w:r>
        <w:r w:rsidR="005C63E2">
          <w:rPr>
            <w:noProof/>
            <w:webHidden/>
          </w:rPr>
          <w:tab/>
        </w:r>
        <w:r w:rsidR="009236D8">
          <w:rPr>
            <w:noProof/>
            <w:webHidden/>
          </w:rPr>
          <w:t>24-</w:t>
        </w:r>
        <w:r w:rsidR="005C63E2">
          <w:rPr>
            <w:noProof/>
            <w:webHidden/>
          </w:rPr>
          <w:fldChar w:fldCharType="begin"/>
        </w:r>
        <w:r w:rsidR="005C63E2">
          <w:rPr>
            <w:noProof/>
            <w:webHidden/>
          </w:rPr>
          <w:instrText xml:space="preserve"> PAGEREF _Toc326656518 \h </w:instrText>
        </w:r>
        <w:r w:rsidR="005C63E2">
          <w:rPr>
            <w:noProof/>
            <w:webHidden/>
          </w:rPr>
        </w:r>
        <w:r w:rsidR="005C63E2">
          <w:rPr>
            <w:noProof/>
            <w:webHidden/>
          </w:rPr>
          <w:fldChar w:fldCharType="separate"/>
        </w:r>
        <w:r w:rsidR="00A104D6">
          <w:rPr>
            <w:noProof/>
            <w:webHidden/>
          </w:rPr>
          <w:t>1</w:t>
        </w:r>
        <w:r w:rsidR="005C63E2">
          <w:rPr>
            <w:noProof/>
            <w:webHidden/>
          </w:rPr>
          <w:fldChar w:fldCharType="end"/>
        </w:r>
      </w:hyperlink>
    </w:p>
    <w:p w14:paraId="47020081" w14:textId="6A0694FE" w:rsidR="005C63E2" w:rsidRPr="008F435D" w:rsidRDefault="005C63E2">
      <w:pPr>
        <w:pStyle w:val="TOC2"/>
        <w:rPr>
          <w:rFonts w:ascii="Calibri" w:hAnsi="Calibri"/>
          <w:noProof/>
        </w:rPr>
      </w:pPr>
      <w:hyperlink w:anchor="_Toc326656519" w:history="1">
        <w:r w:rsidRPr="008F435D">
          <w:rPr>
            <w:rStyle w:val="Hyperlink"/>
            <w:noProof/>
          </w:rPr>
          <w:t>24.1</w:t>
        </w:r>
        <w:r w:rsidRPr="008F435D">
          <w:rPr>
            <w:rFonts w:ascii="Calibri" w:hAnsi="Calibri"/>
            <w:noProof/>
          </w:rPr>
          <w:tab/>
        </w:r>
        <w:r w:rsidRPr="008F435D">
          <w:rPr>
            <w:rStyle w:val="Hyperlink"/>
            <w:noProof/>
          </w:rPr>
          <w:t>Maintenance Service Order Request</w:t>
        </w:r>
        <w:r w:rsidRPr="008F435D">
          <w:rPr>
            <w:noProof/>
            <w:webHidden/>
          </w:rPr>
          <w:tab/>
        </w:r>
        <w:r w:rsidR="009236D8" w:rsidRPr="008F435D">
          <w:rPr>
            <w:noProof/>
            <w:webHidden/>
          </w:rPr>
          <w:t>24-</w:t>
        </w:r>
        <w:r w:rsidRPr="008F435D">
          <w:rPr>
            <w:noProof/>
            <w:webHidden/>
          </w:rPr>
          <w:fldChar w:fldCharType="begin"/>
        </w:r>
        <w:r w:rsidRPr="008F435D">
          <w:rPr>
            <w:noProof/>
            <w:webHidden/>
          </w:rPr>
          <w:instrText xml:space="preserve"> PAGEREF _Toc326656519 \h </w:instrText>
        </w:r>
        <w:r w:rsidRPr="008F435D">
          <w:rPr>
            <w:noProof/>
            <w:webHidden/>
          </w:rPr>
        </w:r>
        <w:r w:rsidRPr="008F435D">
          <w:rPr>
            <w:noProof/>
            <w:webHidden/>
          </w:rPr>
          <w:fldChar w:fldCharType="separate"/>
        </w:r>
        <w:r w:rsidR="00A104D6">
          <w:rPr>
            <w:noProof/>
            <w:webHidden/>
          </w:rPr>
          <w:t>1</w:t>
        </w:r>
        <w:r w:rsidRPr="008F435D">
          <w:rPr>
            <w:noProof/>
            <w:webHidden/>
          </w:rPr>
          <w:fldChar w:fldCharType="end"/>
        </w:r>
      </w:hyperlink>
    </w:p>
    <w:p w14:paraId="32DA29AF" w14:textId="14BCBD8D" w:rsidR="005C63E2" w:rsidRPr="008F435D" w:rsidRDefault="005C63E2" w:rsidP="005C63E2">
      <w:pPr>
        <w:pStyle w:val="TOC3"/>
        <w:rPr>
          <w:rFonts w:ascii="Calibri" w:hAnsi="Calibri"/>
          <w:i w:val="0"/>
        </w:rPr>
      </w:pPr>
      <w:hyperlink w:anchor="_Toc326656520" w:history="1">
        <w:r w:rsidRPr="008F435D">
          <w:rPr>
            <w:rStyle w:val="Hyperlink"/>
            <w:i w:val="0"/>
          </w:rPr>
          <w:t>24.1.1</w:t>
        </w:r>
        <w:r w:rsidRPr="008F435D">
          <w:rPr>
            <w:rFonts w:ascii="Calibri" w:hAnsi="Calibri"/>
            <w:i w:val="0"/>
          </w:rPr>
          <w:tab/>
        </w:r>
        <w:r w:rsidRPr="008F435D">
          <w:rPr>
            <w:rStyle w:val="Hyperlink"/>
            <w:i w:val="0"/>
          </w:rPr>
          <w:t>Disconnect/Reconnect</w:t>
        </w:r>
        <w:r w:rsidRPr="008F435D">
          <w:rPr>
            <w:i w:val="0"/>
            <w:webHidden/>
          </w:rPr>
          <w:tab/>
        </w:r>
        <w:r w:rsidR="009236D8" w:rsidRPr="008F435D">
          <w:rPr>
            <w:i w:val="0"/>
            <w:webHidden/>
          </w:rPr>
          <w:t>24-</w:t>
        </w:r>
        <w:r w:rsidRPr="008F435D">
          <w:rPr>
            <w:i w:val="0"/>
            <w:webHidden/>
          </w:rPr>
          <w:fldChar w:fldCharType="begin"/>
        </w:r>
        <w:r w:rsidRPr="008F435D">
          <w:rPr>
            <w:i w:val="0"/>
            <w:webHidden/>
          </w:rPr>
          <w:instrText xml:space="preserve"> PAGEREF _Toc326656520 \h </w:instrText>
        </w:r>
        <w:r w:rsidRPr="008F435D">
          <w:rPr>
            <w:i w:val="0"/>
            <w:webHidden/>
          </w:rPr>
        </w:r>
        <w:r w:rsidRPr="008F435D">
          <w:rPr>
            <w:i w:val="0"/>
            <w:webHidden/>
          </w:rPr>
          <w:fldChar w:fldCharType="separate"/>
        </w:r>
        <w:r w:rsidR="00A104D6">
          <w:rPr>
            <w:i w:val="0"/>
            <w:webHidden/>
          </w:rPr>
          <w:t>1</w:t>
        </w:r>
        <w:r w:rsidRPr="008F435D">
          <w:rPr>
            <w:i w:val="0"/>
            <w:webHidden/>
          </w:rPr>
          <w:fldChar w:fldCharType="end"/>
        </w:r>
      </w:hyperlink>
    </w:p>
    <w:p w14:paraId="767DE9B9" w14:textId="1FC84083" w:rsidR="005C63E2" w:rsidRPr="008F435D" w:rsidRDefault="005C63E2" w:rsidP="005C63E2">
      <w:pPr>
        <w:pStyle w:val="TOC3"/>
        <w:rPr>
          <w:rFonts w:ascii="Calibri" w:hAnsi="Calibri"/>
          <w:i w:val="0"/>
        </w:rPr>
      </w:pPr>
      <w:hyperlink w:anchor="_Toc326656521" w:history="1">
        <w:r w:rsidRPr="008F435D">
          <w:rPr>
            <w:rStyle w:val="Hyperlink"/>
            <w:i w:val="0"/>
          </w:rPr>
          <w:t>24.1.2</w:t>
        </w:r>
        <w:r w:rsidRPr="008F435D">
          <w:rPr>
            <w:rFonts w:ascii="Calibri" w:hAnsi="Calibri"/>
            <w:i w:val="0"/>
          </w:rPr>
          <w:tab/>
        </w:r>
        <w:r w:rsidRPr="008F435D">
          <w:rPr>
            <w:rStyle w:val="Hyperlink"/>
            <w:i w:val="0"/>
          </w:rPr>
          <w:t>Suspension of Delivery Service</w:t>
        </w:r>
        <w:r w:rsidRPr="008F435D">
          <w:rPr>
            <w:i w:val="0"/>
            <w:webHidden/>
          </w:rPr>
          <w:tab/>
        </w:r>
        <w:r w:rsidR="009236D8" w:rsidRPr="008F435D">
          <w:rPr>
            <w:i w:val="0"/>
            <w:webHidden/>
          </w:rPr>
          <w:t>24-</w:t>
        </w:r>
        <w:r w:rsidRPr="008F435D">
          <w:rPr>
            <w:i w:val="0"/>
            <w:webHidden/>
          </w:rPr>
          <w:fldChar w:fldCharType="begin"/>
        </w:r>
        <w:r w:rsidRPr="008F435D">
          <w:rPr>
            <w:i w:val="0"/>
            <w:webHidden/>
          </w:rPr>
          <w:instrText xml:space="preserve"> PAGEREF _Toc326656521 \h </w:instrText>
        </w:r>
        <w:r w:rsidRPr="008F435D">
          <w:rPr>
            <w:i w:val="0"/>
            <w:webHidden/>
          </w:rPr>
        </w:r>
        <w:r w:rsidRPr="008F435D">
          <w:rPr>
            <w:i w:val="0"/>
            <w:webHidden/>
          </w:rPr>
          <w:fldChar w:fldCharType="separate"/>
        </w:r>
        <w:r w:rsidR="00A104D6">
          <w:rPr>
            <w:i w:val="0"/>
            <w:webHidden/>
          </w:rPr>
          <w:t>1</w:t>
        </w:r>
        <w:r w:rsidRPr="008F435D">
          <w:rPr>
            <w:i w:val="0"/>
            <w:webHidden/>
          </w:rPr>
          <w:fldChar w:fldCharType="end"/>
        </w:r>
      </w:hyperlink>
    </w:p>
    <w:p w14:paraId="577C6587" w14:textId="4E147CC7" w:rsidR="005C63E2" w:rsidRPr="008F435D" w:rsidRDefault="005C63E2">
      <w:pPr>
        <w:pStyle w:val="TOC4"/>
        <w:rPr>
          <w:rFonts w:ascii="Calibri" w:hAnsi="Calibri"/>
          <w:noProof/>
          <w:sz w:val="20"/>
          <w:szCs w:val="20"/>
        </w:rPr>
      </w:pPr>
      <w:hyperlink w:anchor="_Toc326656522" w:history="1">
        <w:r w:rsidRPr="008F435D">
          <w:rPr>
            <w:rStyle w:val="Hyperlink"/>
            <w:noProof/>
            <w:sz w:val="20"/>
            <w:szCs w:val="20"/>
          </w:rPr>
          <w:t>24.1.2.1</w:t>
        </w:r>
        <w:r w:rsidRPr="008F435D">
          <w:rPr>
            <w:rFonts w:ascii="Calibri" w:hAnsi="Calibri"/>
            <w:noProof/>
            <w:sz w:val="20"/>
            <w:szCs w:val="20"/>
          </w:rPr>
          <w:tab/>
        </w:r>
        <w:r w:rsidRPr="008F435D">
          <w:rPr>
            <w:rStyle w:val="Hyperlink"/>
            <w:noProof/>
            <w:sz w:val="20"/>
            <w:szCs w:val="20"/>
          </w:rPr>
          <w:t>Notif</w:t>
        </w:r>
        <w:r w:rsidRPr="008F435D">
          <w:rPr>
            <w:rStyle w:val="Hyperlink"/>
            <w:noProof/>
            <w:sz w:val="20"/>
            <w:szCs w:val="20"/>
          </w:rPr>
          <w:t>i</w:t>
        </w:r>
        <w:r w:rsidRPr="008F435D">
          <w:rPr>
            <w:rStyle w:val="Hyperlink"/>
            <w:noProof/>
            <w:sz w:val="20"/>
            <w:szCs w:val="20"/>
          </w:rPr>
          <w:t>cation</w:t>
        </w:r>
        <w:r w:rsidRPr="008F435D">
          <w:rPr>
            <w:noProof/>
            <w:webHidden/>
            <w:sz w:val="20"/>
            <w:szCs w:val="20"/>
          </w:rPr>
          <w:tab/>
        </w:r>
        <w:r w:rsidR="009236D8" w:rsidRPr="008F435D">
          <w:rPr>
            <w:noProof/>
            <w:webHidden/>
            <w:sz w:val="20"/>
            <w:szCs w:val="20"/>
          </w:rPr>
          <w:t>24-</w:t>
        </w:r>
        <w:r w:rsidRPr="008F435D">
          <w:rPr>
            <w:noProof/>
            <w:webHidden/>
            <w:sz w:val="20"/>
            <w:szCs w:val="20"/>
          </w:rPr>
          <w:fldChar w:fldCharType="begin"/>
        </w:r>
        <w:r w:rsidRPr="008F435D">
          <w:rPr>
            <w:noProof/>
            <w:webHidden/>
            <w:sz w:val="20"/>
            <w:szCs w:val="20"/>
          </w:rPr>
          <w:instrText xml:space="preserve"> PAGEREF _Toc326656522 \h </w:instrText>
        </w:r>
        <w:r w:rsidRPr="008F435D">
          <w:rPr>
            <w:noProof/>
            <w:webHidden/>
            <w:sz w:val="20"/>
            <w:szCs w:val="20"/>
          </w:rPr>
        </w:r>
        <w:r w:rsidRPr="008F435D">
          <w:rPr>
            <w:noProof/>
            <w:webHidden/>
            <w:sz w:val="20"/>
            <w:szCs w:val="20"/>
          </w:rPr>
          <w:fldChar w:fldCharType="separate"/>
        </w:r>
        <w:r w:rsidR="00A104D6">
          <w:rPr>
            <w:noProof/>
            <w:webHidden/>
            <w:sz w:val="20"/>
            <w:szCs w:val="20"/>
          </w:rPr>
          <w:t>1</w:t>
        </w:r>
        <w:r w:rsidRPr="008F435D">
          <w:rPr>
            <w:noProof/>
            <w:webHidden/>
            <w:sz w:val="20"/>
            <w:szCs w:val="20"/>
          </w:rPr>
          <w:fldChar w:fldCharType="end"/>
        </w:r>
      </w:hyperlink>
    </w:p>
    <w:p w14:paraId="5A4FC7AE" w14:textId="4248702D" w:rsidR="005C63E2" w:rsidRPr="008F435D" w:rsidRDefault="005C63E2">
      <w:pPr>
        <w:pStyle w:val="TOC4"/>
        <w:rPr>
          <w:rFonts w:ascii="Calibri" w:hAnsi="Calibri"/>
          <w:noProof/>
          <w:sz w:val="20"/>
          <w:szCs w:val="20"/>
        </w:rPr>
      </w:pPr>
      <w:hyperlink w:anchor="_Toc326656523" w:history="1">
        <w:r w:rsidRPr="008F435D">
          <w:rPr>
            <w:rStyle w:val="Hyperlink"/>
            <w:noProof/>
            <w:sz w:val="20"/>
            <w:szCs w:val="20"/>
          </w:rPr>
          <w:t>24.1.2.2</w:t>
        </w:r>
        <w:r w:rsidRPr="008F435D">
          <w:rPr>
            <w:rFonts w:ascii="Calibri" w:hAnsi="Calibri"/>
            <w:noProof/>
            <w:sz w:val="20"/>
            <w:szCs w:val="20"/>
          </w:rPr>
          <w:tab/>
        </w:r>
        <w:r w:rsidRPr="008F435D">
          <w:rPr>
            <w:rStyle w:val="Hyperlink"/>
            <w:noProof/>
            <w:sz w:val="20"/>
            <w:szCs w:val="20"/>
          </w:rPr>
          <w:t>Cancellation</w:t>
        </w:r>
        <w:r w:rsidRPr="008F435D">
          <w:rPr>
            <w:noProof/>
            <w:webHidden/>
            <w:sz w:val="20"/>
            <w:szCs w:val="20"/>
          </w:rPr>
          <w:tab/>
        </w:r>
        <w:r w:rsidR="009236D8" w:rsidRPr="008F435D">
          <w:rPr>
            <w:noProof/>
            <w:webHidden/>
            <w:sz w:val="20"/>
            <w:szCs w:val="20"/>
          </w:rPr>
          <w:t>24-</w:t>
        </w:r>
        <w:r w:rsidRPr="008F435D">
          <w:rPr>
            <w:noProof/>
            <w:webHidden/>
            <w:sz w:val="20"/>
            <w:szCs w:val="20"/>
          </w:rPr>
          <w:fldChar w:fldCharType="begin"/>
        </w:r>
        <w:r w:rsidRPr="008F435D">
          <w:rPr>
            <w:noProof/>
            <w:webHidden/>
            <w:sz w:val="20"/>
            <w:szCs w:val="20"/>
          </w:rPr>
          <w:instrText xml:space="preserve"> PAGEREF _Toc326656523 \h </w:instrText>
        </w:r>
        <w:r w:rsidRPr="008F435D">
          <w:rPr>
            <w:noProof/>
            <w:webHidden/>
            <w:sz w:val="20"/>
            <w:szCs w:val="20"/>
          </w:rPr>
        </w:r>
        <w:r w:rsidRPr="008F435D">
          <w:rPr>
            <w:noProof/>
            <w:webHidden/>
            <w:sz w:val="20"/>
            <w:szCs w:val="20"/>
          </w:rPr>
          <w:fldChar w:fldCharType="separate"/>
        </w:r>
        <w:r w:rsidR="00A104D6">
          <w:rPr>
            <w:noProof/>
            <w:webHidden/>
            <w:sz w:val="20"/>
            <w:szCs w:val="20"/>
          </w:rPr>
          <w:t>2</w:t>
        </w:r>
        <w:r w:rsidRPr="008F435D">
          <w:rPr>
            <w:noProof/>
            <w:webHidden/>
            <w:sz w:val="20"/>
            <w:szCs w:val="20"/>
          </w:rPr>
          <w:fldChar w:fldCharType="end"/>
        </w:r>
      </w:hyperlink>
    </w:p>
    <w:p w14:paraId="41AC3DAB" w14:textId="7043B73F" w:rsidR="005C63E2" w:rsidRPr="008F435D" w:rsidRDefault="005C63E2" w:rsidP="005C63E2">
      <w:pPr>
        <w:pStyle w:val="TOC3"/>
        <w:rPr>
          <w:rFonts w:ascii="Calibri" w:hAnsi="Calibri"/>
          <w:i w:val="0"/>
        </w:rPr>
      </w:pPr>
      <w:hyperlink w:anchor="_Toc326656524" w:history="1">
        <w:r w:rsidRPr="008F435D">
          <w:rPr>
            <w:rStyle w:val="Hyperlink"/>
            <w:i w:val="0"/>
          </w:rPr>
          <w:t>24.1.3</w:t>
        </w:r>
        <w:r w:rsidRPr="008F435D">
          <w:rPr>
            <w:rFonts w:ascii="Calibri" w:hAnsi="Calibri"/>
            <w:i w:val="0"/>
          </w:rPr>
          <w:tab/>
        </w:r>
        <w:r w:rsidRPr="008F435D">
          <w:rPr>
            <w:rStyle w:val="Hyperlink"/>
            <w:i w:val="0"/>
          </w:rPr>
          <w:t>Switch Hold Indicator</w:t>
        </w:r>
        <w:r w:rsidRPr="008F435D">
          <w:rPr>
            <w:i w:val="0"/>
            <w:webHidden/>
          </w:rPr>
          <w:tab/>
        </w:r>
        <w:r w:rsidR="009236D8" w:rsidRPr="008F435D">
          <w:rPr>
            <w:i w:val="0"/>
            <w:webHidden/>
          </w:rPr>
          <w:t>24-</w:t>
        </w:r>
        <w:r w:rsidRPr="008F435D">
          <w:rPr>
            <w:i w:val="0"/>
            <w:webHidden/>
          </w:rPr>
          <w:fldChar w:fldCharType="begin"/>
        </w:r>
        <w:r w:rsidRPr="008F435D">
          <w:rPr>
            <w:i w:val="0"/>
            <w:webHidden/>
          </w:rPr>
          <w:instrText xml:space="preserve"> PAGEREF _Toc326656524 \h </w:instrText>
        </w:r>
        <w:r w:rsidRPr="008F435D">
          <w:rPr>
            <w:i w:val="0"/>
            <w:webHidden/>
          </w:rPr>
        </w:r>
        <w:r w:rsidRPr="008F435D">
          <w:rPr>
            <w:i w:val="0"/>
            <w:webHidden/>
          </w:rPr>
          <w:fldChar w:fldCharType="separate"/>
        </w:r>
        <w:r w:rsidR="00A104D6">
          <w:rPr>
            <w:i w:val="0"/>
            <w:webHidden/>
          </w:rPr>
          <w:t>2</w:t>
        </w:r>
        <w:r w:rsidRPr="008F435D">
          <w:rPr>
            <w:i w:val="0"/>
            <w:webHidden/>
          </w:rPr>
          <w:fldChar w:fldCharType="end"/>
        </w:r>
      </w:hyperlink>
    </w:p>
    <w:p w14:paraId="07C6B2B3" w14:textId="71B651F2" w:rsidR="005C63E2" w:rsidRPr="008F435D" w:rsidRDefault="005C63E2">
      <w:pPr>
        <w:pStyle w:val="TOC4"/>
        <w:rPr>
          <w:rFonts w:ascii="Calibri" w:hAnsi="Calibri"/>
          <w:noProof/>
          <w:sz w:val="20"/>
          <w:szCs w:val="20"/>
        </w:rPr>
      </w:pPr>
      <w:hyperlink w:anchor="_Toc326656525" w:history="1">
        <w:r w:rsidRPr="008F435D">
          <w:rPr>
            <w:rStyle w:val="Hyperlink"/>
            <w:noProof/>
            <w:sz w:val="20"/>
            <w:szCs w:val="20"/>
          </w:rPr>
          <w:t>24.1.3.1</w:t>
        </w:r>
        <w:r w:rsidRPr="008F435D">
          <w:rPr>
            <w:rFonts w:ascii="Calibri" w:hAnsi="Calibri"/>
            <w:noProof/>
            <w:sz w:val="20"/>
            <w:szCs w:val="20"/>
          </w:rPr>
          <w:tab/>
        </w:r>
        <w:r w:rsidRPr="008F435D">
          <w:rPr>
            <w:rStyle w:val="Hyperlink"/>
            <w:noProof/>
            <w:sz w:val="20"/>
            <w:szCs w:val="20"/>
          </w:rPr>
          <w:t>Tampering Switch Hold</w:t>
        </w:r>
        <w:r w:rsidRPr="008F435D">
          <w:rPr>
            <w:noProof/>
            <w:webHidden/>
            <w:sz w:val="20"/>
            <w:szCs w:val="20"/>
          </w:rPr>
          <w:tab/>
        </w:r>
        <w:r w:rsidR="009236D8" w:rsidRPr="008F435D">
          <w:rPr>
            <w:noProof/>
            <w:webHidden/>
            <w:sz w:val="20"/>
            <w:szCs w:val="20"/>
          </w:rPr>
          <w:t>24-</w:t>
        </w:r>
        <w:r w:rsidRPr="008F435D">
          <w:rPr>
            <w:noProof/>
            <w:webHidden/>
            <w:sz w:val="20"/>
            <w:szCs w:val="20"/>
          </w:rPr>
          <w:fldChar w:fldCharType="begin"/>
        </w:r>
        <w:r w:rsidRPr="008F435D">
          <w:rPr>
            <w:noProof/>
            <w:webHidden/>
            <w:sz w:val="20"/>
            <w:szCs w:val="20"/>
          </w:rPr>
          <w:instrText xml:space="preserve"> PAGEREF _Toc326656525 \h </w:instrText>
        </w:r>
        <w:r w:rsidRPr="008F435D">
          <w:rPr>
            <w:noProof/>
            <w:webHidden/>
            <w:sz w:val="20"/>
            <w:szCs w:val="20"/>
          </w:rPr>
        </w:r>
        <w:r w:rsidRPr="008F435D">
          <w:rPr>
            <w:noProof/>
            <w:webHidden/>
            <w:sz w:val="20"/>
            <w:szCs w:val="20"/>
          </w:rPr>
          <w:fldChar w:fldCharType="separate"/>
        </w:r>
        <w:r w:rsidR="00A104D6">
          <w:rPr>
            <w:noProof/>
            <w:webHidden/>
            <w:sz w:val="20"/>
            <w:szCs w:val="20"/>
          </w:rPr>
          <w:t>2</w:t>
        </w:r>
        <w:r w:rsidRPr="008F435D">
          <w:rPr>
            <w:noProof/>
            <w:webHidden/>
            <w:sz w:val="20"/>
            <w:szCs w:val="20"/>
          </w:rPr>
          <w:fldChar w:fldCharType="end"/>
        </w:r>
      </w:hyperlink>
    </w:p>
    <w:p w14:paraId="6CC22DE1" w14:textId="1CFBDDE8" w:rsidR="005C63E2" w:rsidRPr="008F435D" w:rsidRDefault="005C63E2">
      <w:pPr>
        <w:pStyle w:val="TOC4"/>
        <w:rPr>
          <w:rFonts w:ascii="Calibri" w:hAnsi="Calibri"/>
          <w:noProof/>
          <w:sz w:val="20"/>
          <w:szCs w:val="20"/>
        </w:rPr>
      </w:pPr>
      <w:hyperlink w:anchor="_Toc326656526" w:history="1">
        <w:r w:rsidRPr="008F435D">
          <w:rPr>
            <w:rStyle w:val="Hyperlink"/>
            <w:noProof/>
            <w:sz w:val="20"/>
            <w:szCs w:val="20"/>
          </w:rPr>
          <w:t>24.1.3.2</w:t>
        </w:r>
        <w:r w:rsidRPr="008F435D">
          <w:rPr>
            <w:rFonts w:ascii="Calibri" w:hAnsi="Calibri"/>
            <w:noProof/>
            <w:sz w:val="20"/>
            <w:szCs w:val="20"/>
          </w:rPr>
          <w:tab/>
        </w:r>
        <w:r w:rsidRPr="008F435D">
          <w:rPr>
            <w:rStyle w:val="Hyperlink"/>
            <w:noProof/>
            <w:sz w:val="20"/>
            <w:szCs w:val="20"/>
          </w:rPr>
          <w:t>Bill Payment Switch Hold</w:t>
        </w:r>
        <w:r w:rsidRPr="008F435D">
          <w:rPr>
            <w:noProof/>
            <w:webHidden/>
            <w:sz w:val="20"/>
            <w:szCs w:val="20"/>
          </w:rPr>
          <w:tab/>
        </w:r>
        <w:r w:rsidR="009236D8" w:rsidRPr="008F435D">
          <w:rPr>
            <w:noProof/>
            <w:webHidden/>
            <w:sz w:val="20"/>
            <w:szCs w:val="20"/>
          </w:rPr>
          <w:t>24-</w:t>
        </w:r>
        <w:r w:rsidRPr="008F435D">
          <w:rPr>
            <w:noProof/>
            <w:webHidden/>
            <w:sz w:val="20"/>
            <w:szCs w:val="20"/>
          </w:rPr>
          <w:fldChar w:fldCharType="begin"/>
        </w:r>
        <w:r w:rsidRPr="008F435D">
          <w:rPr>
            <w:noProof/>
            <w:webHidden/>
            <w:sz w:val="20"/>
            <w:szCs w:val="20"/>
          </w:rPr>
          <w:instrText xml:space="preserve"> PAGEREF _Toc326656526 \h </w:instrText>
        </w:r>
        <w:r w:rsidRPr="008F435D">
          <w:rPr>
            <w:noProof/>
            <w:webHidden/>
            <w:sz w:val="20"/>
            <w:szCs w:val="20"/>
          </w:rPr>
        </w:r>
        <w:r w:rsidRPr="008F435D">
          <w:rPr>
            <w:noProof/>
            <w:webHidden/>
            <w:sz w:val="20"/>
            <w:szCs w:val="20"/>
          </w:rPr>
          <w:fldChar w:fldCharType="separate"/>
        </w:r>
        <w:r w:rsidR="00A104D6">
          <w:rPr>
            <w:noProof/>
            <w:webHidden/>
            <w:sz w:val="20"/>
            <w:szCs w:val="20"/>
          </w:rPr>
          <w:t>3</w:t>
        </w:r>
        <w:r w:rsidRPr="008F435D">
          <w:rPr>
            <w:noProof/>
            <w:webHidden/>
            <w:sz w:val="20"/>
            <w:szCs w:val="20"/>
          </w:rPr>
          <w:fldChar w:fldCharType="end"/>
        </w:r>
      </w:hyperlink>
    </w:p>
    <w:p w14:paraId="7066FB0F" w14:textId="2034CA8B" w:rsidR="005C63E2" w:rsidRPr="008F435D" w:rsidRDefault="005C63E2">
      <w:pPr>
        <w:pStyle w:val="TOC2"/>
        <w:rPr>
          <w:rFonts w:ascii="Calibri" w:hAnsi="Calibri"/>
          <w:noProof/>
        </w:rPr>
      </w:pPr>
      <w:hyperlink w:anchor="_Toc326656527" w:history="1">
        <w:r w:rsidRPr="008F435D">
          <w:rPr>
            <w:rStyle w:val="Hyperlink"/>
            <w:noProof/>
          </w:rPr>
          <w:t>24.2</w:t>
        </w:r>
        <w:r w:rsidRPr="008F435D">
          <w:rPr>
            <w:rFonts w:ascii="Calibri" w:hAnsi="Calibri"/>
            <w:noProof/>
          </w:rPr>
          <w:tab/>
        </w:r>
        <w:r w:rsidRPr="008F435D">
          <w:rPr>
            <w:rStyle w:val="Hyperlink"/>
            <w:noProof/>
          </w:rPr>
          <w:t>Transmission and/or Distribution Service Provider to Competitive Retailer Invoice</w:t>
        </w:r>
        <w:r w:rsidRPr="008F435D">
          <w:rPr>
            <w:noProof/>
            <w:webHidden/>
          </w:rPr>
          <w:tab/>
        </w:r>
        <w:r w:rsidR="009236D8" w:rsidRPr="008F435D">
          <w:rPr>
            <w:noProof/>
            <w:webHidden/>
          </w:rPr>
          <w:t>24-</w:t>
        </w:r>
        <w:r w:rsidRPr="008F435D">
          <w:rPr>
            <w:noProof/>
            <w:webHidden/>
          </w:rPr>
          <w:fldChar w:fldCharType="begin"/>
        </w:r>
        <w:r w:rsidRPr="008F435D">
          <w:rPr>
            <w:noProof/>
            <w:webHidden/>
          </w:rPr>
          <w:instrText xml:space="preserve"> PAGEREF _Toc326656527 \h </w:instrText>
        </w:r>
        <w:r w:rsidRPr="008F435D">
          <w:rPr>
            <w:noProof/>
            <w:webHidden/>
          </w:rPr>
        </w:r>
        <w:r w:rsidRPr="008F435D">
          <w:rPr>
            <w:noProof/>
            <w:webHidden/>
          </w:rPr>
          <w:fldChar w:fldCharType="separate"/>
        </w:r>
        <w:r w:rsidR="00A104D6">
          <w:rPr>
            <w:noProof/>
            <w:webHidden/>
          </w:rPr>
          <w:t>3</w:t>
        </w:r>
        <w:r w:rsidRPr="008F435D">
          <w:rPr>
            <w:noProof/>
            <w:webHidden/>
          </w:rPr>
          <w:fldChar w:fldCharType="end"/>
        </w:r>
      </w:hyperlink>
    </w:p>
    <w:p w14:paraId="39BA6510" w14:textId="6D209789" w:rsidR="005C63E2" w:rsidRPr="008F435D" w:rsidRDefault="005C63E2">
      <w:pPr>
        <w:pStyle w:val="TOC2"/>
        <w:rPr>
          <w:rFonts w:ascii="Calibri" w:hAnsi="Calibri"/>
          <w:noProof/>
        </w:rPr>
      </w:pPr>
      <w:hyperlink w:anchor="_Toc326656528" w:history="1">
        <w:r w:rsidRPr="008F435D">
          <w:rPr>
            <w:rStyle w:val="Hyperlink"/>
            <w:noProof/>
          </w:rPr>
          <w:t>24.3</w:t>
        </w:r>
        <w:r w:rsidRPr="008F435D">
          <w:rPr>
            <w:rFonts w:ascii="Calibri" w:hAnsi="Calibri"/>
            <w:noProof/>
          </w:rPr>
          <w:tab/>
        </w:r>
        <w:r w:rsidRPr="008F435D">
          <w:rPr>
            <w:rStyle w:val="Hyperlink"/>
            <w:noProof/>
          </w:rPr>
          <w:t>Monthly Remittance</w:t>
        </w:r>
        <w:r w:rsidRPr="008F435D">
          <w:rPr>
            <w:noProof/>
            <w:webHidden/>
          </w:rPr>
          <w:tab/>
        </w:r>
        <w:r w:rsidR="009236D8" w:rsidRPr="008F435D">
          <w:rPr>
            <w:noProof/>
            <w:webHidden/>
          </w:rPr>
          <w:t>24-</w:t>
        </w:r>
        <w:r w:rsidRPr="008F435D">
          <w:rPr>
            <w:noProof/>
            <w:webHidden/>
          </w:rPr>
          <w:fldChar w:fldCharType="begin"/>
        </w:r>
        <w:r w:rsidRPr="008F435D">
          <w:rPr>
            <w:noProof/>
            <w:webHidden/>
          </w:rPr>
          <w:instrText xml:space="preserve"> PAGEREF _Toc326656528 \h </w:instrText>
        </w:r>
        <w:r w:rsidRPr="008F435D">
          <w:rPr>
            <w:noProof/>
            <w:webHidden/>
          </w:rPr>
        </w:r>
        <w:r w:rsidRPr="008F435D">
          <w:rPr>
            <w:noProof/>
            <w:webHidden/>
          </w:rPr>
          <w:fldChar w:fldCharType="separate"/>
        </w:r>
        <w:r w:rsidR="00A104D6">
          <w:rPr>
            <w:noProof/>
            <w:webHidden/>
          </w:rPr>
          <w:t>4</w:t>
        </w:r>
        <w:r w:rsidRPr="008F435D">
          <w:rPr>
            <w:noProof/>
            <w:webHidden/>
          </w:rPr>
          <w:fldChar w:fldCharType="end"/>
        </w:r>
      </w:hyperlink>
    </w:p>
    <w:p w14:paraId="3EC3DEF8" w14:textId="545CA028" w:rsidR="005C63E2" w:rsidRPr="008F435D" w:rsidRDefault="005C63E2" w:rsidP="005C63E2">
      <w:pPr>
        <w:pStyle w:val="TOC3"/>
        <w:rPr>
          <w:rFonts w:ascii="Calibri" w:hAnsi="Calibri"/>
          <w:i w:val="0"/>
        </w:rPr>
      </w:pPr>
      <w:hyperlink w:anchor="_Toc326656529" w:history="1">
        <w:r w:rsidRPr="008F435D">
          <w:rPr>
            <w:rStyle w:val="Hyperlink"/>
            <w:i w:val="0"/>
          </w:rPr>
          <w:t>24.3.1</w:t>
        </w:r>
        <w:r w:rsidRPr="008F435D">
          <w:rPr>
            <w:rFonts w:ascii="Calibri" w:hAnsi="Calibri"/>
            <w:i w:val="0"/>
          </w:rPr>
          <w:tab/>
        </w:r>
        <w:r w:rsidRPr="008F435D">
          <w:rPr>
            <w:rStyle w:val="Hyperlink"/>
            <w:i w:val="0"/>
          </w:rPr>
          <w:t>Competitive Retailer to Transmission and/or Distribution Service Provider Monthly Remittance Advice</w:t>
        </w:r>
        <w:r w:rsidRPr="008F435D">
          <w:rPr>
            <w:i w:val="0"/>
            <w:webHidden/>
          </w:rPr>
          <w:tab/>
        </w:r>
        <w:r w:rsidR="009236D8" w:rsidRPr="008F435D">
          <w:rPr>
            <w:i w:val="0"/>
            <w:webHidden/>
          </w:rPr>
          <w:t>24-</w:t>
        </w:r>
        <w:r w:rsidRPr="008F435D">
          <w:rPr>
            <w:i w:val="0"/>
            <w:webHidden/>
          </w:rPr>
          <w:fldChar w:fldCharType="begin"/>
        </w:r>
        <w:r w:rsidRPr="008F435D">
          <w:rPr>
            <w:i w:val="0"/>
            <w:webHidden/>
          </w:rPr>
          <w:instrText xml:space="preserve"> PAGEREF _Toc326656529 \h </w:instrText>
        </w:r>
        <w:r w:rsidRPr="008F435D">
          <w:rPr>
            <w:i w:val="0"/>
            <w:webHidden/>
          </w:rPr>
        </w:r>
        <w:r w:rsidRPr="008F435D">
          <w:rPr>
            <w:i w:val="0"/>
            <w:webHidden/>
          </w:rPr>
          <w:fldChar w:fldCharType="separate"/>
        </w:r>
        <w:r w:rsidR="00A104D6">
          <w:rPr>
            <w:i w:val="0"/>
            <w:webHidden/>
          </w:rPr>
          <w:t>4</w:t>
        </w:r>
        <w:r w:rsidRPr="008F435D">
          <w:rPr>
            <w:i w:val="0"/>
            <w:webHidden/>
          </w:rPr>
          <w:fldChar w:fldCharType="end"/>
        </w:r>
      </w:hyperlink>
    </w:p>
    <w:p w14:paraId="7B4DA6DB" w14:textId="3C0E03FC" w:rsidR="005C63E2" w:rsidRPr="008F435D" w:rsidRDefault="005C63E2">
      <w:pPr>
        <w:pStyle w:val="TOC4"/>
        <w:rPr>
          <w:rFonts w:ascii="Calibri" w:hAnsi="Calibri"/>
          <w:noProof/>
          <w:sz w:val="20"/>
          <w:szCs w:val="20"/>
        </w:rPr>
      </w:pPr>
      <w:hyperlink w:anchor="_Toc326656530" w:history="1">
        <w:r w:rsidRPr="008F435D">
          <w:rPr>
            <w:rStyle w:val="Hyperlink"/>
            <w:noProof/>
            <w:sz w:val="20"/>
            <w:szCs w:val="20"/>
          </w:rPr>
          <w:t>24.3.1.1</w:t>
        </w:r>
        <w:r w:rsidRPr="008F435D">
          <w:rPr>
            <w:rFonts w:ascii="Calibri" w:hAnsi="Calibri"/>
            <w:noProof/>
            <w:sz w:val="20"/>
            <w:szCs w:val="20"/>
          </w:rPr>
          <w:tab/>
        </w:r>
        <w:r w:rsidRPr="008F435D">
          <w:rPr>
            <w:rStyle w:val="Hyperlink"/>
            <w:noProof/>
            <w:sz w:val="20"/>
            <w:szCs w:val="20"/>
          </w:rPr>
          <w:t>Remittance Advice Total Matches Payment Total</w:t>
        </w:r>
        <w:r w:rsidRPr="008F435D">
          <w:rPr>
            <w:noProof/>
            <w:webHidden/>
            <w:sz w:val="20"/>
            <w:szCs w:val="20"/>
          </w:rPr>
          <w:tab/>
        </w:r>
        <w:r w:rsidR="009236D8" w:rsidRPr="008F435D">
          <w:rPr>
            <w:noProof/>
            <w:webHidden/>
            <w:sz w:val="20"/>
            <w:szCs w:val="20"/>
          </w:rPr>
          <w:t>24-</w:t>
        </w:r>
        <w:r w:rsidRPr="008F435D">
          <w:rPr>
            <w:noProof/>
            <w:webHidden/>
            <w:sz w:val="20"/>
            <w:szCs w:val="20"/>
          </w:rPr>
          <w:fldChar w:fldCharType="begin"/>
        </w:r>
        <w:r w:rsidRPr="008F435D">
          <w:rPr>
            <w:noProof/>
            <w:webHidden/>
            <w:sz w:val="20"/>
            <w:szCs w:val="20"/>
          </w:rPr>
          <w:instrText xml:space="preserve"> PAGEREF _Toc326656530 \h </w:instrText>
        </w:r>
        <w:r w:rsidRPr="008F435D">
          <w:rPr>
            <w:noProof/>
            <w:webHidden/>
            <w:sz w:val="20"/>
            <w:szCs w:val="20"/>
          </w:rPr>
        </w:r>
        <w:r w:rsidRPr="008F435D">
          <w:rPr>
            <w:noProof/>
            <w:webHidden/>
            <w:sz w:val="20"/>
            <w:szCs w:val="20"/>
          </w:rPr>
          <w:fldChar w:fldCharType="separate"/>
        </w:r>
        <w:r w:rsidR="00A104D6">
          <w:rPr>
            <w:noProof/>
            <w:webHidden/>
            <w:sz w:val="20"/>
            <w:szCs w:val="20"/>
          </w:rPr>
          <w:t>4</w:t>
        </w:r>
        <w:r w:rsidRPr="008F435D">
          <w:rPr>
            <w:noProof/>
            <w:webHidden/>
            <w:sz w:val="20"/>
            <w:szCs w:val="20"/>
          </w:rPr>
          <w:fldChar w:fldCharType="end"/>
        </w:r>
      </w:hyperlink>
    </w:p>
    <w:p w14:paraId="6D072CCC" w14:textId="3CF2AC5E" w:rsidR="005C63E2" w:rsidRPr="008F435D" w:rsidRDefault="005C63E2">
      <w:pPr>
        <w:pStyle w:val="TOC4"/>
        <w:rPr>
          <w:rFonts w:ascii="Calibri" w:hAnsi="Calibri"/>
          <w:noProof/>
          <w:sz w:val="20"/>
          <w:szCs w:val="20"/>
        </w:rPr>
      </w:pPr>
      <w:hyperlink w:anchor="_Toc326656531" w:history="1">
        <w:r w:rsidRPr="008F435D">
          <w:rPr>
            <w:rStyle w:val="Hyperlink"/>
            <w:noProof/>
            <w:sz w:val="20"/>
            <w:szCs w:val="20"/>
          </w:rPr>
          <w:t>24.3.1.2</w:t>
        </w:r>
        <w:r w:rsidRPr="008F435D">
          <w:rPr>
            <w:rFonts w:ascii="Calibri" w:hAnsi="Calibri"/>
            <w:noProof/>
            <w:sz w:val="20"/>
            <w:szCs w:val="20"/>
          </w:rPr>
          <w:tab/>
        </w:r>
        <w:r w:rsidRPr="008F435D">
          <w:rPr>
            <w:rStyle w:val="Hyperlink"/>
            <w:noProof/>
            <w:sz w:val="20"/>
            <w:szCs w:val="20"/>
          </w:rPr>
          <w:t>Negative Remittance Advice</w:t>
        </w:r>
        <w:r w:rsidRPr="008F435D">
          <w:rPr>
            <w:noProof/>
            <w:webHidden/>
            <w:sz w:val="20"/>
            <w:szCs w:val="20"/>
          </w:rPr>
          <w:tab/>
        </w:r>
        <w:r w:rsidR="009236D8" w:rsidRPr="008F435D">
          <w:rPr>
            <w:noProof/>
            <w:webHidden/>
            <w:sz w:val="20"/>
            <w:szCs w:val="20"/>
          </w:rPr>
          <w:t>24-</w:t>
        </w:r>
        <w:r w:rsidRPr="008F435D">
          <w:rPr>
            <w:noProof/>
            <w:webHidden/>
            <w:sz w:val="20"/>
            <w:szCs w:val="20"/>
          </w:rPr>
          <w:fldChar w:fldCharType="begin"/>
        </w:r>
        <w:r w:rsidRPr="008F435D">
          <w:rPr>
            <w:noProof/>
            <w:webHidden/>
            <w:sz w:val="20"/>
            <w:szCs w:val="20"/>
          </w:rPr>
          <w:instrText xml:space="preserve"> PAGEREF _Toc326656531 \h </w:instrText>
        </w:r>
        <w:r w:rsidRPr="008F435D">
          <w:rPr>
            <w:noProof/>
            <w:webHidden/>
            <w:sz w:val="20"/>
            <w:szCs w:val="20"/>
          </w:rPr>
        </w:r>
        <w:r w:rsidRPr="008F435D">
          <w:rPr>
            <w:noProof/>
            <w:webHidden/>
            <w:sz w:val="20"/>
            <w:szCs w:val="20"/>
          </w:rPr>
          <w:fldChar w:fldCharType="separate"/>
        </w:r>
        <w:r w:rsidR="00A104D6">
          <w:rPr>
            <w:noProof/>
            <w:webHidden/>
            <w:sz w:val="20"/>
            <w:szCs w:val="20"/>
          </w:rPr>
          <w:t>4</w:t>
        </w:r>
        <w:r w:rsidRPr="008F435D">
          <w:rPr>
            <w:noProof/>
            <w:webHidden/>
            <w:sz w:val="20"/>
            <w:szCs w:val="20"/>
          </w:rPr>
          <w:fldChar w:fldCharType="end"/>
        </w:r>
      </w:hyperlink>
    </w:p>
    <w:p w14:paraId="474E7715" w14:textId="4A316F19" w:rsidR="005C63E2" w:rsidRPr="008F435D" w:rsidRDefault="005C63E2">
      <w:pPr>
        <w:pStyle w:val="TOC4"/>
        <w:rPr>
          <w:rFonts w:ascii="Calibri" w:hAnsi="Calibri"/>
          <w:noProof/>
          <w:sz w:val="20"/>
          <w:szCs w:val="20"/>
        </w:rPr>
      </w:pPr>
      <w:hyperlink w:anchor="_Toc326656532" w:history="1">
        <w:r w:rsidRPr="008F435D">
          <w:rPr>
            <w:rStyle w:val="Hyperlink"/>
            <w:noProof/>
            <w:sz w:val="20"/>
            <w:szCs w:val="20"/>
          </w:rPr>
          <w:t>24.3.1.3</w:t>
        </w:r>
        <w:r w:rsidRPr="008F435D">
          <w:rPr>
            <w:rFonts w:ascii="Calibri" w:hAnsi="Calibri"/>
            <w:noProof/>
            <w:sz w:val="20"/>
            <w:szCs w:val="20"/>
          </w:rPr>
          <w:tab/>
        </w:r>
        <w:r w:rsidRPr="008F435D">
          <w:rPr>
            <w:rStyle w:val="Hyperlink"/>
            <w:noProof/>
            <w:sz w:val="20"/>
            <w:szCs w:val="20"/>
          </w:rPr>
          <w:t>Acceptable Payment Methods</w:t>
        </w:r>
        <w:r w:rsidRPr="008F435D">
          <w:rPr>
            <w:noProof/>
            <w:webHidden/>
            <w:sz w:val="20"/>
            <w:szCs w:val="20"/>
          </w:rPr>
          <w:tab/>
        </w:r>
        <w:r w:rsidR="009236D8" w:rsidRPr="008F435D">
          <w:rPr>
            <w:noProof/>
            <w:webHidden/>
            <w:sz w:val="20"/>
            <w:szCs w:val="20"/>
          </w:rPr>
          <w:t>24-</w:t>
        </w:r>
        <w:r w:rsidRPr="008F435D">
          <w:rPr>
            <w:noProof/>
            <w:webHidden/>
            <w:sz w:val="20"/>
            <w:szCs w:val="20"/>
          </w:rPr>
          <w:fldChar w:fldCharType="begin"/>
        </w:r>
        <w:r w:rsidRPr="008F435D">
          <w:rPr>
            <w:noProof/>
            <w:webHidden/>
            <w:sz w:val="20"/>
            <w:szCs w:val="20"/>
          </w:rPr>
          <w:instrText xml:space="preserve"> PAGEREF _Toc326656532 \h </w:instrText>
        </w:r>
        <w:r w:rsidRPr="008F435D">
          <w:rPr>
            <w:noProof/>
            <w:webHidden/>
            <w:sz w:val="20"/>
            <w:szCs w:val="20"/>
          </w:rPr>
        </w:r>
        <w:r w:rsidRPr="008F435D">
          <w:rPr>
            <w:noProof/>
            <w:webHidden/>
            <w:sz w:val="20"/>
            <w:szCs w:val="20"/>
          </w:rPr>
          <w:fldChar w:fldCharType="separate"/>
        </w:r>
        <w:r w:rsidR="00A104D6">
          <w:rPr>
            <w:noProof/>
            <w:webHidden/>
            <w:sz w:val="20"/>
            <w:szCs w:val="20"/>
          </w:rPr>
          <w:t>5</w:t>
        </w:r>
        <w:r w:rsidRPr="008F435D">
          <w:rPr>
            <w:noProof/>
            <w:webHidden/>
            <w:sz w:val="20"/>
            <w:szCs w:val="20"/>
          </w:rPr>
          <w:fldChar w:fldCharType="end"/>
        </w:r>
      </w:hyperlink>
    </w:p>
    <w:p w14:paraId="283B4CE7" w14:textId="79425A9E" w:rsidR="005C63E2" w:rsidRPr="008F435D" w:rsidRDefault="005C63E2">
      <w:pPr>
        <w:pStyle w:val="TOC4"/>
        <w:rPr>
          <w:rFonts w:ascii="Calibri" w:hAnsi="Calibri"/>
          <w:noProof/>
          <w:sz w:val="20"/>
          <w:szCs w:val="20"/>
        </w:rPr>
      </w:pPr>
      <w:hyperlink w:anchor="_Toc326656533" w:history="1">
        <w:r w:rsidRPr="008F435D">
          <w:rPr>
            <w:rStyle w:val="Hyperlink"/>
            <w:noProof/>
            <w:sz w:val="20"/>
            <w:szCs w:val="20"/>
          </w:rPr>
          <w:t>24.3.1.4</w:t>
        </w:r>
        <w:r w:rsidRPr="008F435D">
          <w:rPr>
            <w:rFonts w:ascii="Calibri" w:hAnsi="Calibri"/>
            <w:noProof/>
            <w:sz w:val="20"/>
            <w:szCs w:val="20"/>
          </w:rPr>
          <w:tab/>
        </w:r>
        <w:r w:rsidRPr="008F435D">
          <w:rPr>
            <w:rStyle w:val="Hyperlink"/>
            <w:noProof/>
            <w:sz w:val="20"/>
            <w:szCs w:val="20"/>
          </w:rPr>
          <w:t>Warehousing an 820 Remittance Advice</w:t>
        </w:r>
        <w:r w:rsidRPr="008F435D">
          <w:rPr>
            <w:noProof/>
            <w:webHidden/>
            <w:sz w:val="20"/>
            <w:szCs w:val="20"/>
          </w:rPr>
          <w:tab/>
        </w:r>
        <w:r w:rsidR="009236D8" w:rsidRPr="008F435D">
          <w:rPr>
            <w:noProof/>
            <w:webHidden/>
            <w:sz w:val="20"/>
            <w:szCs w:val="20"/>
          </w:rPr>
          <w:t>24-</w:t>
        </w:r>
        <w:r w:rsidRPr="008F435D">
          <w:rPr>
            <w:noProof/>
            <w:webHidden/>
            <w:sz w:val="20"/>
            <w:szCs w:val="20"/>
          </w:rPr>
          <w:fldChar w:fldCharType="begin"/>
        </w:r>
        <w:r w:rsidRPr="008F435D">
          <w:rPr>
            <w:noProof/>
            <w:webHidden/>
            <w:sz w:val="20"/>
            <w:szCs w:val="20"/>
          </w:rPr>
          <w:instrText xml:space="preserve"> PAGEREF _Toc326656533 \h </w:instrText>
        </w:r>
        <w:r w:rsidRPr="008F435D">
          <w:rPr>
            <w:noProof/>
            <w:webHidden/>
            <w:sz w:val="20"/>
            <w:szCs w:val="20"/>
          </w:rPr>
        </w:r>
        <w:r w:rsidRPr="008F435D">
          <w:rPr>
            <w:noProof/>
            <w:webHidden/>
            <w:sz w:val="20"/>
            <w:szCs w:val="20"/>
          </w:rPr>
          <w:fldChar w:fldCharType="separate"/>
        </w:r>
        <w:r w:rsidR="00A104D6">
          <w:rPr>
            <w:noProof/>
            <w:webHidden/>
            <w:sz w:val="20"/>
            <w:szCs w:val="20"/>
          </w:rPr>
          <w:t>5</w:t>
        </w:r>
        <w:r w:rsidRPr="008F435D">
          <w:rPr>
            <w:noProof/>
            <w:webHidden/>
            <w:sz w:val="20"/>
            <w:szCs w:val="20"/>
          </w:rPr>
          <w:fldChar w:fldCharType="end"/>
        </w:r>
      </w:hyperlink>
    </w:p>
    <w:p w14:paraId="0601FF75" w14:textId="3E1D2662" w:rsidR="005C63E2" w:rsidRPr="008F435D" w:rsidRDefault="005C63E2">
      <w:pPr>
        <w:pStyle w:val="TOC2"/>
        <w:rPr>
          <w:rFonts w:ascii="Calibri" w:hAnsi="Calibri"/>
          <w:noProof/>
        </w:rPr>
      </w:pPr>
      <w:hyperlink w:anchor="_Toc326656534" w:history="1">
        <w:r w:rsidRPr="008F435D">
          <w:rPr>
            <w:rStyle w:val="Hyperlink"/>
            <w:noProof/>
          </w:rPr>
          <w:t>24.4</w:t>
        </w:r>
        <w:r w:rsidRPr="008F435D">
          <w:rPr>
            <w:rFonts w:ascii="Calibri" w:hAnsi="Calibri"/>
            <w:noProof/>
          </w:rPr>
          <w:tab/>
        </w:r>
        <w:r w:rsidRPr="008F435D">
          <w:rPr>
            <w:rStyle w:val="Hyperlink"/>
            <w:noProof/>
          </w:rPr>
          <w:t>Municipally Owned Utility/Electric Cooperative Transmission and/or Distribution Service Provider to Competitive Retailer Monthly Remittance Advice</w:t>
        </w:r>
        <w:r w:rsidRPr="008F435D">
          <w:rPr>
            <w:noProof/>
            <w:webHidden/>
          </w:rPr>
          <w:tab/>
        </w:r>
        <w:r w:rsidR="009236D8" w:rsidRPr="008F435D">
          <w:rPr>
            <w:noProof/>
            <w:webHidden/>
          </w:rPr>
          <w:t>24-</w:t>
        </w:r>
        <w:r w:rsidRPr="008F435D">
          <w:rPr>
            <w:noProof/>
            <w:webHidden/>
          </w:rPr>
          <w:fldChar w:fldCharType="begin"/>
        </w:r>
        <w:r w:rsidRPr="008F435D">
          <w:rPr>
            <w:noProof/>
            <w:webHidden/>
          </w:rPr>
          <w:instrText xml:space="preserve"> PAGEREF _Toc326656534 \h </w:instrText>
        </w:r>
        <w:r w:rsidRPr="008F435D">
          <w:rPr>
            <w:noProof/>
            <w:webHidden/>
          </w:rPr>
        </w:r>
        <w:r w:rsidRPr="008F435D">
          <w:rPr>
            <w:noProof/>
            <w:webHidden/>
          </w:rPr>
          <w:fldChar w:fldCharType="separate"/>
        </w:r>
        <w:r w:rsidR="00A104D6">
          <w:rPr>
            <w:noProof/>
            <w:webHidden/>
          </w:rPr>
          <w:t>5</w:t>
        </w:r>
        <w:r w:rsidRPr="008F435D">
          <w:rPr>
            <w:noProof/>
            <w:webHidden/>
          </w:rPr>
          <w:fldChar w:fldCharType="end"/>
        </w:r>
      </w:hyperlink>
    </w:p>
    <w:p w14:paraId="15B1CE33" w14:textId="2E1D8A6C" w:rsidR="005C63E2" w:rsidRPr="008F435D" w:rsidRDefault="005C63E2" w:rsidP="005C63E2">
      <w:pPr>
        <w:pStyle w:val="TOC3"/>
        <w:rPr>
          <w:rFonts w:ascii="Calibri" w:hAnsi="Calibri"/>
          <w:i w:val="0"/>
        </w:rPr>
      </w:pPr>
      <w:hyperlink w:anchor="_Toc326656535" w:history="1">
        <w:r w:rsidRPr="008F435D">
          <w:rPr>
            <w:rStyle w:val="Hyperlink"/>
            <w:i w:val="0"/>
          </w:rPr>
          <w:t>24.4.1</w:t>
        </w:r>
        <w:r w:rsidRPr="008F435D">
          <w:rPr>
            <w:rFonts w:ascii="Calibri" w:hAnsi="Calibri"/>
            <w:i w:val="0"/>
          </w:rPr>
          <w:tab/>
        </w:r>
        <w:r w:rsidRPr="008F435D">
          <w:rPr>
            <w:rStyle w:val="Hyperlink"/>
            <w:i w:val="0"/>
          </w:rPr>
          <w:t>Timing 820 Remittance to CR</w:t>
        </w:r>
        <w:r w:rsidRPr="008F435D">
          <w:rPr>
            <w:i w:val="0"/>
            <w:webHidden/>
          </w:rPr>
          <w:tab/>
        </w:r>
        <w:r w:rsidR="009236D8" w:rsidRPr="008F435D">
          <w:rPr>
            <w:i w:val="0"/>
            <w:webHidden/>
          </w:rPr>
          <w:t>24-</w:t>
        </w:r>
        <w:r w:rsidRPr="008F435D">
          <w:rPr>
            <w:i w:val="0"/>
            <w:webHidden/>
          </w:rPr>
          <w:fldChar w:fldCharType="begin"/>
        </w:r>
        <w:r w:rsidRPr="008F435D">
          <w:rPr>
            <w:i w:val="0"/>
            <w:webHidden/>
          </w:rPr>
          <w:instrText xml:space="preserve"> PAGEREF _Toc326656535 \h </w:instrText>
        </w:r>
        <w:r w:rsidRPr="008F435D">
          <w:rPr>
            <w:i w:val="0"/>
            <w:webHidden/>
          </w:rPr>
        </w:r>
        <w:r w:rsidRPr="008F435D">
          <w:rPr>
            <w:i w:val="0"/>
            <w:webHidden/>
          </w:rPr>
          <w:fldChar w:fldCharType="separate"/>
        </w:r>
        <w:r w:rsidR="00A104D6">
          <w:rPr>
            <w:i w:val="0"/>
            <w:webHidden/>
          </w:rPr>
          <w:t>5</w:t>
        </w:r>
        <w:r w:rsidRPr="008F435D">
          <w:rPr>
            <w:i w:val="0"/>
            <w:webHidden/>
          </w:rPr>
          <w:fldChar w:fldCharType="end"/>
        </w:r>
      </w:hyperlink>
    </w:p>
    <w:p w14:paraId="614031D3" w14:textId="3AF76CC0" w:rsidR="005C63E2" w:rsidRPr="008F435D" w:rsidRDefault="005C63E2" w:rsidP="005C63E2">
      <w:pPr>
        <w:pStyle w:val="TOC3"/>
        <w:rPr>
          <w:rFonts w:ascii="Calibri" w:hAnsi="Calibri"/>
          <w:i w:val="0"/>
        </w:rPr>
      </w:pPr>
      <w:hyperlink w:anchor="_Toc326656536" w:history="1">
        <w:r w:rsidRPr="008F435D">
          <w:rPr>
            <w:rStyle w:val="Hyperlink"/>
            <w:i w:val="0"/>
          </w:rPr>
          <w:t>24.4.2</w:t>
        </w:r>
        <w:r w:rsidRPr="008F435D">
          <w:rPr>
            <w:rFonts w:ascii="Calibri" w:hAnsi="Calibri"/>
            <w:i w:val="0"/>
          </w:rPr>
          <w:tab/>
        </w:r>
        <w:r w:rsidRPr="008F435D">
          <w:rPr>
            <w:rStyle w:val="Hyperlink"/>
            <w:i w:val="0"/>
          </w:rPr>
          <w:t>Remittance Advice Total Matches Payment Total</w:t>
        </w:r>
        <w:r w:rsidRPr="008F435D">
          <w:rPr>
            <w:i w:val="0"/>
            <w:webHidden/>
          </w:rPr>
          <w:tab/>
        </w:r>
        <w:r w:rsidR="009236D8" w:rsidRPr="008F435D">
          <w:rPr>
            <w:i w:val="0"/>
            <w:webHidden/>
          </w:rPr>
          <w:t>24-</w:t>
        </w:r>
        <w:r w:rsidRPr="008F435D">
          <w:rPr>
            <w:i w:val="0"/>
            <w:webHidden/>
          </w:rPr>
          <w:fldChar w:fldCharType="begin"/>
        </w:r>
        <w:r w:rsidRPr="008F435D">
          <w:rPr>
            <w:i w:val="0"/>
            <w:webHidden/>
          </w:rPr>
          <w:instrText xml:space="preserve"> PAGEREF _Toc326656536 \h </w:instrText>
        </w:r>
        <w:r w:rsidRPr="008F435D">
          <w:rPr>
            <w:i w:val="0"/>
            <w:webHidden/>
          </w:rPr>
        </w:r>
        <w:r w:rsidRPr="008F435D">
          <w:rPr>
            <w:i w:val="0"/>
            <w:webHidden/>
          </w:rPr>
          <w:fldChar w:fldCharType="separate"/>
        </w:r>
        <w:r w:rsidR="00A104D6">
          <w:rPr>
            <w:i w:val="0"/>
            <w:webHidden/>
          </w:rPr>
          <w:t>6</w:t>
        </w:r>
        <w:r w:rsidRPr="008F435D">
          <w:rPr>
            <w:i w:val="0"/>
            <w:webHidden/>
          </w:rPr>
          <w:fldChar w:fldCharType="end"/>
        </w:r>
      </w:hyperlink>
    </w:p>
    <w:p w14:paraId="76C44770" w14:textId="330CB3D2" w:rsidR="005C63E2" w:rsidRPr="008F435D" w:rsidRDefault="005C63E2" w:rsidP="005C63E2">
      <w:pPr>
        <w:pStyle w:val="TOC3"/>
        <w:rPr>
          <w:rFonts w:ascii="Calibri" w:hAnsi="Calibri"/>
          <w:i w:val="0"/>
        </w:rPr>
      </w:pPr>
      <w:hyperlink w:anchor="_Toc326656537" w:history="1">
        <w:r w:rsidRPr="008F435D">
          <w:rPr>
            <w:rStyle w:val="Hyperlink"/>
            <w:i w:val="0"/>
          </w:rPr>
          <w:t>24.4.3</w:t>
        </w:r>
        <w:r w:rsidRPr="008F435D">
          <w:rPr>
            <w:rFonts w:ascii="Calibri" w:hAnsi="Calibri"/>
            <w:i w:val="0"/>
          </w:rPr>
          <w:tab/>
        </w:r>
        <w:r w:rsidRPr="008F435D">
          <w:rPr>
            <w:rStyle w:val="Hyperlink"/>
            <w:i w:val="0"/>
          </w:rPr>
          <w:t>Negative Remittance Advice</w:t>
        </w:r>
        <w:r w:rsidRPr="008F435D">
          <w:rPr>
            <w:i w:val="0"/>
            <w:webHidden/>
          </w:rPr>
          <w:tab/>
        </w:r>
        <w:r w:rsidR="009236D8" w:rsidRPr="008F435D">
          <w:rPr>
            <w:i w:val="0"/>
            <w:webHidden/>
          </w:rPr>
          <w:t>24-</w:t>
        </w:r>
        <w:r w:rsidRPr="008F435D">
          <w:rPr>
            <w:i w:val="0"/>
            <w:webHidden/>
          </w:rPr>
          <w:fldChar w:fldCharType="begin"/>
        </w:r>
        <w:r w:rsidRPr="008F435D">
          <w:rPr>
            <w:i w:val="0"/>
            <w:webHidden/>
          </w:rPr>
          <w:instrText xml:space="preserve"> PAGEREF _Toc326656537 \h </w:instrText>
        </w:r>
        <w:r w:rsidRPr="008F435D">
          <w:rPr>
            <w:i w:val="0"/>
            <w:webHidden/>
          </w:rPr>
        </w:r>
        <w:r w:rsidRPr="008F435D">
          <w:rPr>
            <w:i w:val="0"/>
            <w:webHidden/>
          </w:rPr>
          <w:fldChar w:fldCharType="separate"/>
        </w:r>
        <w:r w:rsidR="00A104D6">
          <w:rPr>
            <w:i w:val="0"/>
            <w:webHidden/>
          </w:rPr>
          <w:t>6</w:t>
        </w:r>
        <w:r w:rsidRPr="008F435D">
          <w:rPr>
            <w:i w:val="0"/>
            <w:webHidden/>
          </w:rPr>
          <w:fldChar w:fldCharType="end"/>
        </w:r>
      </w:hyperlink>
    </w:p>
    <w:p w14:paraId="62F58115" w14:textId="0E2CB30C" w:rsidR="005C63E2" w:rsidRPr="008F435D" w:rsidRDefault="005C63E2" w:rsidP="005C63E2">
      <w:pPr>
        <w:pStyle w:val="TOC3"/>
        <w:rPr>
          <w:rFonts w:ascii="Calibri" w:hAnsi="Calibri"/>
          <w:i w:val="0"/>
        </w:rPr>
      </w:pPr>
      <w:hyperlink w:anchor="_Toc326656538" w:history="1">
        <w:r w:rsidRPr="008F435D">
          <w:rPr>
            <w:rStyle w:val="Hyperlink"/>
            <w:i w:val="0"/>
          </w:rPr>
          <w:t>24.4.4</w:t>
        </w:r>
        <w:r w:rsidRPr="008F435D">
          <w:rPr>
            <w:rFonts w:ascii="Calibri" w:hAnsi="Calibri"/>
            <w:i w:val="0"/>
          </w:rPr>
          <w:tab/>
        </w:r>
        <w:r w:rsidRPr="008F435D">
          <w:rPr>
            <w:rStyle w:val="Hyperlink"/>
            <w:i w:val="0"/>
          </w:rPr>
          <w:t>Acceptable Payment Methods</w:t>
        </w:r>
        <w:r w:rsidRPr="008F435D">
          <w:rPr>
            <w:i w:val="0"/>
            <w:webHidden/>
          </w:rPr>
          <w:tab/>
        </w:r>
        <w:r w:rsidR="009236D8" w:rsidRPr="008F435D">
          <w:rPr>
            <w:i w:val="0"/>
            <w:webHidden/>
          </w:rPr>
          <w:t>24-</w:t>
        </w:r>
        <w:r w:rsidRPr="008F435D">
          <w:rPr>
            <w:i w:val="0"/>
            <w:webHidden/>
          </w:rPr>
          <w:fldChar w:fldCharType="begin"/>
        </w:r>
        <w:r w:rsidRPr="008F435D">
          <w:rPr>
            <w:i w:val="0"/>
            <w:webHidden/>
          </w:rPr>
          <w:instrText xml:space="preserve"> PAGEREF _Toc326656538 \h </w:instrText>
        </w:r>
        <w:r w:rsidRPr="008F435D">
          <w:rPr>
            <w:i w:val="0"/>
            <w:webHidden/>
          </w:rPr>
        </w:r>
        <w:r w:rsidRPr="008F435D">
          <w:rPr>
            <w:i w:val="0"/>
            <w:webHidden/>
          </w:rPr>
          <w:fldChar w:fldCharType="separate"/>
        </w:r>
        <w:r w:rsidR="00A104D6">
          <w:rPr>
            <w:i w:val="0"/>
            <w:webHidden/>
          </w:rPr>
          <w:t>6</w:t>
        </w:r>
        <w:r w:rsidRPr="008F435D">
          <w:rPr>
            <w:i w:val="0"/>
            <w:webHidden/>
          </w:rPr>
          <w:fldChar w:fldCharType="end"/>
        </w:r>
      </w:hyperlink>
    </w:p>
    <w:p w14:paraId="7F65E3F5" w14:textId="43FAD7E1" w:rsidR="005C63E2" w:rsidRPr="008F435D" w:rsidRDefault="005C63E2" w:rsidP="005C63E2">
      <w:pPr>
        <w:pStyle w:val="TOC3"/>
        <w:rPr>
          <w:rFonts w:ascii="Calibri" w:hAnsi="Calibri"/>
          <w:i w:val="0"/>
        </w:rPr>
      </w:pPr>
      <w:hyperlink w:anchor="_Toc326656539" w:history="1">
        <w:r w:rsidRPr="008F435D">
          <w:rPr>
            <w:rStyle w:val="Hyperlink"/>
            <w:i w:val="0"/>
          </w:rPr>
          <w:t>24.4.5</w:t>
        </w:r>
        <w:r w:rsidRPr="008F435D">
          <w:rPr>
            <w:rFonts w:ascii="Calibri" w:hAnsi="Calibri"/>
            <w:i w:val="0"/>
          </w:rPr>
          <w:tab/>
        </w:r>
        <w:r w:rsidRPr="008F435D">
          <w:rPr>
            <w:rStyle w:val="Hyperlink"/>
            <w:i w:val="0"/>
          </w:rPr>
          <w:t>Warehousing an 820 Remittance Advice</w:t>
        </w:r>
        <w:r w:rsidRPr="008F435D">
          <w:rPr>
            <w:i w:val="0"/>
            <w:webHidden/>
          </w:rPr>
          <w:tab/>
        </w:r>
        <w:r w:rsidR="009236D8" w:rsidRPr="008F435D">
          <w:rPr>
            <w:i w:val="0"/>
            <w:webHidden/>
          </w:rPr>
          <w:t>24-</w:t>
        </w:r>
        <w:r w:rsidRPr="008F435D">
          <w:rPr>
            <w:i w:val="0"/>
            <w:webHidden/>
          </w:rPr>
          <w:fldChar w:fldCharType="begin"/>
        </w:r>
        <w:r w:rsidRPr="008F435D">
          <w:rPr>
            <w:i w:val="0"/>
            <w:webHidden/>
          </w:rPr>
          <w:instrText xml:space="preserve"> PAGEREF _Toc326656539 \h </w:instrText>
        </w:r>
        <w:r w:rsidRPr="008F435D">
          <w:rPr>
            <w:i w:val="0"/>
            <w:webHidden/>
          </w:rPr>
        </w:r>
        <w:r w:rsidRPr="008F435D">
          <w:rPr>
            <w:i w:val="0"/>
            <w:webHidden/>
          </w:rPr>
          <w:fldChar w:fldCharType="separate"/>
        </w:r>
        <w:r w:rsidR="00A104D6">
          <w:rPr>
            <w:i w:val="0"/>
            <w:webHidden/>
          </w:rPr>
          <w:t>6</w:t>
        </w:r>
        <w:r w:rsidRPr="008F435D">
          <w:rPr>
            <w:i w:val="0"/>
            <w:webHidden/>
          </w:rPr>
          <w:fldChar w:fldCharType="end"/>
        </w:r>
      </w:hyperlink>
    </w:p>
    <w:p w14:paraId="02E72C56" w14:textId="605263A4" w:rsidR="005C63E2" w:rsidRPr="008F435D" w:rsidRDefault="005C63E2">
      <w:pPr>
        <w:pStyle w:val="TOC2"/>
        <w:rPr>
          <w:rFonts w:ascii="Calibri" w:hAnsi="Calibri"/>
          <w:noProof/>
        </w:rPr>
      </w:pPr>
      <w:hyperlink w:anchor="_Toc326656540" w:history="1">
        <w:r w:rsidRPr="008F435D">
          <w:rPr>
            <w:rStyle w:val="Hyperlink"/>
            <w:noProof/>
          </w:rPr>
          <w:t>24.5</w:t>
        </w:r>
        <w:r w:rsidRPr="008F435D">
          <w:rPr>
            <w:rFonts w:ascii="Calibri" w:hAnsi="Calibri"/>
            <w:noProof/>
          </w:rPr>
          <w:tab/>
        </w:r>
        <w:r w:rsidRPr="008F435D">
          <w:rPr>
            <w:rStyle w:val="Hyperlink"/>
            <w:noProof/>
          </w:rPr>
          <w:t>Maintain Customer Information Request</w:t>
        </w:r>
        <w:r w:rsidRPr="008F435D">
          <w:rPr>
            <w:noProof/>
            <w:webHidden/>
          </w:rPr>
          <w:tab/>
        </w:r>
        <w:r w:rsidR="009236D8" w:rsidRPr="008F435D">
          <w:rPr>
            <w:noProof/>
            <w:webHidden/>
          </w:rPr>
          <w:t>24-</w:t>
        </w:r>
        <w:r w:rsidRPr="008F435D">
          <w:rPr>
            <w:noProof/>
            <w:webHidden/>
          </w:rPr>
          <w:fldChar w:fldCharType="begin"/>
        </w:r>
        <w:r w:rsidRPr="008F435D">
          <w:rPr>
            <w:noProof/>
            <w:webHidden/>
          </w:rPr>
          <w:instrText xml:space="preserve"> PAGEREF _Toc326656540 \h </w:instrText>
        </w:r>
        <w:r w:rsidRPr="008F435D">
          <w:rPr>
            <w:noProof/>
            <w:webHidden/>
          </w:rPr>
        </w:r>
        <w:r w:rsidRPr="008F435D">
          <w:rPr>
            <w:noProof/>
            <w:webHidden/>
          </w:rPr>
          <w:fldChar w:fldCharType="separate"/>
        </w:r>
        <w:r w:rsidR="00A104D6">
          <w:rPr>
            <w:noProof/>
            <w:webHidden/>
          </w:rPr>
          <w:t>6</w:t>
        </w:r>
        <w:r w:rsidRPr="008F435D">
          <w:rPr>
            <w:noProof/>
            <w:webHidden/>
          </w:rPr>
          <w:fldChar w:fldCharType="end"/>
        </w:r>
      </w:hyperlink>
    </w:p>
    <w:p w14:paraId="799C9C4E" w14:textId="57F1DFCC" w:rsidR="005C63E2" w:rsidRPr="008F435D" w:rsidRDefault="005C63E2" w:rsidP="005C63E2">
      <w:pPr>
        <w:pStyle w:val="TOC3"/>
        <w:rPr>
          <w:rFonts w:ascii="Calibri" w:hAnsi="Calibri"/>
          <w:i w:val="0"/>
        </w:rPr>
      </w:pPr>
      <w:hyperlink w:anchor="_Toc326656541" w:history="1">
        <w:r w:rsidRPr="008F435D">
          <w:rPr>
            <w:rStyle w:val="Hyperlink"/>
            <w:i w:val="0"/>
          </w:rPr>
          <w:t>24.5.1</w:t>
        </w:r>
        <w:r w:rsidRPr="008F435D">
          <w:rPr>
            <w:rFonts w:ascii="Calibri" w:hAnsi="Calibri"/>
            <w:i w:val="0"/>
          </w:rPr>
          <w:tab/>
        </w:r>
        <w:r w:rsidRPr="008F435D">
          <w:rPr>
            <w:rStyle w:val="Hyperlink"/>
            <w:i w:val="0"/>
          </w:rPr>
          <w:t>Timing of 814_PC Maintain Customer Information Request from Competitive Retailer</w:t>
        </w:r>
        <w:r w:rsidRPr="008F435D">
          <w:rPr>
            <w:i w:val="0"/>
            <w:webHidden/>
          </w:rPr>
          <w:tab/>
        </w:r>
        <w:r w:rsidR="009236D8" w:rsidRPr="008F435D">
          <w:rPr>
            <w:i w:val="0"/>
            <w:webHidden/>
          </w:rPr>
          <w:t>24-</w:t>
        </w:r>
        <w:r w:rsidRPr="008F435D">
          <w:rPr>
            <w:i w:val="0"/>
            <w:webHidden/>
          </w:rPr>
          <w:fldChar w:fldCharType="begin"/>
        </w:r>
        <w:r w:rsidRPr="008F435D">
          <w:rPr>
            <w:i w:val="0"/>
            <w:webHidden/>
          </w:rPr>
          <w:instrText xml:space="preserve"> PAGEREF _Toc326656541 \h </w:instrText>
        </w:r>
        <w:r w:rsidRPr="008F435D">
          <w:rPr>
            <w:i w:val="0"/>
            <w:webHidden/>
          </w:rPr>
        </w:r>
        <w:r w:rsidRPr="008F435D">
          <w:rPr>
            <w:i w:val="0"/>
            <w:webHidden/>
          </w:rPr>
          <w:fldChar w:fldCharType="separate"/>
        </w:r>
        <w:r w:rsidR="00A104D6">
          <w:rPr>
            <w:i w:val="0"/>
            <w:webHidden/>
          </w:rPr>
          <w:t>7</w:t>
        </w:r>
        <w:r w:rsidRPr="008F435D">
          <w:rPr>
            <w:i w:val="0"/>
            <w:webHidden/>
          </w:rPr>
          <w:fldChar w:fldCharType="end"/>
        </w:r>
      </w:hyperlink>
    </w:p>
    <w:p w14:paraId="08255DF8" w14:textId="6FA880CE" w:rsidR="005C63E2" w:rsidRPr="008F435D" w:rsidRDefault="005C63E2">
      <w:pPr>
        <w:pStyle w:val="TOC2"/>
        <w:rPr>
          <w:rFonts w:ascii="Calibri" w:hAnsi="Calibri"/>
          <w:noProof/>
        </w:rPr>
      </w:pPr>
      <w:hyperlink w:anchor="_Toc326656542" w:history="1">
        <w:r w:rsidRPr="008F435D">
          <w:rPr>
            <w:rStyle w:val="Hyperlink"/>
            <w:noProof/>
          </w:rPr>
          <w:t>24.6</w:t>
        </w:r>
        <w:r w:rsidRPr="008F435D">
          <w:rPr>
            <w:rFonts w:ascii="Calibri" w:hAnsi="Calibri"/>
            <w:noProof/>
          </w:rPr>
          <w:tab/>
        </w:r>
        <w:r w:rsidRPr="008F435D">
          <w:rPr>
            <w:rStyle w:val="Hyperlink"/>
            <w:noProof/>
          </w:rPr>
          <w:t>MOU/EC TDSP to CR Maintain Customer Information Request</w:t>
        </w:r>
        <w:r w:rsidRPr="008F435D">
          <w:rPr>
            <w:noProof/>
            <w:webHidden/>
          </w:rPr>
          <w:tab/>
        </w:r>
        <w:r w:rsidR="009236D8" w:rsidRPr="008F435D">
          <w:rPr>
            <w:noProof/>
            <w:webHidden/>
          </w:rPr>
          <w:t>24-</w:t>
        </w:r>
        <w:r w:rsidRPr="008F435D">
          <w:rPr>
            <w:noProof/>
            <w:webHidden/>
          </w:rPr>
          <w:fldChar w:fldCharType="begin"/>
        </w:r>
        <w:r w:rsidRPr="008F435D">
          <w:rPr>
            <w:noProof/>
            <w:webHidden/>
          </w:rPr>
          <w:instrText xml:space="preserve"> PAGEREF _Toc326656542 \h </w:instrText>
        </w:r>
        <w:r w:rsidRPr="008F435D">
          <w:rPr>
            <w:noProof/>
            <w:webHidden/>
          </w:rPr>
        </w:r>
        <w:r w:rsidRPr="008F435D">
          <w:rPr>
            <w:noProof/>
            <w:webHidden/>
          </w:rPr>
          <w:fldChar w:fldCharType="separate"/>
        </w:r>
        <w:r w:rsidR="00A104D6">
          <w:rPr>
            <w:noProof/>
            <w:webHidden/>
          </w:rPr>
          <w:t>7</w:t>
        </w:r>
        <w:r w:rsidRPr="008F435D">
          <w:rPr>
            <w:noProof/>
            <w:webHidden/>
          </w:rPr>
          <w:fldChar w:fldCharType="end"/>
        </w:r>
      </w:hyperlink>
    </w:p>
    <w:p w14:paraId="1C92A06E" w14:textId="0A220B38" w:rsidR="005C63E2" w:rsidRPr="008F435D" w:rsidRDefault="005C63E2" w:rsidP="005C63E2">
      <w:pPr>
        <w:pStyle w:val="TOC3"/>
        <w:rPr>
          <w:rFonts w:ascii="Calibri" w:hAnsi="Calibri"/>
          <w:i w:val="0"/>
        </w:rPr>
      </w:pPr>
      <w:hyperlink w:anchor="_Toc326656543" w:history="1">
        <w:r w:rsidRPr="008F435D">
          <w:rPr>
            <w:rStyle w:val="Hyperlink"/>
            <w:i w:val="0"/>
          </w:rPr>
          <w:t>24.6.1</w:t>
        </w:r>
        <w:r w:rsidRPr="008F435D">
          <w:rPr>
            <w:rFonts w:ascii="Calibri" w:hAnsi="Calibri"/>
            <w:i w:val="0"/>
          </w:rPr>
          <w:tab/>
        </w:r>
        <w:r w:rsidRPr="008F435D">
          <w:rPr>
            <w:rStyle w:val="Hyperlink"/>
            <w:i w:val="0"/>
          </w:rPr>
          <w:t>Timing of 814_PC Maintain Customer Information Request from Municipally Owned Utility/Electric Cooperative Transmission and/or Distribution Service Provider</w:t>
        </w:r>
        <w:r w:rsidRPr="008F435D">
          <w:rPr>
            <w:i w:val="0"/>
            <w:webHidden/>
          </w:rPr>
          <w:tab/>
        </w:r>
        <w:r w:rsidR="009236D8" w:rsidRPr="008F435D">
          <w:rPr>
            <w:i w:val="0"/>
            <w:webHidden/>
          </w:rPr>
          <w:t>24-</w:t>
        </w:r>
        <w:r w:rsidRPr="008F435D">
          <w:rPr>
            <w:i w:val="0"/>
            <w:webHidden/>
          </w:rPr>
          <w:fldChar w:fldCharType="begin"/>
        </w:r>
        <w:r w:rsidRPr="008F435D">
          <w:rPr>
            <w:i w:val="0"/>
            <w:webHidden/>
          </w:rPr>
          <w:instrText xml:space="preserve"> PAGEREF _Toc326656543 \h </w:instrText>
        </w:r>
        <w:r w:rsidRPr="008F435D">
          <w:rPr>
            <w:i w:val="0"/>
            <w:webHidden/>
          </w:rPr>
        </w:r>
        <w:r w:rsidRPr="008F435D">
          <w:rPr>
            <w:i w:val="0"/>
            <w:webHidden/>
          </w:rPr>
          <w:fldChar w:fldCharType="separate"/>
        </w:r>
        <w:r w:rsidR="00A104D6">
          <w:rPr>
            <w:i w:val="0"/>
            <w:webHidden/>
          </w:rPr>
          <w:t>7</w:t>
        </w:r>
        <w:r w:rsidRPr="008F435D">
          <w:rPr>
            <w:i w:val="0"/>
            <w:webHidden/>
          </w:rPr>
          <w:fldChar w:fldCharType="end"/>
        </w:r>
      </w:hyperlink>
    </w:p>
    <w:p w14:paraId="40214B51" w14:textId="77777777" w:rsidR="00DD2DA2" w:rsidRDefault="00DD2DA2">
      <w:pPr>
        <w:pStyle w:val="BodyText"/>
      </w:pPr>
      <w:r>
        <w:rPr>
          <w:b/>
          <w:bCs/>
          <w:i/>
        </w:rPr>
        <w:fldChar w:fldCharType="end"/>
      </w:r>
    </w:p>
    <w:p w14:paraId="58533479" w14:textId="77777777" w:rsidR="00DD2DA2" w:rsidRDefault="00DD2DA2">
      <w:pPr>
        <w:pStyle w:val="BodyText"/>
        <w:sectPr w:rsidR="00DD2DA2">
          <w:headerReference w:type="default" r:id="rId9"/>
          <w:footerReference w:type="default" r:id="rId10"/>
          <w:pgSz w:w="12240" w:h="15840" w:code="1"/>
          <w:pgMar w:top="1440" w:right="1440" w:bottom="1440" w:left="1440" w:header="720" w:footer="720" w:gutter="0"/>
          <w:pgNumType w:start="1" w:chapStyle="1"/>
          <w:cols w:space="720"/>
        </w:sectPr>
      </w:pPr>
    </w:p>
    <w:p w14:paraId="0B10DBD4" w14:textId="77777777" w:rsidR="00DD2DA2" w:rsidRDefault="00DD2DA2">
      <w:pPr>
        <w:pStyle w:val="Heading1"/>
        <w:numPr>
          <w:ilvl w:val="0"/>
          <w:numId w:val="0"/>
        </w:numPr>
      </w:pPr>
      <w:bookmarkStart w:id="0" w:name="_Toc191173774"/>
      <w:bookmarkStart w:id="1" w:name="_Toc326656518"/>
      <w:r>
        <w:lastRenderedPageBreak/>
        <w:t>24</w:t>
      </w:r>
      <w:r>
        <w:tab/>
        <w:t>Retail Point to Point Communications</w:t>
      </w:r>
      <w:bookmarkEnd w:id="0"/>
      <w:bookmarkEnd w:id="1"/>
    </w:p>
    <w:p w14:paraId="20CE0DA3" w14:textId="77777777" w:rsidR="00DD2DA2" w:rsidRPr="004E6D3F" w:rsidRDefault="00975D6F" w:rsidP="00975D6F">
      <w:pPr>
        <w:pStyle w:val="BodyText"/>
        <w:ind w:left="720" w:hanging="720"/>
        <w:rPr>
          <w:iCs/>
          <w:szCs w:val="20"/>
        </w:rPr>
      </w:pPr>
      <w:r>
        <w:rPr>
          <w:iCs/>
          <w:szCs w:val="20"/>
        </w:rPr>
        <w:t>(1)</w:t>
      </w:r>
      <w:r>
        <w:rPr>
          <w:iCs/>
          <w:szCs w:val="20"/>
        </w:rPr>
        <w:tab/>
      </w:r>
      <w:r w:rsidR="00DD2DA2" w:rsidRPr="004E6D3F">
        <w:rPr>
          <w:iCs/>
          <w:szCs w:val="20"/>
        </w:rPr>
        <w:t xml:space="preserve">Point to point communications include transactions flowing directly between Competitive Retailers (CRs), and Transmission and/or Distribution Service Providers (TDSPs) and do not flow through ERCOT.  These </w:t>
      </w:r>
      <w:proofErr w:type="gramStart"/>
      <w:r w:rsidR="00DD2DA2" w:rsidRPr="004E6D3F">
        <w:rPr>
          <w:iCs/>
          <w:szCs w:val="20"/>
        </w:rPr>
        <w:t>point to point</w:t>
      </w:r>
      <w:proofErr w:type="gramEnd"/>
      <w:r w:rsidR="00DD2DA2" w:rsidRPr="004E6D3F">
        <w:rPr>
          <w:iCs/>
          <w:szCs w:val="20"/>
        </w:rPr>
        <w:t xml:space="preserve"> transactions may be Customer requested service orders and CR/TDSP invoicing and remittance.</w:t>
      </w:r>
    </w:p>
    <w:p w14:paraId="1BEDF3D8" w14:textId="77777777" w:rsidR="00D44826" w:rsidRPr="0009604D" w:rsidRDefault="00D44826" w:rsidP="0009604D">
      <w:pPr>
        <w:pStyle w:val="H2"/>
      </w:pPr>
      <w:bookmarkStart w:id="2" w:name="_Toc191173776"/>
      <w:bookmarkStart w:id="3" w:name="_Toc326656519"/>
      <w:r>
        <w:t>24.1</w:t>
      </w:r>
      <w:r>
        <w:tab/>
        <w:t>Maintenance Service Order Request</w:t>
      </w:r>
      <w:bookmarkEnd w:id="3"/>
    </w:p>
    <w:p w14:paraId="12B05FD7" w14:textId="77777777" w:rsidR="00DD2DA2" w:rsidRDefault="00975D6F" w:rsidP="00975D6F">
      <w:pPr>
        <w:pStyle w:val="BodyText"/>
        <w:ind w:left="720" w:hanging="720"/>
      </w:pPr>
      <w:r>
        <w:rPr>
          <w:iCs/>
          <w:szCs w:val="20"/>
        </w:rPr>
        <w:t>(1)</w:t>
      </w:r>
      <w:r>
        <w:rPr>
          <w:iCs/>
          <w:szCs w:val="20"/>
        </w:rPr>
        <w:tab/>
      </w:r>
      <w:r w:rsidR="00D44826" w:rsidRPr="00EF045F">
        <w:rPr>
          <w:iCs/>
          <w:szCs w:val="20"/>
        </w:rPr>
        <w:t>To initiate an original service order, cancel, or change (update) request, the Competitive Retailer (CR) sends maintenance related information to the Transmission and/or Distribution Service Provider (TDSP) using the 650_01, Service Order Request.  The 650_01 transaction sent by the CR shall include a level of information such that the TDSP clearly understands the nature of the request and the work that it is being requested to perform.  The TDSP will respond within one Retail Business Day after completion, or attempted completion, of the requested action using the 650_02, Service Order Response, to notify the CR that the service order is either completed, unable to be completed, or rejected, or that a permit is required before the order can be completed.  There is a one-to-one relationship between the 650_01 and 650_02 transactions.</w:t>
      </w:r>
      <w:bookmarkEnd w:id="2"/>
    </w:p>
    <w:p w14:paraId="135981B1" w14:textId="77777777" w:rsidR="00DD2DA2" w:rsidRDefault="00DD2DA2">
      <w:pPr>
        <w:pStyle w:val="H3"/>
      </w:pPr>
      <w:bookmarkStart w:id="4" w:name="_Toc326656520"/>
      <w:r>
        <w:t>24.1.1</w:t>
      </w:r>
      <w:r>
        <w:tab/>
        <w:t>Disconnect/Reconnect</w:t>
      </w:r>
      <w:bookmarkEnd w:id="4"/>
    </w:p>
    <w:p w14:paraId="6BD11AD2" w14:textId="77777777" w:rsidR="00DD2DA2" w:rsidRPr="004E6D3F" w:rsidRDefault="00975D6F" w:rsidP="00975D6F">
      <w:pPr>
        <w:pStyle w:val="BodyText"/>
        <w:ind w:left="720" w:hanging="720"/>
        <w:rPr>
          <w:iCs/>
          <w:szCs w:val="20"/>
        </w:rPr>
      </w:pPr>
      <w:r>
        <w:rPr>
          <w:iCs/>
          <w:szCs w:val="20"/>
        </w:rPr>
        <w:t>(1)</w:t>
      </w:r>
      <w:r>
        <w:rPr>
          <w:iCs/>
          <w:szCs w:val="20"/>
        </w:rPr>
        <w:tab/>
      </w:r>
      <w:r w:rsidR="00DD2DA2" w:rsidRPr="004E6D3F">
        <w:rPr>
          <w:iCs/>
          <w:szCs w:val="20"/>
        </w:rPr>
        <w:t xml:space="preserve">Public Utility Commission of Texas (PUCT) Substantive Rules and orders, along with TDSP </w:t>
      </w:r>
      <w:r w:rsidR="0079721C" w:rsidRPr="004E6D3F">
        <w:rPr>
          <w:iCs/>
          <w:szCs w:val="20"/>
        </w:rPr>
        <w:t>t</w:t>
      </w:r>
      <w:r w:rsidR="00DD2DA2" w:rsidRPr="004E6D3F">
        <w:rPr>
          <w:iCs/>
          <w:szCs w:val="20"/>
        </w:rPr>
        <w:t xml:space="preserve">ariffs, dictate the timeline for both disconnection for non-payment and reconnection after disconnection for non-payment.  For more </w:t>
      </w:r>
      <w:proofErr w:type="gramStart"/>
      <w:r w:rsidR="00DD2DA2" w:rsidRPr="004E6D3F">
        <w:rPr>
          <w:iCs/>
          <w:szCs w:val="20"/>
        </w:rPr>
        <w:t>information</w:t>
      </w:r>
      <w:proofErr w:type="gramEnd"/>
      <w:r w:rsidR="00DD2DA2" w:rsidRPr="004E6D3F">
        <w:rPr>
          <w:iCs/>
          <w:szCs w:val="20"/>
        </w:rPr>
        <w:t xml:space="preserve"> please refer to the Retail Market Guide Section 7.6, Disconnect and Reconnect for Non-Payment Process.</w:t>
      </w:r>
    </w:p>
    <w:p w14:paraId="4FFEDAFB" w14:textId="77777777" w:rsidR="00DD2DA2" w:rsidRDefault="00DD2DA2">
      <w:pPr>
        <w:pStyle w:val="H3"/>
      </w:pPr>
      <w:bookmarkStart w:id="5" w:name="_Toc326656521"/>
      <w:r>
        <w:t>24.1.2</w:t>
      </w:r>
      <w:r>
        <w:tab/>
        <w:t>Suspension of Delivery Service</w:t>
      </w:r>
      <w:bookmarkEnd w:id="5"/>
      <w:r>
        <w:t xml:space="preserve"> </w:t>
      </w:r>
    </w:p>
    <w:p w14:paraId="7F23B036" w14:textId="77777777" w:rsidR="00DD2DA2" w:rsidRPr="004E6D3F" w:rsidRDefault="00975D6F" w:rsidP="00975D6F">
      <w:pPr>
        <w:pStyle w:val="BodyText"/>
        <w:ind w:left="720" w:hanging="720"/>
        <w:rPr>
          <w:iCs/>
          <w:szCs w:val="20"/>
        </w:rPr>
      </w:pPr>
      <w:r>
        <w:rPr>
          <w:iCs/>
          <w:szCs w:val="20"/>
        </w:rPr>
        <w:t>(1)</w:t>
      </w:r>
      <w:r>
        <w:rPr>
          <w:iCs/>
          <w:szCs w:val="20"/>
        </w:rPr>
        <w:tab/>
      </w:r>
      <w:r w:rsidR="00DD2DA2" w:rsidRPr="004E6D3F">
        <w:rPr>
          <w:iCs/>
          <w:szCs w:val="20"/>
        </w:rPr>
        <w:t>The following transactions shall be used by a TDSP seeking to suspend delivery service for an Electric Service Identifier (ESI ID).</w:t>
      </w:r>
    </w:p>
    <w:p w14:paraId="172C1070" w14:textId="77777777" w:rsidR="00D44826" w:rsidRDefault="00D44826" w:rsidP="00D44826">
      <w:pPr>
        <w:pStyle w:val="H4"/>
      </w:pPr>
      <w:bookmarkStart w:id="6" w:name="_Toc326656522"/>
      <w:r>
        <w:t>24.1.2.1</w:t>
      </w:r>
      <w:r>
        <w:tab/>
        <w:t>Notification</w:t>
      </w:r>
      <w:bookmarkEnd w:id="6"/>
    </w:p>
    <w:p w14:paraId="107F663E" w14:textId="77777777" w:rsidR="00D44826" w:rsidRDefault="00D44826" w:rsidP="0009604D">
      <w:pPr>
        <w:pStyle w:val="List"/>
      </w:pPr>
      <w:r>
        <w:t>(1)</w:t>
      </w:r>
      <w:r>
        <w:tab/>
        <w:t xml:space="preserve">The 650_04, Planned or Unplanned Outage Notification, is electronically transmitted by the TDSP to the CR to notify the CR of the ESI ID(s) and </w:t>
      </w:r>
      <w:r w:rsidRPr="0029281B">
        <w:t>Service Address(es)</w:t>
      </w:r>
      <w:r>
        <w:t xml:space="preserve"> affected by either a temporary or permanent suspension of service.  The situations under which a 650_04 transaction may be created and transmitted to the CR include:</w:t>
      </w:r>
    </w:p>
    <w:p w14:paraId="02820BEE" w14:textId="77777777" w:rsidR="00D44826" w:rsidRDefault="00D44826" w:rsidP="00D44826">
      <w:pPr>
        <w:pStyle w:val="List"/>
        <w:ind w:left="1440"/>
      </w:pPr>
      <w:r>
        <w:t>(a)</w:t>
      </w:r>
      <w:r>
        <w:tab/>
        <w:t xml:space="preserve">An outage has been scheduled by the TDSP for the Customer's </w:t>
      </w:r>
      <w:r w:rsidRPr="0029281B">
        <w:t>Service Address</w:t>
      </w:r>
      <w:r>
        <w:t xml:space="preserve"> for a specific date and time.  This type of suspension may be the result of scheduled tree trimming, electrical inspection, testing, maintenance, or changes/upgrades to network equipment.</w:t>
      </w:r>
    </w:p>
    <w:p w14:paraId="52104DCD" w14:textId="77777777" w:rsidR="00D44826" w:rsidRDefault="00D44826" w:rsidP="00D44826">
      <w:pPr>
        <w:pStyle w:val="List"/>
        <w:ind w:left="1440"/>
      </w:pPr>
      <w:r>
        <w:lastRenderedPageBreak/>
        <w:t>(b)</w:t>
      </w:r>
      <w:r>
        <w:tab/>
        <w:t xml:space="preserve">An outage has occurred at the Customer's </w:t>
      </w:r>
      <w:r w:rsidRPr="0029281B">
        <w:t>Service Address,</w:t>
      </w:r>
      <w:r>
        <w:t xml:space="preserve"> but it was not planned or previously scheduled.  Such a suspension is normally needed to remedy a dangerous electrical condition that exists at the Customer's address due to an event or activity such as a fire, meter tampering, or theft of service.</w:t>
      </w:r>
    </w:p>
    <w:p w14:paraId="56858EFC" w14:textId="77777777" w:rsidR="00D44826" w:rsidRDefault="00D44826" w:rsidP="00D44826">
      <w:pPr>
        <w:pStyle w:val="List"/>
        <w:ind w:left="1440"/>
      </w:pPr>
      <w:r>
        <w:t>(c)</w:t>
      </w:r>
      <w:r>
        <w:tab/>
        <w:t>For circumstances when a CR, the Customer, or authorized legal authority (county, city, fire, or police personnel) requests disconnection and meter removal because a structure has been destroyed or demolished, or the TDSP has found the meter removed by an unknown Entity, or has removed the meter for unsafe conditions, the TDSP will send a 650_04 transaction.  In events where the CR receives a 650_04 transaction indicating that service to the Premise has been</w:t>
      </w:r>
      <w:r w:rsidRPr="004E6D3F">
        <w:t xml:space="preserve"> </w:t>
      </w:r>
      <w:r>
        <w:t>permanently suspended by the TDSP for one of the reasons indicated above, the CR will send an 814_24, Move Out Request, to the TDSP within ten Retail Business Days.</w:t>
      </w:r>
    </w:p>
    <w:p w14:paraId="5CCB3E66" w14:textId="77777777" w:rsidR="00D44826" w:rsidRDefault="00D44826" w:rsidP="00D44826">
      <w:pPr>
        <w:pStyle w:val="List"/>
        <w:ind w:left="1440"/>
      </w:pPr>
      <w:r>
        <w:t>(d)</w:t>
      </w:r>
      <w:r>
        <w:tab/>
        <w:t>Just like a suspension is scheduled or requested it can also be cancelled.  If the suspension request is cancelled for any reason, the TDSP will create a 650_04 transaction indicating that the suspension has been cancelled and send a 650_04 transaction to the CR for every ESI ID that would have been affected by the outage.</w:t>
      </w:r>
    </w:p>
    <w:p w14:paraId="7C25BB9F" w14:textId="77777777" w:rsidR="00DD2DA2" w:rsidRDefault="00D44826">
      <w:pPr>
        <w:pStyle w:val="BodyText"/>
        <w:ind w:left="720" w:hanging="720"/>
      </w:pPr>
      <w:r w:rsidRPr="00EF045F">
        <w:t>(2)</w:t>
      </w:r>
      <w:r w:rsidRPr="00EF045F">
        <w:tab/>
        <w:t xml:space="preserve">To notify the CR of a suspension of delivery service, the TDSP sends Notice to the CR using the 650_04 transaction.  </w:t>
      </w:r>
    </w:p>
    <w:p w14:paraId="4E9BCA88" w14:textId="77777777" w:rsidR="00D44826" w:rsidRDefault="00D44826" w:rsidP="00D44826">
      <w:pPr>
        <w:pStyle w:val="H4"/>
      </w:pPr>
      <w:bookmarkStart w:id="7" w:name="_Toc326656523"/>
      <w:r>
        <w:t>24.1.2.2</w:t>
      </w:r>
      <w:r>
        <w:tab/>
        <w:t>Cancellation</w:t>
      </w:r>
      <w:bookmarkEnd w:id="7"/>
    </w:p>
    <w:p w14:paraId="49B5A257" w14:textId="77777777" w:rsidR="00DD2DA2" w:rsidRPr="00D44826" w:rsidRDefault="00975D6F" w:rsidP="00A104D6">
      <w:pPr>
        <w:pStyle w:val="List"/>
      </w:pPr>
      <w:r>
        <w:rPr>
          <w:iCs/>
        </w:rPr>
        <w:t>(1)</w:t>
      </w:r>
      <w:r>
        <w:rPr>
          <w:iCs/>
        </w:rPr>
        <w:tab/>
      </w:r>
      <w:r w:rsidR="00D44826" w:rsidRPr="004E6D3F">
        <w:rPr>
          <w:iCs/>
        </w:rPr>
        <w:t xml:space="preserve">To notify the CR of a cancellation of the Notification of suspension of delivery service, the TDSP </w:t>
      </w:r>
      <w:r w:rsidR="00D44826" w:rsidRPr="00975D6F">
        <w:t>sends</w:t>
      </w:r>
      <w:r w:rsidR="00D44826" w:rsidRPr="004E6D3F">
        <w:rPr>
          <w:iCs/>
        </w:rPr>
        <w:t xml:space="preserve"> Notice to the CR using the 650_04, Planned or Unplanned Outage, for each ESI ID that would otherwise have been affected by the outage.</w:t>
      </w:r>
    </w:p>
    <w:p w14:paraId="5821C2C3" w14:textId="77777777" w:rsidR="00D44826" w:rsidRPr="00013B4F" w:rsidRDefault="00D44826" w:rsidP="00D44826">
      <w:pPr>
        <w:keepNext/>
        <w:tabs>
          <w:tab w:val="left" w:pos="1080"/>
        </w:tabs>
        <w:spacing w:before="240" w:after="240"/>
        <w:ind w:left="1080" w:hanging="1080"/>
        <w:outlineLvl w:val="2"/>
        <w:rPr>
          <w:b/>
          <w:bCs/>
          <w:i/>
          <w:szCs w:val="20"/>
        </w:rPr>
      </w:pPr>
      <w:bookmarkStart w:id="8" w:name="_Toc326656524"/>
      <w:r w:rsidRPr="00013B4F">
        <w:rPr>
          <w:b/>
          <w:bCs/>
          <w:i/>
          <w:szCs w:val="20"/>
        </w:rPr>
        <w:t>24.1.3</w:t>
      </w:r>
      <w:r w:rsidRPr="00013B4F">
        <w:rPr>
          <w:b/>
          <w:bCs/>
          <w:i/>
          <w:szCs w:val="20"/>
        </w:rPr>
        <w:tab/>
        <w:t>Switch Hold Indicator</w:t>
      </w:r>
      <w:bookmarkEnd w:id="8"/>
      <w:r w:rsidRPr="00013B4F">
        <w:rPr>
          <w:b/>
          <w:bCs/>
          <w:i/>
          <w:szCs w:val="20"/>
        </w:rPr>
        <w:t xml:space="preserve"> </w:t>
      </w:r>
    </w:p>
    <w:p w14:paraId="2239A6E8" w14:textId="77777777" w:rsidR="00D44826" w:rsidRPr="009E1330" w:rsidRDefault="00D44826" w:rsidP="00D44826">
      <w:pPr>
        <w:pStyle w:val="H4"/>
      </w:pPr>
      <w:bookmarkStart w:id="9" w:name="_Toc326656525"/>
      <w:r>
        <w:t>24.1.3.1</w:t>
      </w:r>
      <w:r>
        <w:tab/>
      </w:r>
      <w:r w:rsidRPr="009E1330">
        <w:t>Tampering Switch Hold</w:t>
      </w:r>
      <w:bookmarkEnd w:id="9"/>
    </w:p>
    <w:p w14:paraId="18C4D39F" w14:textId="77777777" w:rsidR="00D44826" w:rsidRPr="009E1330" w:rsidRDefault="00D44826" w:rsidP="00FB46E2">
      <w:pPr>
        <w:pStyle w:val="List"/>
      </w:pPr>
      <w:r>
        <w:t>(1)</w:t>
      </w:r>
      <w:r>
        <w:tab/>
        <w:t>A tampering switch hold i</w:t>
      </w:r>
      <w:r w:rsidRPr="009E1330">
        <w:t>s used when tampering has been determined to have occurred</w:t>
      </w:r>
      <w:r>
        <w:t xml:space="preserve">. </w:t>
      </w:r>
      <w:r w:rsidRPr="009E1330">
        <w:t xml:space="preserve"> </w:t>
      </w:r>
      <w:r>
        <w:t>A</w:t>
      </w:r>
      <w:r w:rsidRPr="009E1330">
        <w:t xml:space="preserve"> switch hold will be placed on the ESI ID in accordance with </w:t>
      </w:r>
      <w:r w:rsidRPr="00716824">
        <w:t xml:space="preserve">P.U.C. </w:t>
      </w:r>
      <w:r w:rsidRPr="00FB46E2">
        <w:rPr>
          <w:smallCaps/>
        </w:rPr>
        <w:t>Subst</w:t>
      </w:r>
      <w:r w:rsidRPr="00716824">
        <w:t xml:space="preserve">. R. 25.126, </w:t>
      </w:r>
      <w:r w:rsidRPr="009E1330">
        <w:t>Adjustments Due to Non-Compliant Meters and Meter Tampering in Areas Where Customer Choice Has Been Introduced</w:t>
      </w:r>
      <w:r w:rsidRPr="00716824">
        <w:t xml:space="preserve">.  </w:t>
      </w:r>
    </w:p>
    <w:p w14:paraId="51F73D39" w14:textId="77777777" w:rsidR="00D44826" w:rsidRPr="00FB46E2" w:rsidRDefault="00D44826" w:rsidP="00FB46E2">
      <w:pPr>
        <w:pStyle w:val="List"/>
      </w:pPr>
      <w:r w:rsidRPr="00FB46E2">
        <w:t>(2)</w:t>
      </w:r>
      <w:r w:rsidRPr="00FB46E2">
        <w:tab/>
        <w:t xml:space="preserve">To remove a </w:t>
      </w:r>
      <w:proofErr w:type="gramStart"/>
      <w:r w:rsidRPr="00FB46E2">
        <w:t>switch</w:t>
      </w:r>
      <w:proofErr w:type="gramEnd"/>
      <w:r w:rsidRPr="00FB46E2">
        <w:t xml:space="preserve"> hold indicator, the CR sends the 650_01, Service Order Request, to the TDSP requesting the removal of the switch hold indicator.  The TDSP will respond with the 650_02, Service Order Response, to the CR acknowledging receipt of the service order request.  Confirmation that the service order request has been completed will be received through the 814_20, ESI ID Maintenance Request.</w:t>
      </w:r>
    </w:p>
    <w:p w14:paraId="14F491F8" w14:textId="77777777" w:rsidR="00D44826" w:rsidRPr="009E1330" w:rsidRDefault="00D44826" w:rsidP="00D44826">
      <w:pPr>
        <w:pStyle w:val="H4"/>
      </w:pPr>
      <w:bookmarkStart w:id="10" w:name="_Toc326656526"/>
      <w:r>
        <w:lastRenderedPageBreak/>
        <w:t>24.1.3.2</w:t>
      </w:r>
      <w:r>
        <w:tab/>
        <w:t>Bill Payment</w:t>
      </w:r>
      <w:r w:rsidRPr="009E1330">
        <w:t xml:space="preserve"> Switch Hold</w:t>
      </w:r>
      <w:bookmarkEnd w:id="10"/>
    </w:p>
    <w:p w14:paraId="05909DE8" w14:textId="77777777" w:rsidR="00D44826" w:rsidRPr="004D0CE1" w:rsidRDefault="00975D6F" w:rsidP="00A104D6">
      <w:pPr>
        <w:pStyle w:val="List"/>
        <w:rPr>
          <w:iCs/>
        </w:rPr>
      </w:pPr>
      <w:r>
        <w:rPr>
          <w:iCs/>
        </w:rPr>
        <w:t>(1)</w:t>
      </w:r>
      <w:r>
        <w:rPr>
          <w:iCs/>
        </w:rPr>
        <w:tab/>
      </w:r>
      <w:r w:rsidR="00D44826" w:rsidRPr="004D0CE1">
        <w:rPr>
          <w:iCs/>
        </w:rPr>
        <w:t xml:space="preserve">A </w:t>
      </w:r>
      <w:r w:rsidR="00D44826" w:rsidRPr="00FB46E2">
        <w:rPr>
          <w:iCs/>
        </w:rPr>
        <w:t>bill</w:t>
      </w:r>
      <w:r w:rsidR="00D44826" w:rsidRPr="004D0CE1">
        <w:rPr>
          <w:iCs/>
        </w:rPr>
        <w:t xml:space="preserve"> </w:t>
      </w:r>
      <w:r w:rsidR="00D44826">
        <w:rPr>
          <w:iCs/>
        </w:rPr>
        <w:t>p</w:t>
      </w:r>
      <w:r w:rsidR="00D44826" w:rsidRPr="004D0CE1">
        <w:rPr>
          <w:iCs/>
        </w:rPr>
        <w:t xml:space="preserve">ayment </w:t>
      </w:r>
      <w:r w:rsidR="00D44826">
        <w:rPr>
          <w:iCs/>
        </w:rPr>
        <w:t>s</w:t>
      </w:r>
      <w:r w:rsidR="00D44826" w:rsidRPr="004D0CE1">
        <w:rPr>
          <w:iCs/>
        </w:rPr>
        <w:t xml:space="preserve">witch </w:t>
      </w:r>
      <w:r w:rsidR="00D44826">
        <w:rPr>
          <w:iCs/>
        </w:rPr>
        <w:t>h</w:t>
      </w:r>
      <w:r w:rsidR="00D44826" w:rsidRPr="004D0CE1">
        <w:rPr>
          <w:iCs/>
        </w:rPr>
        <w:t xml:space="preserve">old is used when a </w:t>
      </w:r>
      <w:r w:rsidR="00D44826">
        <w:rPr>
          <w:iCs/>
        </w:rPr>
        <w:t>C</w:t>
      </w:r>
      <w:r w:rsidR="00D44826" w:rsidRPr="004D0CE1">
        <w:rPr>
          <w:iCs/>
        </w:rPr>
        <w:t xml:space="preserve">ustomer has entered into a payment agreement with their </w:t>
      </w:r>
      <w:r w:rsidR="00D44826" w:rsidRPr="00975D6F">
        <w:t>current</w:t>
      </w:r>
      <w:r w:rsidR="00D44826" w:rsidRPr="004D0CE1">
        <w:rPr>
          <w:iCs/>
        </w:rPr>
        <w:t xml:space="preserve"> CR</w:t>
      </w:r>
      <w:r w:rsidR="00D44826">
        <w:rPr>
          <w:iCs/>
        </w:rPr>
        <w:t xml:space="preserve">. </w:t>
      </w:r>
      <w:r w:rsidR="00D44826" w:rsidRPr="004D0CE1">
        <w:rPr>
          <w:iCs/>
        </w:rPr>
        <w:t xml:space="preserve"> </w:t>
      </w:r>
      <w:r w:rsidR="00D44826">
        <w:rPr>
          <w:iCs/>
        </w:rPr>
        <w:t xml:space="preserve">A </w:t>
      </w:r>
      <w:r w:rsidR="00D44826" w:rsidRPr="004D0CE1">
        <w:rPr>
          <w:iCs/>
        </w:rPr>
        <w:t xml:space="preserve">switch hold will be placed on the ESI ID in accordance with P.U.C. </w:t>
      </w:r>
      <w:r w:rsidR="00D44826" w:rsidRPr="008B77DE">
        <w:rPr>
          <w:iCs/>
          <w:smallCaps/>
        </w:rPr>
        <w:t>Subst</w:t>
      </w:r>
      <w:r w:rsidR="00D44826" w:rsidRPr="004D0CE1">
        <w:rPr>
          <w:iCs/>
        </w:rPr>
        <w:t xml:space="preserve">. R. 25.480, Bill </w:t>
      </w:r>
      <w:proofErr w:type="gramStart"/>
      <w:r w:rsidR="00D44826" w:rsidRPr="004D0CE1">
        <w:rPr>
          <w:iCs/>
        </w:rPr>
        <w:t>Payment</w:t>
      </w:r>
      <w:proofErr w:type="gramEnd"/>
      <w:r w:rsidR="00D44826" w:rsidRPr="004D0CE1">
        <w:rPr>
          <w:iCs/>
        </w:rPr>
        <w:t xml:space="preserve"> and Adjustments.  </w:t>
      </w:r>
    </w:p>
    <w:p w14:paraId="18067359" w14:textId="77777777" w:rsidR="00D44826" w:rsidRPr="009E1330" w:rsidRDefault="00D44826" w:rsidP="00D44826">
      <w:pPr>
        <w:pStyle w:val="List"/>
        <w:ind w:left="1440"/>
      </w:pPr>
      <w:r w:rsidRPr="009E1330">
        <w:t>(a)</w:t>
      </w:r>
      <w:r>
        <w:tab/>
      </w:r>
      <w:r w:rsidRPr="009E1330">
        <w:t xml:space="preserve">To add a </w:t>
      </w:r>
      <w:proofErr w:type="gramStart"/>
      <w:r w:rsidRPr="009E1330">
        <w:t>switch</w:t>
      </w:r>
      <w:proofErr w:type="gramEnd"/>
      <w:r w:rsidRPr="009E1330">
        <w:t xml:space="preserve"> hold </w:t>
      </w:r>
      <w:r>
        <w:t>indicator</w:t>
      </w:r>
      <w:r w:rsidRPr="009E1330">
        <w:t xml:space="preserve">, the CR sends the 650_01, Service Order Request, to the TDSP requesting the addition of the switch hold </w:t>
      </w:r>
      <w:r>
        <w:t>indicator</w:t>
      </w:r>
      <w:r w:rsidRPr="009E1330">
        <w:t xml:space="preserve">. </w:t>
      </w:r>
      <w:r>
        <w:t xml:space="preserve"> </w:t>
      </w:r>
      <w:r w:rsidRPr="009E1330">
        <w:t xml:space="preserve">The TDSP will respond with the 650_02, Service Order </w:t>
      </w:r>
      <w:r>
        <w:t>Response</w:t>
      </w:r>
      <w:r w:rsidRPr="009E1330">
        <w:t xml:space="preserve">, to the CR acknowledging receipt of the service order request. </w:t>
      </w:r>
      <w:r>
        <w:t xml:space="preserve"> Confirmation that the service order request has been completed will be received through the 814_20, ESI ID Maintenance Request.  </w:t>
      </w:r>
    </w:p>
    <w:p w14:paraId="4A83DB4C" w14:textId="77777777" w:rsidR="004B43AD" w:rsidRPr="00D44826" w:rsidRDefault="00D44826" w:rsidP="00FB46E2">
      <w:pPr>
        <w:pStyle w:val="List"/>
        <w:ind w:left="1440"/>
      </w:pPr>
      <w:r w:rsidRPr="00D44826">
        <w:t>(b)</w:t>
      </w:r>
      <w:r w:rsidRPr="00D44826">
        <w:tab/>
        <w:t xml:space="preserve">To remove a </w:t>
      </w:r>
      <w:proofErr w:type="gramStart"/>
      <w:r w:rsidRPr="00D44826">
        <w:t>switch</w:t>
      </w:r>
      <w:proofErr w:type="gramEnd"/>
      <w:r w:rsidRPr="00D44826">
        <w:t xml:space="preserve"> hold indicator, the CR sends the 650_01 to the TDSP requesting the removal of the switch hold indicator.  The TDSP will respond with the 650_02</w:t>
      </w:r>
      <w:r w:rsidR="002C6569">
        <w:t xml:space="preserve"> </w:t>
      </w:r>
      <w:r w:rsidRPr="00D44826">
        <w:t>response to the CR acknowledging receipt of the service order request.  Confirmation that the service order request has been completed will be received through the 814_20 transaction.</w:t>
      </w:r>
    </w:p>
    <w:p w14:paraId="3F80D4C4" w14:textId="77777777" w:rsidR="00B428A6" w:rsidRDefault="00B428A6" w:rsidP="00B428A6">
      <w:pPr>
        <w:pStyle w:val="H2"/>
        <w:ind w:left="907" w:hanging="907"/>
      </w:pPr>
      <w:bookmarkStart w:id="11" w:name="_Toc191173777"/>
      <w:bookmarkStart w:id="12" w:name="_Toc326656527"/>
      <w:r>
        <w:t>24.2</w:t>
      </w:r>
      <w:r>
        <w:tab/>
        <w:t>Transmission and/or Distribution Service Provider to Competitive Retailer Invoice</w:t>
      </w:r>
      <w:bookmarkEnd w:id="12"/>
      <w:r>
        <w:t xml:space="preserve"> </w:t>
      </w:r>
    </w:p>
    <w:p w14:paraId="4C6F3B18" w14:textId="77777777" w:rsidR="00B428A6" w:rsidRDefault="00B428A6" w:rsidP="009036DA">
      <w:pPr>
        <w:pStyle w:val="List"/>
      </w:pPr>
      <w:r>
        <w:t>(1)</w:t>
      </w:r>
      <w:r>
        <w:tab/>
        <w:t xml:space="preserve">The 810_02, TDSP Invoice, may include monthly delivery charges, discretionary service charges, service order charges, interest credit, and/or late payment charges for the current billing period.  Following a positive acknowledgement indicating the transaction passed American National Standards Institute </w:t>
      </w:r>
      <w:r w:rsidR="00335E4A">
        <w:t xml:space="preserve">Accredited Standards Committee </w:t>
      </w:r>
      <w:r>
        <w:t>(ANSI</w:t>
      </w:r>
      <w:r w:rsidR="00335E4A">
        <w:t xml:space="preserve"> ASC</w:t>
      </w:r>
      <w:r>
        <w:t>) X12 validation, the C</w:t>
      </w:r>
      <w:r w:rsidR="002C6569">
        <w:t xml:space="preserve">ompetitive </w:t>
      </w:r>
      <w:r>
        <w:t>R</w:t>
      </w:r>
      <w:r w:rsidR="002C6569">
        <w:t>etailer (CR)</w:t>
      </w:r>
      <w:r>
        <w:t xml:space="preserve"> shall have five Business Days to send a rejection response in accordance with the Texas Standard Electronic Transaction (TX  SET) Implementation Guides posted on the ERCOT </w:t>
      </w:r>
      <w:r w:rsidR="003C57EC">
        <w:t>website</w:t>
      </w:r>
      <w:r>
        <w:t xml:space="preserve"> and Public Utility Commission of Texas (PUCT) Substantive Rules.  If the CR has not received a response transaction to an enrollment or move</w:t>
      </w:r>
      <w:r w:rsidR="000716F1">
        <w:t xml:space="preserve"> </w:t>
      </w:r>
      <w:r>
        <w:t xml:space="preserve">in, the CR shall not reject the invoice, but will utilize an approved market process (MarkeTrak or dispute process) to resolve the issue.  Details of these processes may be found in the Retail Market Guide Section 7, Market Processes.  </w:t>
      </w:r>
    </w:p>
    <w:p w14:paraId="623AE407" w14:textId="77777777" w:rsidR="00B428A6" w:rsidRDefault="00B428A6" w:rsidP="009036DA">
      <w:pPr>
        <w:pStyle w:val="List"/>
      </w:pPr>
      <w:r>
        <w:t>(2)</w:t>
      </w:r>
      <w:r>
        <w:tab/>
        <w:t>Only one 810_02 transaction may be sent for a single service period, however, any additional 810_02 transaction for the same Electric Service Identifier (ESI ID) may be sent for a late payment charge after the 35</w:t>
      </w:r>
      <w:r w:rsidRPr="00FB46E2">
        <w:rPr>
          <w:vertAlign w:val="superscript"/>
        </w:rPr>
        <w:t>th</w:t>
      </w:r>
      <w:r>
        <w:t xml:space="preserve"> calendar day for an unpaid 810_02 transaction or for interest credit.</w:t>
      </w:r>
    </w:p>
    <w:p w14:paraId="084AD85B" w14:textId="77777777" w:rsidR="00B428A6" w:rsidRDefault="00B428A6" w:rsidP="009036DA">
      <w:pPr>
        <w:pStyle w:val="List"/>
      </w:pPr>
      <w:r>
        <w:t>(3)</w:t>
      </w:r>
      <w:r>
        <w:tab/>
        <w:t xml:space="preserve">The 810_02 may be paired with an 867_03, Monthly </w:t>
      </w:r>
      <w:r w:rsidR="002C6569">
        <w:t xml:space="preserve">or Final </w:t>
      </w:r>
      <w:r>
        <w:t>Usage, to trigger the Customer billing process.</w:t>
      </w:r>
    </w:p>
    <w:p w14:paraId="3A5ADF8B" w14:textId="77777777" w:rsidR="00B428A6" w:rsidRDefault="00B428A6" w:rsidP="009036DA">
      <w:pPr>
        <w:pStyle w:val="List"/>
      </w:pPr>
      <w:r>
        <w:t>(4)</w:t>
      </w:r>
      <w:r>
        <w:tab/>
        <w:t xml:space="preserve">The </w:t>
      </w:r>
      <w:r w:rsidR="00335E4A">
        <w:t>Transmission and/or Distribution Service Provider (</w:t>
      </w:r>
      <w:r>
        <w:t>TDSP</w:t>
      </w:r>
      <w:r w:rsidR="00335E4A">
        <w:t>)</w:t>
      </w:r>
      <w:r>
        <w:t xml:space="preserve"> may cancel and replace (rebill) the original 810_02 transaction.  The values in the cancel transaction will be identical in amounts to what they were on the original invoice.  The replacement (rebilled) invoice now becomes the monthly invoice for that service period.</w:t>
      </w:r>
    </w:p>
    <w:p w14:paraId="4B3EB216" w14:textId="77777777" w:rsidR="00DD2DA2" w:rsidRPr="00B428A6" w:rsidRDefault="00B428A6" w:rsidP="00FB46E2">
      <w:pPr>
        <w:pStyle w:val="BodyText"/>
        <w:ind w:left="720" w:hanging="720"/>
      </w:pPr>
      <w:r w:rsidRPr="009036DA">
        <w:lastRenderedPageBreak/>
        <w:t>(5)</w:t>
      </w:r>
      <w:r w:rsidRPr="009036DA">
        <w:tab/>
        <w:t>If the 867_03 is cancelled after the TDSP has sent the 810_02 transaction, the TDSP will cancel the 810_02 transaction.  If the 810_02 transaction error is not related to consumption, the TDSP may cancel the 810_02 transaction and not the 867_03 transaction.</w:t>
      </w:r>
      <w:bookmarkEnd w:id="11"/>
    </w:p>
    <w:p w14:paraId="3F42C09F" w14:textId="77777777" w:rsidR="00DD2DA2" w:rsidRDefault="00DD2DA2">
      <w:pPr>
        <w:pStyle w:val="H2"/>
      </w:pPr>
      <w:bookmarkStart w:id="13" w:name="_Toc191173778"/>
      <w:bookmarkStart w:id="14" w:name="_Toc326656528"/>
      <w:r>
        <w:t>24.3</w:t>
      </w:r>
      <w:r>
        <w:tab/>
        <w:t>Monthly Remittance</w:t>
      </w:r>
      <w:bookmarkEnd w:id="13"/>
      <w:bookmarkEnd w:id="14"/>
    </w:p>
    <w:p w14:paraId="7EE46A4D" w14:textId="77777777" w:rsidR="00DD2DA2" w:rsidRPr="00FB46E2" w:rsidRDefault="00975D6F" w:rsidP="00A104D6">
      <w:pPr>
        <w:pStyle w:val="BodyText"/>
        <w:ind w:left="720" w:hanging="720"/>
        <w:rPr>
          <w:iCs/>
          <w:szCs w:val="20"/>
        </w:rPr>
      </w:pPr>
      <w:r>
        <w:rPr>
          <w:iCs/>
          <w:szCs w:val="20"/>
        </w:rPr>
        <w:t>(1)</w:t>
      </w:r>
      <w:r>
        <w:rPr>
          <w:iCs/>
          <w:szCs w:val="20"/>
        </w:rPr>
        <w:tab/>
      </w:r>
      <w:r w:rsidR="00DD2DA2" w:rsidRPr="00FB46E2">
        <w:rPr>
          <w:iCs/>
          <w:szCs w:val="20"/>
        </w:rPr>
        <w:t>Transmission and/or Distribution Service Providers (TDSPs) and Competitive Retailers (CR) shall use the following transactions to remit monthly payments.</w:t>
      </w:r>
    </w:p>
    <w:p w14:paraId="1BCF044F" w14:textId="77777777" w:rsidR="00DD2DA2" w:rsidRDefault="00DD2DA2">
      <w:pPr>
        <w:pStyle w:val="H3"/>
      </w:pPr>
      <w:bookmarkStart w:id="15" w:name="_Toc326656529"/>
      <w:r>
        <w:t>24.3.1</w:t>
      </w:r>
      <w:r>
        <w:tab/>
      </w:r>
      <w:r w:rsidR="005810A3">
        <w:t xml:space="preserve">Competitive Retailer to Transmission and/or Distribution Service Provider </w:t>
      </w:r>
      <w:r>
        <w:t>Monthly Remittance Advice</w:t>
      </w:r>
      <w:bookmarkEnd w:id="15"/>
    </w:p>
    <w:p w14:paraId="6FE519BF" w14:textId="77777777" w:rsidR="00DD2DA2" w:rsidRDefault="00DD2DA2" w:rsidP="0026254F">
      <w:pPr>
        <w:pStyle w:val="List"/>
      </w:pPr>
      <w:r>
        <w:t>(1)</w:t>
      </w:r>
      <w:r>
        <w:tab/>
        <w:t>This transaction set, from the CR to the TDSP, is used by the CR to notify the TDSP of payment details related to a specific invoice.</w:t>
      </w:r>
      <w:r w:rsidR="00C85C22">
        <w:t xml:space="preserve"> </w:t>
      </w:r>
      <w:r>
        <w:t xml:space="preserve"> A CR must pass an 820_02, CR Remittance Advice, for every invoice (original, cancel, replacement) received, validated, and accepted by the CR even when a cancel and restatement of usage subsequently cancels the original invoice.</w:t>
      </w:r>
    </w:p>
    <w:p w14:paraId="4319A66D" w14:textId="77777777" w:rsidR="00DD2DA2" w:rsidRDefault="00DD2DA2" w:rsidP="0026254F">
      <w:pPr>
        <w:pStyle w:val="List"/>
      </w:pPr>
      <w:r>
        <w:t>(2)</w:t>
      </w:r>
      <w:r>
        <w:tab/>
        <w:t>Each Market Participant is responsible for ensuring that the data provided in the 820_02</w:t>
      </w:r>
      <w:r w:rsidR="005810A3">
        <w:t xml:space="preserve"> transaction</w:t>
      </w:r>
      <w:r>
        <w:t xml:space="preserve"> is presented in a format that is consistent with market specifications prescribed in the Texas Standard Electronic Transaction (TX SET) Implementation Guide posted on the ERCOT </w:t>
      </w:r>
      <w:r w:rsidR="003C57EC">
        <w:t>website</w:t>
      </w:r>
      <w:r>
        <w:t>.</w:t>
      </w:r>
    </w:p>
    <w:p w14:paraId="4A128F1F" w14:textId="77777777" w:rsidR="00DD2DA2" w:rsidRDefault="00DD2DA2">
      <w:pPr>
        <w:pStyle w:val="H4"/>
      </w:pPr>
      <w:bookmarkStart w:id="16" w:name="_Toc326656530"/>
      <w:r>
        <w:t>24.3.1.1</w:t>
      </w:r>
      <w:r>
        <w:tab/>
        <w:t>Remittance Advice Total Matches Payment Total</w:t>
      </w:r>
      <w:bookmarkEnd w:id="16"/>
    </w:p>
    <w:p w14:paraId="450964D7" w14:textId="77777777" w:rsidR="00DD2DA2" w:rsidRPr="00FB46E2" w:rsidRDefault="00975D6F" w:rsidP="00A104D6">
      <w:pPr>
        <w:pStyle w:val="List"/>
        <w:rPr>
          <w:iCs/>
        </w:rPr>
      </w:pPr>
      <w:r>
        <w:rPr>
          <w:iCs/>
        </w:rPr>
        <w:t>(1)</w:t>
      </w:r>
      <w:r>
        <w:rPr>
          <w:iCs/>
        </w:rPr>
        <w:tab/>
      </w:r>
      <w:r w:rsidR="00DD2DA2" w:rsidRPr="00FB46E2">
        <w:rPr>
          <w:iCs/>
        </w:rPr>
        <w:t xml:space="preserve">The remittance advice must match the total payment.  The CR must ensure that the remittance advice and </w:t>
      </w:r>
      <w:r w:rsidR="00DD2DA2" w:rsidRPr="00975D6F">
        <w:t>the</w:t>
      </w:r>
      <w:r w:rsidR="00DD2DA2" w:rsidRPr="00FB46E2">
        <w:rPr>
          <w:iCs/>
        </w:rPr>
        <w:t xml:space="preserve"> payment instructions have the same (matching) trace/reference numbers.  A one-to-one correlation must be maintained between payments and remittance advices.  It is acceptable for one payment and one remittance advice to include many invoices.  It is not acceptable for several payments to reference one remittance advice. </w:t>
      </w:r>
      <w:r w:rsidR="00920F18" w:rsidRPr="00FB46E2">
        <w:rPr>
          <w:iCs/>
        </w:rPr>
        <w:t xml:space="preserve"> </w:t>
      </w:r>
      <w:r w:rsidR="00DD2DA2" w:rsidRPr="00FB46E2">
        <w:rPr>
          <w:iCs/>
        </w:rPr>
        <w:t xml:space="preserve">Every payment trace/reference number sent via the bank must match a remittance advice trace/reference number sent to the TDSP. </w:t>
      </w:r>
      <w:r w:rsidR="00920F18" w:rsidRPr="00FB46E2">
        <w:rPr>
          <w:iCs/>
        </w:rPr>
        <w:t xml:space="preserve"> </w:t>
      </w:r>
      <w:r w:rsidR="00DD2DA2" w:rsidRPr="00FB46E2">
        <w:rPr>
          <w:iCs/>
        </w:rPr>
        <w:t>The trace/reference number must be unique for each associated payment and remittance advice.</w:t>
      </w:r>
    </w:p>
    <w:p w14:paraId="146E5803" w14:textId="77777777" w:rsidR="00DD2DA2" w:rsidRDefault="00DD2DA2">
      <w:pPr>
        <w:pStyle w:val="H4"/>
      </w:pPr>
      <w:bookmarkStart w:id="17" w:name="_Toc326656531"/>
      <w:r>
        <w:t>24.3.1.2</w:t>
      </w:r>
      <w:r>
        <w:tab/>
        <w:t>Negative Remittance Advice</w:t>
      </w:r>
      <w:bookmarkEnd w:id="17"/>
    </w:p>
    <w:p w14:paraId="68331EA3" w14:textId="77777777" w:rsidR="00DD2DA2" w:rsidRPr="00FB46E2" w:rsidRDefault="00975D6F" w:rsidP="00A104D6">
      <w:pPr>
        <w:pStyle w:val="List"/>
        <w:rPr>
          <w:iCs/>
        </w:rPr>
      </w:pPr>
      <w:r>
        <w:rPr>
          <w:iCs/>
        </w:rPr>
        <w:t>(1)</w:t>
      </w:r>
      <w:r>
        <w:rPr>
          <w:iCs/>
        </w:rPr>
        <w:tab/>
      </w:r>
      <w:r w:rsidR="00DD2DA2" w:rsidRPr="00FB46E2">
        <w:rPr>
          <w:iCs/>
        </w:rPr>
        <w:t xml:space="preserve">A negative remittance advice is not allowed in the Texas retail market.  If the adjustments are larger than the payments (creating a negative remittance advice), payments must be held until the CR can submit a net positive remittance advice as a credit against the overpayment.  It is not necessary for a CR to hold an adjustment amount until the CR has accumulated sufficient invoices to result in a complete offset of the overpayment.  </w:t>
      </w:r>
      <w:proofErr w:type="gramStart"/>
      <w:r w:rsidR="00DD2DA2" w:rsidRPr="00FB46E2">
        <w:rPr>
          <w:iCs/>
        </w:rPr>
        <w:t>Instead</w:t>
      </w:r>
      <w:proofErr w:type="gramEnd"/>
      <w:r w:rsidR="00DD2DA2" w:rsidRPr="00FB46E2">
        <w:rPr>
          <w:iCs/>
        </w:rPr>
        <w:t xml:space="preserve"> the CR may use the adjustment amount by taking a partial credit on another Invoice.  If </w:t>
      </w:r>
      <w:r w:rsidR="00DD2DA2" w:rsidRPr="00FB46E2">
        <w:rPr>
          <w:iCs/>
        </w:rPr>
        <w:lastRenderedPageBreak/>
        <w:t>the CR has determined that the negative remittance cannot be offset within a reasonable amount of time, the CR will contact the TDSP to resolve the situation.</w:t>
      </w:r>
    </w:p>
    <w:p w14:paraId="0C2B5239" w14:textId="77777777" w:rsidR="00DD2DA2" w:rsidRDefault="00DD2DA2">
      <w:pPr>
        <w:pStyle w:val="H4"/>
      </w:pPr>
      <w:bookmarkStart w:id="18" w:name="_Toc326656532"/>
      <w:r>
        <w:t>24.3.1.3</w:t>
      </w:r>
      <w:r>
        <w:tab/>
        <w:t>Acceptable Payment Methods</w:t>
      </w:r>
      <w:bookmarkEnd w:id="18"/>
    </w:p>
    <w:p w14:paraId="74FE039C" w14:textId="77777777" w:rsidR="00DD2DA2" w:rsidRPr="00FB46E2" w:rsidRDefault="00975D6F" w:rsidP="00A104D6">
      <w:pPr>
        <w:pStyle w:val="List"/>
        <w:rPr>
          <w:iCs/>
        </w:rPr>
      </w:pPr>
      <w:r>
        <w:rPr>
          <w:iCs/>
        </w:rPr>
        <w:t>(1)</w:t>
      </w:r>
      <w:r>
        <w:rPr>
          <w:iCs/>
        </w:rPr>
        <w:tab/>
      </w:r>
      <w:r w:rsidR="00DD2DA2" w:rsidRPr="00FB46E2">
        <w:rPr>
          <w:iCs/>
        </w:rPr>
        <w:t>Acceptable payment methods are CCD+, CTX and Fed wire.</w:t>
      </w:r>
    </w:p>
    <w:p w14:paraId="4FDD6CA2" w14:textId="77777777" w:rsidR="00DD2DA2" w:rsidRDefault="00DD2DA2">
      <w:pPr>
        <w:pStyle w:val="H4"/>
      </w:pPr>
      <w:bookmarkStart w:id="19" w:name="_Toc326656533"/>
      <w:r>
        <w:t>24.3.1.4</w:t>
      </w:r>
      <w:r>
        <w:tab/>
        <w:t>Warehousing an 820 Remittance Advice</w:t>
      </w:r>
      <w:bookmarkEnd w:id="19"/>
    </w:p>
    <w:p w14:paraId="7C9D7184" w14:textId="77777777" w:rsidR="00DD2DA2" w:rsidRPr="00FB46E2" w:rsidRDefault="00975D6F" w:rsidP="00A104D6">
      <w:pPr>
        <w:pStyle w:val="List"/>
        <w:rPr>
          <w:iCs/>
        </w:rPr>
      </w:pPr>
      <w:r>
        <w:rPr>
          <w:iCs/>
        </w:rPr>
        <w:t>(1)</w:t>
      </w:r>
      <w:r>
        <w:rPr>
          <w:iCs/>
        </w:rPr>
        <w:tab/>
      </w:r>
      <w:r w:rsidR="00DD2DA2" w:rsidRPr="00FB46E2">
        <w:rPr>
          <w:iCs/>
        </w:rPr>
        <w:t>When the payment instruction and the remittance advice are generated separately, the TDSP will warehouse the 820_02</w:t>
      </w:r>
      <w:r w:rsidR="005810A3" w:rsidRPr="00FB46E2">
        <w:rPr>
          <w:iCs/>
        </w:rPr>
        <w:t>, CR Remittance Advice,</w:t>
      </w:r>
      <w:r w:rsidR="00DD2DA2" w:rsidRPr="00FB46E2">
        <w:rPr>
          <w:iCs/>
        </w:rPr>
        <w:t xml:space="preserve"> until the payment instructions received by the CR’s bank cause the money to be deposited in the TDSP’s account.  The payment instruction and remittance shall be transmitted within five Business Days of each other.</w:t>
      </w:r>
      <w:r w:rsidR="00C85C22" w:rsidRPr="00FB46E2">
        <w:rPr>
          <w:iCs/>
        </w:rPr>
        <w:t xml:space="preserve"> </w:t>
      </w:r>
      <w:r w:rsidR="00DD2DA2" w:rsidRPr="00FB46E2">
        <w:rPr>
          <w:iCs/>
        </w:rPr>
        <w:t xml:space="preserve"> The remittance advice and payment instruction dollar amount must balance to the corresponding transaction. </w:t>
      </w:r>
      <w:r w:rsidR="00C85C22" w:rsidRPr="00FB46E2">
        <w:rPr>
          <w:iCs/>
        </w:rPr>
        <w:t xml:space="preserve"> </w:t>
      </w:r>
      <w:r w:rsidR="00DD2DA2" w:rsidRPr="00FB46E2">
        <w:rPr>
          <w:iCs/>
        </w:rPr>
        <w:t>Payment will be considered received on the date company’s bank receives the electronic funds transfer or wire transfer and the appropriate remittance advice is received by the company in accordance with the requirements specified by Applicable Legal Authorities (ALA).</w:t>
      </w:r>
    </w:p>
    <w:p w14:paraId="3F18E005" w14:textId="77777777" w:rsidR="00B428A6" w:rsidRDefault="00B428A6" w:rsidP="00B428A6">
      <w:pPr>
        <w:pStyle w:val="H2"/>
      </w:pPr>
      <w:bookmarkStart w:id="20" w:name="_Toc191173779"/>
      <w:bookmarkStart w:id="21" w:name="_Toc326656534"/>
      <w:r>
        <w:t>24.4</w:t>
      </w:r>
      <w:r>
        <w:tab/>
      </w:r>
      <w:r w:rsidRPr="005810A3">
        <w:t>Municipally Owned Utility/Electric Cooperative Transmission and/or Distribution Service Provider to Competitive Retailer Monthly Remittance Advice</w:t>
      </w:r>
      <w:bookmarkEnd w:id="21"/>
    </w:p>
    <w:p w14:paraId="3856FE74" w14:textId="40E9B29E" w:rsidR="00B428A6" w:rsidRDefault="00B428A6" w:rsidP="0026254F">
      <w:pPr>
        <w:pStyle w:val="List"/>
      </w:pPr>
      <w:r>
        <w:t>(1)</w:t>
      </w:r>
      <w:r>
        <w:tab/>
        <w:t>This transaction set, from a Municipally Owned Utility (MOU) Transmission and/or Distribution Service Provider (TDSP) or an Electric Cooperative (EC) TDSP (MOU/EC TDSP) to the Competitive Retailer (CR) is used by the MOU/EC TDSP to notify the CR of payment details related to a specific Invoice</w:t>
      </w:r>
      <w:r w:rsidR="00975D6F">
        <w:rPr>
          <w:iCs/>
        </w:rPr>
        <w:t xml:space="preserve">, unless otherwise indicated in Retail Market Guide Section 8.1, </w:t>
      </w:r>
      <w:r w:rsidR="00975D6F" w:rsidRPr="00E47CA3">
        <w:rPr>
          <w:iCs/>
        </w:rPr>
        <w:t>Municipally Owned Utility and/or Electric Cooperative Transmission and/or Distribution Service Provider Market</w:t>
      </w:r>
      <w:r>
        <w:t>.  A</w:t>
      </w:r>
      <w:r w:rsidR="00975D6F">
        <w:t>n</w:t>
      </w:r>
      <w:r>
        <w:t xml:space="preserve"> MOU/EC TDSP must pass an 820_03, MOU/EC Remittance Advice, for every CR account number even when a cancel and restatement of usage subsequently cancels the original invoice. </w:t>
      </w:r>
    </w:p>
    <w:p w14:paraId="7C6C6B6C" w14:textId="77777777" w:rsidR="005810A3" w:rsidRDefault="00B428A6" w:rsidP="005810A3">
      <w:pPr>
        <w:pStyle w:val="BodyText"/>
        <w:ind w:left="720" w:hanging="720"/>
      </w:pPr>
      <w:r w:rsidRPr="0026254F">
        <w:t>(2)</w:t>
      </w:r>
      <w:r w:rsidRPr="0026254F">
        <w:tab/>
        <w:t>Each Market Participant is responsible for ensuring that the data provided in the 820_03 transaction is presented in a format that is consistent with the market specifications in the Texas Standard Electronic Transaction (TX SET) Implementation Guide.</w:t>
      </w:r>
      <w:bookmarkEnd w:id="20"/>
    </w:p>
    <w:p w14:paraId="666212C8" w14:textId="77777777" w:rsidR="00DD2DA2" w:rsidRDefault="00DD2DA2">
      <w:pPr>
        <w:pStyle w:val="H3"/>
      </w:pPr>
      <w:bookmarkStart w:id="22" w:name="_Toc326656535"/>
      <w:r>
        <w:t>24.4.1</w:t>
      </w:r>
      <w:r>
        <w:tab/>
        <w:t>Timing 820 Remittance to CR</w:t>
      </w:r>
      <w:bookmarkEnd w:id="22"/>
    </w:p>
    <w:p w14:paraId="5B7768EF" w14:textId="77777777" w:rsidR="00DD2DA2" w:rsidRPr="00FB46E2" w:rsidRDefault="00975D6F" w:rsidP="00A104D6">
      <w:pPr>
        <w:pStyle w:val="BodyText"/>
        <w:ind w:left="720" w:hanging="720"/>
        <w:rPr>
          <w:iCs/>
          <w:szCs w:val="20"/>
        </w:rPr>
      </w:pPr>
      <w:r>
        <w:rPr>
          <w:iCs/>
          <w:szCs w:val="20"/>
        </w:rPr>
        <w:t>(1)</w:t>
      </w:r>
      <w:r>
        <w:rPr>
          <w:iCs/>
          <w:szCs w:val="20"/>
        </w:rPr>
        <w:tab/>
      </w:r>
      <w:r w:rsidR="00DD2DA2" w:rsidRPr="00FB46E2">
        <w:rPr>
          <w:iCs/>
          <w:szCs w:val="20"/>
        </w:rPr>
        <w:t xml:space="preserve">When the payment is received from the retail Customer on behalf of the CR, MOU/EC TDSP shall send the payment instructions within five Retail Business Days of the due date of the retail </w:t>
      </w:r>
      <w:r w:rsidR="00DD2DA2" w:rsidRPr="00975D6F">
        <w:t>Customer’s</w:t>
      </w:r>
      <w:r w:rsidR="00DD2DA2" w:rsidRPr="00FB46E2">
        <w:rPr>
          <w:iCs/>
          <w:szCs w:val="20"/>
        </w:rPr>
        <w:t xml:space="preserve"> bill, or if the Customer has paid after the due date, five Business Days after the MOU/EC TDSP has received payment.  Payment instruction shall cause the money to be deposited in the CR’s account.  There should not be more than five Business Days difference in the receipt of the payment instruction and the remittance advice.</w:t>
      </w:r>
    </w:p>
    <w:p w14:paraId="0F017058" w14:textId="77777777" w:rsidR="00DD2DA2" w:rsidRDefault="00DD2DA2">
      <w:pPr>
        <w:pStyle w:val="H3"/>
      </w:pPr>
      <w:bookmarkStart w:id="23" w:name="_Toc326656536"/>
      <w:r>
        <w:lastRenderedPageBreak/>
        <w:t>24.4.2</w:t>
      </w:r>
      <w:r>
        <w:tab/>
        <w:t>Remittance Advice Total Matches Payment Total</w:t>
      </w:r>
      <w:bookmarkEnd w:id="23"/>
    </w:p>
    <w:p w14:paraId="453F9970" w14:textId="77777777" w:rsidR="00DD2DA2" w:rsidRPr="00FB46E2" w:rsidRDefault="00975D6F" w:rsidP="00A104D6">
      <w:pPr>
        <w:pStyle w:val="BodyText"/>
        <w:ind w:left="720" w:hanging="720"/>
        <w:rPr>
          <w:iCs/>
          <w:szCs w:val="20"/>
        </w:rPr>
      </w:pPr>
      <w:r>
        <w:rPr>
          <w:iCs/>
          <w:szCs w:val="20"/>
        </w:rPr>
        <w:t>(1)</w:t>
      </w:r>
      <w:r>
        <w:rPr>
          <w:iCs/>
          <w:szCs w:val="20"/>
        </w:rPr>
        <w:tab/>
      </w:r>
      <w:r w:rsidR="00DD2DA2" w:rsidRPr="00FB46E2">
        <w:rPr>
          <w:iCs/>
          <w:szCs w:val="20"/>
        </w:rPr>
        <w:t>The remittance advice must match the total payment.  The MOU/EC TDSP must ensure that the remittance advice and the payment instructions have the same (matching) trace/reference numbers.  A one-to-one correlation must be maintained between payments and remittance advice.  It is acceptable for one payment and one remittance advice to include many invoices.  It is not acceptable for several payments to reference one remittance advice.  Every payment trace/reference number sent via the bank must match a remittance advice trace/reference number sent to the CR.  The trace/reference number must be unique for each associated payment and remittance advice.</w:t>
      </w:r>
    </w:p>
    <w:p w14:paraId="33EE43BE" w14:textId="77777777" w:rsidR="00DD2DA2" w:rsidRDefault="00DD2DA2">
      <w:pPr>
        <w:pStyle w:val="H3"/>
      </w:pPr>
      <w:bookmarkStart w:id="24" w:name="_Toc326656537"/>
      <w:r>
        <w:t>24.4.3</w:t>
      </w:r>
      <w:r>
        <w:tab/>
        <w:t>Negative Remittance Advice</w:t>
      </w:r>
      <w:bookmarkEnd w:id="24"/>
    </w:p>
    <w:p w14:paraId="56A992A2" w14:textId="77777777" w:rsidR="00DD2DA2" w:rsidRPr="00FB46E2" w:rsidRDefault="00975D6F" w:rsidP="00A104D6">
      <w:pPr>
        <w:pStyle w:val="BodyText"/>
        <w:ind w:left="720" w:hanging="720"/>
        <w:rPr>
          <w:iCs/>
          <w:szCs w:val="20"/>
        </w:rPr>
      </w:pPr>
      <w:r>
        <w:rPr>
          <w:iCs/>
          <w:szCs w:val="20"/>
        </w:rPr>
        <w:t>(1)</w:t>
      </w:r>
      <w:r>
        <w:rPr>
          <w:iCs/>
          <w:szCs w:val="20"/>
        </w:rPr>
        <w:tab/>
      </w:r>
      <w:r w:rsidR="00DD2DA2" w:rsidRPr="00FB46E2">
        <w:rPr>
          <w:iCs/>
          <w:szCs w:val="20"/>
        </w:rPr>
        <w:t xml:space="preserve">A negative remittance advice is not allowed in the Texas market.  If the adjustments are larger than the payments (creating a negative remittance advice), payment must be held until the MOU/EC TDSP can submit a net positive remittance advice as a credit against the overpayment.  It is not necessary for a MOU/EC TDSP to hold an adjustment amount until the MOU/EC TDSP has accumulated sufficient Invoices to result in a complete offset of the overpayment.  </w:t>
      </w:r>
      <w:proofErr w:type="gramStart"/>
      <w:r w:rsidR="00DD2DA2" w:rsidRPr="00FB46E2">
        <w:rPr>
          <w:iCs/>
          <w:szCs w:val="20"/>
        </w:rPr>
        <w:t>Instead</w:t>
      </w:r>
      <w:proofErr w:type="gramEnd"/>
      <w:r w:rsidR="00DD2DA2" w:rsidRPr="00FB46E2">
        <w:rPr>
          <w:iCs/>
          <w:szCs w:val="20"/>
        </w:rPr>
        <w:t xml:space="preserve"> the MOU/EC TDSP may use the adjustment amount by taking a partial credit on another Invoice.  If the MOU/EC TDSP has determined that the negative remittance cannot be offset within a reasonable amount of time, the MOU/EC TDSP will contact the CR to resolve the situation.</w:t>
      </w:r>
    </w:p>
    <w:p w14:paraId="426B3D0C" w14:textId="77777777" w:rsidR="00DD2DA2" w:rsidRDefault="00DD2DA2">
      <w:pPr>
        <w:pStyle w:val="H3"/>
      </w:pPr>
      <w:bookmarkStart w:id="25" w:name="_Toc326656538"/>
      <w:r>
        <w:t>24.4.4</w:t>
      </w:r>
      <w:r>
        <w:tab/>
        <w:t>Acceptable Payment Methods</w:t>
      </w:r>
      <w:bookmarkEnd w:id="25"/>
    </w:p>
    <w:p w14:paraId="2711DA4A" w14:textId="77777777" w:rsidR="00DD2DA2" w:rsidRPr="00FB46E2" w:rsidRDefault="00975D6F" w:rsidP="00A104D6">
      <w:pPr>
        <w:pStyle w:val="BodyText"/>
        <w:ind w:left="720" w:hanging="720"/>
        <w:rPr>
          <w:iCs/>
          <w:szCs w:val="20"/>
        </w:rPr>
      </w:pPr>
      <w:r>
        <w:rPr>
          <w:iCs/>
          <w:szCs w:val="20"/>
        </w:rPr>
        <w:t>(1)</w:t>
      </w:r>
      <w:r>
        <w:rPr>
          <w:iCs/>
          <w:szCs w:val="20"/>
        </w:rPr>
        <w:tab/>
      </w:r>
      <w:r w:rsidR="00DD2DA2" w:rsidRPr="00FB46E2">
        <w:rPr>
          <w:iCs/>
          <w:szCs w:val="20"/>
        </w:rPr>
        <w:t>Acceptable payment instruction methods are CCD+, CTX, check, and Fed wire.</w:t>
      </w:r>
    </w:p>
    <w:p w14:paraId="72F0160E" w14:textId="77777777" w:rsidR="00B428A6" w:rsidRDefault="00B428A6" w:rsidP="00B428A6">
      <w:pPr>
        <w:pStyle w:val="H3"/>
      </w:pPr>
      <w:bookmarkStart w:id="26" w:name="_Toc326656539"/>
      <w:r>
        <w:t>24.4.5</w:t>
      </w:r>
      <w:r>
        <w:tab/>
        <w:t>Warehousing an 820 Remittance Advice</w:t>
      </w:r>
      <w:bookmarkEnd w:id="26"/>
    </w:p>
    <w:p w14:paraId="7F8B1ABB" w14:textId="77777777" w:rsidR="00DD2DA2" w:rsidRDefault="00975D6F" w:rsidP="00A104D6">
      <w:pPr>
        <w:pStyle w:val="BodyText"/>
        <w:ind w:left="720" w:hanging="720"/>
      </w:pPr>
      <w:r>
        <w:rPr>
          <w:iCs/>
          <w:szCs w:val="20"/>
        </w:rPr>
        <w:t>(1)</w:t>
      </w:r>
      <w:r>
        <w:rPr>
          <w:iCs/>
          <w:szCs w:val="20"/>
        </w:rPr>
        <w:tab/>
      </w:r>
      <w:r w:rsidR="00B428A6" w:rsidRPr="009E0FE2">
        <w:rPr>
          <w:iCs/>
          <w:szCs w:val="20"/>
        </w:rPr>
        <w:t>When the payment instruction and the remittance advice are generated separately, the CR may warehouse the 820_03, MOU/EC Remittance Advice, until the payment instructions received by the MOU/EC TDSP’s bank cause the money to be deposited in the CR’s account.</w:t>
      </w:r>
    </w:p>
    <w:p w14:paraId="168D7DAF" w14:textId="77777777" w:rsidR="00DD2DA2" w:rsidRDefault="00DD2DA2">
      <w:pPr>
        <w:pStyle w:val="H2"/>
      </w:pPr>
      <w:bookmarkStart w:id="27" w:name="_Toc191173780"/>
      <w:bookmarkStart w:id="28" w:name="_Toc326656540"/>
      <w:r>
        <w:t>24.5</w:t>
      </w:r>
      <w:r>
        <w:tab/>
        <w:t>Maintain Customer Information Request</w:t>
      </w:r>
      <w:bookmarkEnd w:id="27"/>
      <w:bookmarkEnd w:id="28"/>
    </w:p>
    <w:p w14:paraId="4D1B5EE4" w14:textId="77777777" w:rsidR="00DD2DA2" w:rsidRPr="00FB46E2" w:rsidRDefault="00975D6F" w:rsidP="00A104D6">
      <w:pPr>
        <w:pStyle w:val="BodyText"/>
        <w:ind w:left="720" w:hanging="720"/>
        <w:rPr>
          <w:iCs/>
          <w:szCs w:val="20"/>
        </w:rPr>
      </w:pPr>
      <w:r>
        <w:rPr>
          <w:iCs/>
          <w:szCs w:val="20"/>
        </w:rPr>
        <w:t>(1)</w:t>
      </w:r>
      <w:r>
        <w:rPr>
          <w:iCs/>
          <w:szCs w:val="20"/>
        </w:rPr>
        <w:tab/>
      </w:r>
      <w:r w:rsidR="00DD2DA2" w:rsidRPr="00FB46E2">
        <w:rPr>
          <w:iCs/>
          <w:szCs w:val="20"/>
        </w:rPr>
        <w:t>This transaction set, from a Competitive Retailer (CR) to a Transmission and/or Distribution Service Provider (TDSP), is used for CRs who have chosen Options 2 and 3 concerning service orders and/or outages.  A CR choosing Option 2 or 3 shall be required to provide the TDSP with the information necessary to verify CR’s retail Customer’s identity (name, address, and home or contact telephone number) for a particular point of delivery served by the CR and to continually provide the TDSP updates of such information.</w:t>
      </w:r>
    </w:p>
    <w:p w14:paraId="2E143323" w14:textId="77777777" w:rsidR="00B428A6" w:rsidRDefault="00B428A6" w:rsidP="00B428A6">
      <w:pPr>
        <w:pStyle w:val="H3"/>
      </w:pPr>
      <w:bookmarkStart w:id="29" w:name="_Toc326656541"/>
      <w:r>
        <w:lastRenderedPageBreak/>
        <w:t>24.5.1</w:t>
      </w:r>
      <w:r>
        <w:tab/>
        <w:t>Timing of 814_PC Maintain Customer Information Request from Competitive Retailer</w:t>
      </w:r>
      <w:bookmarkEnd w:id="29"/>
    </w:p>
    <w:p w14:paraId="57FA852E" w14:textId="77777777" w:rsidR="00DD2DA2" w:rsidRDefault="00975D6F" w:rsidP="00A104D6">
      <w:pPr>
        <w:pStyle w:val="BodyText"/>
        <w:ind w:left="720" w:hanging="720"/>
      </w:pPr>
      <w:r>
        <w:rPr>
          <w:iCs/>
          <w:szCs w:val="20"/>
        </w:rPr>
        <w:t>(1)</w:t>
      </w:r>
      <w:r>
        <w:rPr>
          <w:iCs/>
          <w:szCs w:val="20"/>
        </w:rPr>
        <w:tab/>
      </w:r>
      <w:r w:rsidR="00B428A6" w:rsidRPr="009E0FE2">
        <w:rPr>
          <w:iCs/>
          <w:szCs w:val="20"/>
        </w:rPr>
        <w:t>This transaction shall be transmitted from the CR of Record to the TDSP in one Retail Business Day only after the CR has received an 867_04, Initial Meter Read, from the TDSP for that specific move</w:t>
      </w:r>
      <w:r w:rsidR="00C43094" w:rsidRPr="009E0FE2">
        <w:rPr>
          <w:iCs/>
          <w:szCs w:val="20"/>
        </w:rPr>
        <w:t xml:space="preserve"> </w:t>
      </w:r>
      <w:r w:rsidR="00B428A6" w:rsidRPr="009E0FE2">
        <w:rPr>
          <w:iCs/>
          <w:szCs w:val="20"/>
        </w:rPr>
        <w:t>in Customer.  Also, the CR shall not transmit this transaction and/or provide any updates to the TDSP after receiving a final reading via an 867_03, Monthly or Final Usage, for that specific move-out Customer.  The TDSP shall provide the 814_PD, Maintain Customer Information Response, in one Retail Business Day acknowledging receipt of the 814_PC, Maintain Customer Information Request, which would indicate that the TDSP accepts or rejects the transaction.</w:t>
      </w:r>
    </w:p>
    <w:p w14:paraId="40D409C8" w14:textId="77777777" w:rsidR="00DD2DA2" w:rsidRDefault="00DD2DA2">
      <w:pPr>
        <w:pStyle w:val="H2"/>
        <w:numPr>
          <w:ilvl w:val="1"/>
          <w:numId w:val="19"/>
        </w:numPr>
      </w:pPr>
      <w:bookmarkStart w:id="30" w:name="_Toc191173781"/>
      <w:bookmarkStart w:id="31" w:name="_Toc326656542"/>
      <w:r>
        <w:t>24.6</w:t>
      </w:r>
      <w:r>
        <w:tab/>
        <w:t>MOU/EC TDSP to CR Maintain Customer Information Request</w:t>
      </w:r>
      <w:bookmarkEnd w:id="30"/>
      <w:bookmarkEnd w:id="31"/>
    </w:p>
    <w:p w14:paraId="21880FDB" w14:textId="527BBA33" w:rsidR="00DD2DA2" w:rsidRPr="000932E4" w:rsidRDefault="00975D6F" w:rsidP="00A104D6">
      <w:pPr>
        <w:pStyle w:val="BodyText"/>
        <w:ind w:left="720" w:hanging="720"/>
        <w:rPr>
          <w:iCs/>
          <w:szCs w:val="20"/>
        </w:rPr>
      </w:pPr>
      <w:r>
        <w:rPr>
          <w:iCs/>
          <w:szCs w:val="20"/>
        </w:rPr>
        <w:t>(1)</w:t>
      </w:r>
      <w:r>
        <w:rPr>
          <w:iCs/>
          <w:szCs w:val="20"/>
        </w:rPr>
        <w:tab/>
      </w:r>
      <w:r w:rsidR="00DD2DA2" w:rsidRPr="000932E4">
        <w:rPr>
          <w:iCs/>
          <w:szCs w:val="20"/>
        </w:rPr>
        <w:t>This transaction set, from a Municipally Owned Utility (MOU)/Electric Cooperative (EC) Transmission and/or Distribution Service Provider (TDSP) to the Competitive Retailer (CR), is used by the MOU/EC TDSP to provide the CR with Customer information (name, address, membership id, and home or contact telephone number) for a particular point of delivery served by both the MOU/EC TDSP and CR and to continually provide the CR updates of such information</w:t>
      </w:r>
      <w:r>
        <w:rPr>
          <w:iCs/>
          <w:szCs w:val="20"/>
        </w:rPr>
        <w:t xml:space="preserve">, unless otherwise indicated in Retail Market Guide Section 8.1, </w:t>
      </w:r>
      <w:r w:rsidRPr="00E47CA3">
        <w:rPr>
          <w:iCs/>
          <w:szCs w:val="20"/>
        </w:rPr>
        <w:t>Municipally Owned Utility and/or Electric Cooperative Transmission and/or Distribution Service Provider Market</w:t>
      </w:r>
      <w:r w:rsidR="00DD2DA2" w:rsidRPr="000932E4">
        <w:rPr>
          <w:iCs/>
          <w:szCs w:val="20"/>
        </w:rPr>
        <w:t>.</w:t>
      </w:r>
    </w:p>
    <w:p w14:paraId="7BD501FF" w14:textId="77777777" w:rsidR="00DD2DA2" w:rsidRDefault="00DD2DA2" w:rsidP="002C359D">
      <w:pPr>
        <w:pStyle w:val="H3"/>
      </w:pPr>
      <w:bookmarkStart w:id="32" w:name="_Toc326656543"/>
      <w:r>
        <w:t>24.6.1</w:t>
      </w:r>
      <w:r>
        <w:tab/>
      </w:r>
      <w:r w:rsidR="002C359D" w:rsidRPr="002C359D">
        <w:rPr>
          <w:bCs w:val="0"/>
        </w:rPr>
        <w:t>Timing of 814_PC Maintain Customer Information Request from Municipally Owned Utility/Electric Cooperative Transmission and/or Distribution Service Provider</w:t>
      </w:r>
      <w:bookmarkEnd w:id="32"/>
    </w:p>
    <w:p w14:paraId="35BA91BE" w14:textId="77777777" w:rsidR="002C359D" w:rsidRPr="000932E4" w:rsidRDefault="00975D6F" w:rsidP="00A104D6">
      <w:pPr>
        <w:pStyle w:val="BodyText"/>
        <w:ind w:left="720" w:hanging="720"/>
        <w:rPr>
          <w:iCs/>
          <w:szCs w:val="20"/>
        </w:rPr>
      </w:pPr>
      <w:r>
        <w:rPr>
          <w:iCs/>
          <w:szCs w:val="20"/>
        </w:rPr>
        <w:t>(1)</w:t>
      </w:r>
      <w:r>
        <w:rPr>
          <w:iCs/>
          <w:szCs w:val="20"/>
        </w:rPr>
        <w:tab/>
      </w:r>
      <w:r w:rsidR="00DD2DA2" w:rsidRPr="000932E4">
        <w:rPr>
          <w:iCs/>
          <w:szCs w:val="20"/>
        </w:rPr>
        <w:t>This transaction shall be transmitted from the MOU/EC TDSP to the CR in one Retail Business Day upon an update in Customer information.  The CR shall provide the 814_PD</w:t>
      </w:r>
      <w:r w:rsidR="002C359D" w:rsidRPr="000932E4">
        <w:rPr>
          <w:iCs/>
          <w:szCs w:val="20"/>
        </w:rPr>
        <w:t xml:space="preserve">, Maintain Customer Information Response, </w:t>
      </w:r>
      <w:r w:rsidR="00DD2DA2" w:rsidRPr="000932E4">
        <w:rPr>
          <w:iCs/>
          <w:szCs w:val="20"/>
        </w:rPr>
        <w:t>in one Retail Business Day acknowledging receipt of the 814_PC</w:t>
      </w:r>
      <w:r w:rsidR="002C359D" w:rsidRPr="000932E4">
        <w:rPr>
          <w:iCs/>
          <w:szCs w:val="20"/>
        </w:rPr>
        <w:t>, Maintain Customer Information Request</w:t>
      </w:r>
      <w:r w:rsidR="00DD2DA2" w:rsidRPr="000932E4">
        <w:rPr>
          <w:iCs/>
          <w:szCs w:val="20"/>
        </w:rPr>
        <w:t>, which would indicate that the CR accepts or rejects the transaction.</w:t>
      </w:r>
      <w:r w:rsidR="002C359D" w:rsidRPr="000932E4">
        <w:rPr>
          <w:iCs/>
          <w:szCs w:val="20"/>
        </w:rPr>
        <w:t xml:space="preserve"> </w:t>
      </w:r>
    </w:p>
    <w:sectPr w:rsidR="002C359D" w:rsidRPr="000932E4">
      <w:headerReference w:type="default" r:id="rId11"/>
      <w:footerReference w:type="default" r:id="rId12"/>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69B00" w14:textId="77777777" w:rsidR="00BF1E4A" w:rsidRDefault="00BF1E4A">
      <w:r>
        <w:separator/>
      </w:r>
    </w:p>
  </w:endnote>
  <w:endnote w:type="continuationSeparator" w:id="0">
    <w:p w14:paraId="0B257E03" w14:textId="77777777" w:rsidR="00BF1E4A" w:rsidRDefault="00BF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460B" w14:textId="77777777" w:rsidR="008B77DE" w:rsidRDefault="008B77DE">
    <w:pPr>
      <w:pStyle w:val="Footer"/>
      <w:jc w:val="center"/>
      <w:rPr>
        <w:rFonts w:ascii="Arial" w:hAnsi="Arial" w:cs="Arial"/>
        <w:sz w:val="20"/>
        <w:szCs w:val="20"/>
      </w:rPr>
    </w:pPr>
    <w:r>
      <w:rPr>
        <w:sz w:val="20"/>
        <w:szCs w:val="20"/>
      </w:rPr>
      <w:t xml:space="preserve"> 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37EB" w14:textId="78202F4A" w:rsidR="008B77DE" w:rsidRDefault="008B77DE" w:rsidP="006567BD">
    <w:pPr>
      <w:pStyle w:val="Footer"/>
      <w:pBdr>
        <w:top w:val="single" w:sz="4" w:space="1" w:color="auto"/>
      </w:pBdr>
      <w:rPr>
        <w:smallCaps/>
        <w:sz w:val="20"/>
        <w:szCs w:val="20"/>
      </w:rPr>
    </w:pPr>
    <w:r>
      <w:rPr>
        <w:smallCaps/>
        <w:sz w:val="20"/>
        <w:szCs w:val="20"/>
      </w:rPr>
      <w:t xml:space="preserve">ERCOT Nodal Protocols – </w:t>
    </w:r>
    <w:r w:rsidR="00975D6F">
      <w:rPr>
        <w:smallCaps/>
        <w:sz w:val="20"/>
        <w:szCs w:val="20"/>
      </w:rPr>
      <w:t>November</w:t>
    </w:r>
    <w:r w:rsidR="00DD063E">
      <w:rPr>
        <w:smallCaps/>
        <w:sz w:val="20"/>
        <w:szCs w:val="20"/>
      </w:rPr>
      <w:t xml:space="preserve"> 1, 20</w:t>
    </w:r>
    <w:r w:rsidR="003C57EC">
      <w:rPr>
        <w:smallCaps/>
        <w:sz w:val="20"/>
        <w:szCs w:val="20"/>
      </w:rPr>
      <w:t>2</w:t>
    </w:r>
    <w:r w:rsidR="00975D6F">
      <w:rPr>
        <w:smallCaps/>
        <w:sz w:val="20"/>
        <w:szCs w:val="20"/>
      </w:rPr>
      <w:t>3</w:t>
    </w:r>
  </w:p>
  <w:p w14:paraId="6D321CEB" w14:textId="77777777" w:rsidR="008B77DE" w:rsidRDefault="008B77DE" w:rsidP="006567BD">
    <w:pPr>
      <w:pStyle w:val="Footer"/>
      <w:pBdr>
        <w:top w:val="single" w:sz="4" w:space="1" w:color="auto"/>
      </w:pBdr>
      <w:jc w:val="center"/>
      <w:rPr>
        <w:sz w:val="20"/>
        <w:szCs w:val="20"/>
      </w:rPr>
    </w:pPr>
    <w:r>
      <w:rP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C05F6" w14:textId="433D2C92" w:rsidR="008B77DE" w:rsidRDefault="008B77DE" w:rsidP="006567BD">
    <w:pPr>
      <w:pStyle w:val="Footer"/>
      <w:pBdr>
        <w:top w:val="single" w:sz="4" w:space="1" w:color="auto"/>
      </w:pBdr>
      <w:rPr>
        <w:rStyle w:val="PageNumber"/>
        <w:sz w:val="20"/>
        <w:szCs w:val="20"/>
      </w:rPr>
    </w:pPr>
    <w:r>
      <w:rPr>
        <w:smallCaps/>
        <w:sz w:val="20"/>
        <w:szCs w:val="20"/>
      </w:rPr>
      <w:t xml:space="preserve">ERCOT Nodal Protocols – </w:t>
    </w:r>
    <w:r w:rsidR="00975D6F">
      <w:rPr>
        <w:smallCaps/>
        <w:sz w:val="20"/>
        <w:szCs w:val="20"/>
      </w:rPr>
      <w:t>November</w:t>
    </w:r>
    <w:r w:rsidR="00DD063E">
      <w:rPr>
        <w:smallCaps/>
        <w:sz w:val="20"/>
        <w:szCs w:val="20"/>
      </w:rPr>
      <w:t xml:space="preserve"> 1, </w:t>
    </w:r>
    <w:proofErr w:type="gramStart"/>
    <w:r w:rsidR="00DD063E">
      <w:rPr>
        <w:smallCaps/>
        <w:sz w:val="20"/>
        <w:szCs w:val="20"/>
      </w:rPr>
      <w:t>20</w:t>
    </w:r>
    <w:r w:rsidR="003C57EC">
      <w:rPr>
        <w:smallCaps/>
        <w:sz w:val="20"/>
        <w:szCs w:val="20"/>
      </w:rPr>
      <w:t>2</w:t>
    </w:r>
    <w:r w:rsidR="00975D6F">
      <w:rPr>
        <w:smallCaps/>
        <w:sz w:val="20"/>
        <w:szCs w:val="20"/>
      </w:rPr>
      <w:t>3</w:t>
    </w:r>
    <w:proofErr w:type="gramEnd"/>
    <w:r>
      <w:rPr>
        <w:smallCaps/>
        <w:sz w:val="20"/>
        <w:szCs w:val="20"/>
      </w:rPr>
      <w:tab/>
    </w:r>
    <w:r>
      <w:rPr>
        <w:smallCaps/>
        <w:sz w:val="20"/>
        <w:szCs w:val="20"/>
      </w:rPr>
      <w:tab/>
      <w:t>24-</w:t>
    </w:r>
    <w:r w:rsidRPr="0029281B">
      <w:rPr>
        <w:rStyle w:val="PageNumber"/>
        <w:sz w:val="20"/>
        <w:szCs w:val="20"/>
      </w:rPr>
      <w:fldChar w:fldCharType="begin"/>
    </w:r>
    <w:r w:rsidRPr="0029281B">
      <w:rPr>
        <w:rStyle w:val="PageNumber"/>
        <w:sz w:val="20"/>
        <w:szCs w:val="20"/>
      </w:rPr>
      <w:instrText xml:space="preserve"> PAGE </w:instrText>
    </w:r>
    <w:r w:rsidRPr="0029281B">
      <w:rPr>
        <w:rStyle w:val="PageNumber"/>
        <w:sz w:val="20"/>
        <w:szCs w:val="20"/>
      </w:rPr>
      <w:fldChar w:fldCharType="separate"/>
    </w:r>
    <w:r w:rsidR="008F435D">
      <w:rPr>
        <w:rStyle w:val="PageNumber"/>
        <w:noProof/>
        <w:sz w:val="20"/>
        <w:szCs w:val="20"/>
      </w:rPr>
      <w:t>7</w:t>
    </w:r>
    <w:r w:rsidRPr="0029281B">
      <w:rPr>
        <w:rStyle w:val="PageNumber"/>
        <w:sz w:val="20"/>
        <w:szCs w:val="20"/>
      </w:rPr>
      <w:fldChar w:fldCharType="end"/>
    </w:r>
  </w:p>
  <w:p w14:paraId="4CBD8356" w14:textId="77777777" w:rsidR="008B77DE" w:rsidRDefault="008B77DE" w:rsidP="006567BD">
    <w:pPr>
      <w:pStyle w:val="Footer"/>
      <w:pBdr>
        <w:top w:val="single" w:sz="4" w:space="1" w:color="auto"/>
      </w:pBdr>
      <w:jc w:val="center"/>
      <w:rPr>
        <w:smallCaps/>
        <w:sz w:val="20"/>
        <w:szCs w:val="20"/>
      </w:rPr>
    </w:pPr>
    <w:r>
      <w:rPr>
        <w:rStyle w:val="PageNumber"/>
        <w:sz w:val="20"/>
        <w:szCs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C7357" w14:textId="77777777" w:rsidR="00BF1E4A" w:rsidRDefault="00BF1E4A">
      <w:r>
        <w:separator/>
      </w:r>
    </w:p>
  </w:footnote>
  <w:footnote w:type="continuationSeparator" w:id="0">
    <w:p w14:paraId="1185D7C2" w14:textId="77777777" w:rsidR="00BF1E4A" w:rsidRDefault="00BF1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0DA74" w14:textId="77777777" w:rsidR="008B77DE" w:rsidRDefault="008B77D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DC58" w14:textId="77777777" w:rsidR="008B77DE" w:rsidRDefault="008B77DE" w:rsidP="006567BD">
    <w:pPr>
      <w:pStyle w:val="Header"/>
      <w:pBdr>
        <w:bottom w:val="single" w:sz="4" w:space="1" w:color="auto"/>
      </w:pBdr>
      <w:jc w:val="right"/>
      <w:rPr>
        <w:rFonts w:ascii="Times New Roman" w:hAnsi="Times New Roman"/>
        <w:b w:val="0"/>
        <w:smallCaps/>
        <w:sz w:val="20"/>
        <w:szCs w:val="20"/>
      </w:rPr>
    </w:pPr>
    <w:r>
      <w:rPr>
        <w:rFonts w:ascii="Times New Roman" w:hAnsi="Times New Roman"/>
        <w:b w:val="0"/>
        <w:smallCaps/>
        <w:sz w:val="20"/>
        <w:szCs w:val="20"/>
      </w:rPr>
      <w:t>Section 24:  Table of Contents</w:t>
    </w:r>
  </w:p>
  <w:p w14:paraId="4162DCC8" w14:textId="77777777" w:rsidR="008B77DE" w:rsidRPr="006567BD" w:rsidRDefault="008B77DE" w:rsidP="006567BD">
    <w:pPr>
      <w:pStyle w:val="Header"/>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3EF7" w14:textId="77777777" w:rsidR="008B77DE" w:rsidRDefault="008B77DE">
    <w:pPr>
      <w:pStyle w:val="Header"/>
      <w:pBdr>
        <w:bottom w:val="single" w:sz="4" w:space="1" w:color="auto"/>
      </w:pBdr>
      <w:jc w:val="right"/>
      <w:rPr>
        <w:rFonts w:ascii="Times New Roman" w:hAnsi="Times New Roman"/>
        <w:b w:val="0"/>
        <w:smallCaps/>
        <w:sz w:val="20"/>
        <w:szCs w:val="20"/>
      </w:rPr>
    </w:pPr>
    <w:r>
      <w:rPr>
        <w:rFonts w:ascii="Times New Roman" w:hAnsi="Times New Roman"/>
        <w:b w:val="0"/>
        <w:smallCaps/>
        <w:sz w:val="20"/>
        <w:szCs w:val="20"/>
      </w:rPr>
      <w:t>Section 24:  Retail Point to Point Communications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18"/>
    <w:multiLevelType w:val="singleLevel"/>
    <w:tmpl w:val="DFB241A2"/>
    <w:lvl w:ilvl="0">
      <w:start w:val="1"/>
      <w:numFmt w:val="bullet"/>
      <w:pStyle w:val="BulletIndent"/>
      <w:lvlText w:val=""/>
      <w:lvlJc w:val="left"/>
      <w:pPr>
        <w:tabs>
          <w:tab w:val="num" w:pos="360"/>
        </w:tabs>
        <w:ind w:left="360" w:hanging="360"/>
      </w:pPr>
      <w:rPr>
        <w:rFonts w:ascii="Symbol" w:hAnsi="Symbol" w:hint="default"/>
      </w:rPr>
    </w:lvl>
  </w:abstractNum>
  <w:abstractNum w:abstractNumId="2" w15:restartNumberingAfterBreak="0">
    <w:nsid w:val="1C552837"/>
    <w:multiLevelType w:val="hybridMultilevel"/>
    <w:tmpl w:val="092E8F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15457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66510064"/>
    <w:multiLevelType w:val="multilevel"/>
    <w:tmpl w:val="78CEE07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B331525"/>
    <w:multiLevelType w:val="singleLevel"/>
    <w:tmpl w:val="0AB409BE"/>
    <w:lvl w:ilvl="0">
      <w:start w:val="1"/>
      <w:numFmt w:val="bullet"/>
      <w:pStyle w:val="Bullet"/>
      <w:lvlText w:val=""/>
      <w:lvlJc w:val="left"/>
      <w:pPr>
        <w:tabs>
          <w:tab w:val="num" w:pos="360"/>
        </w:tabs>
        <w:ind w:left="360" w:hanging="360"/>
      </w:pPr>
      <w:rPr>
        <w:rFonts w:ascii="Symbol" w:hAnsi="Symbol" w:hint="default"/>
      </w:rPr>
    </w:lvl>
  </w:abstractNum>
  <w:abstractNum w:abstractNumId="11" w15:restartNumberingAfterBreak="0">
    <w:nsid w:val="7E27700D"/>
    <w:multiLevelType w:val="multilevel"/>
    <w:tmpl w:val="04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764498234">
    <w:abstractNumId w:val="0"/>
  </w:num>
  <w:num w:numId="2" w16cid:durableId="1418014588">
    <w:abstractNumId w:val="9"/>
  </w:num>
  <w:num w:numId="3" w16cid:durableId="1815367381">
    <w:abstractNumId w:val="10"/>
  </w:num>
  <w:num w:numId="4" w16cid:durableId="2078042794">
    <w:abstractNumId w:val="1"/>
  </w:num>
  <w:num w:numId="5" w16cid:durableId="977078496">
    <w:abstractNumId w:val="6"/>
  </w:num>
  <w:num w:numId="6" w16cid:durableId="555632195">
    <w:abstractNumId w:val="6"/>
  </w:num>
  <w:num w:numId="7" w16cid:durableId="1274750143">
    <w:abstractNumId w:val="6"/>
  </w:num>
  <w:num w:numId="8" w16cid:durableId="1683432948">
    <w:abstractNumId w:val="6"/>
  </w:num>
  <w:num w:numId="9" w16cid:durableId="1233733530">
    <w:abstractNumId w:val="6"/>
  </w:num>
  <w:num w:numId="10" w16cid:durableId="386295092">
    <w:abstractNumId w:val="6"/>
  </w:num>
  <w:num w:numId="11" w16cid:durableId="1084961966">
    <w:abstractNumId w:val="6"/>
  </w:num>
  <w:num w:numId="12" w16cid:durableId="591818963">
    <w:abstractNumId w:val="6"/>
  </w:num>
  <w:num w:numId="13" w16cid:durableId="689719014">
    <w:abstractNumId w:val="6"/>
  </w:num>
  <w:num w:numId="14" w16cid:durableId="864058338">
    <w:abstractNumId w:val="3"/>
  </w:num>
  <w:num w:numId="15" w16cid:durableId="1828935924">
    <w:abstractNumId w:val="5"/>
  </w:num>
  <w:num w:numId="16" w16cid:durableId="1500539573">
    <w:abstractNumId w:val="7"/>
  </w:num>
  <w:num w:numId="17" w16cid:durableId="1596132643">
    <w:abstractNumId w:val="8"/>
  </w:num>
  <w:num w:numId="18" w16cid:durableId="902834831">
    <w:abstractNumId w:val="4"/>
  </w:num>
  <w:num w:numId="19" w16cid:durableId="1522544776">
    <w:abstractNumId w:val="11"/>
  </w:num>
  <w:num w:numId="20" w16cid:durableId="194739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0F18"/>
    <w:rsid w:val="0001298B"/>
    <w:rsid w:val="00022E47"/>
    <w:rsid w:val="00062FDF"/>
    <w:rsid w:val="000716F1"/>
    <w:rsid w:val="000932E4"/>
    <w:rsid w:val="0009604D"/>
    <w:rsid w:val="000A3A46"/>
    <w:rsid w:val="00104398"/>
    <w:rsid w:val="001239DB"/>
    <w:rsid w:val="00123DF6"/>
    <w:rsid w:val="00175C8E"/>
    <w:rsid w:val="001F37A5"/>
    <w:rsid w:val="002460C5"/>
    <w:rsid w:val="00251EDE"/>
    <w:rsid w:val="0026254F"/>
    <w:rsid w:val="00287EC8"/>
    <w:rsid w:val="002A7E88"/>
    <w:rsid w:val="002C359D"/>
    <w:rsid w:val="002C6569"/>
    <w:rsid w:val="002E3EBF"/>
    <w:rsid w:val="002F316E"/>
    <w:rsid w:val="00311B4C"/>
    <w:rsid w:val="00320A75"/>
    <w:rsid w:val="0032616C"/>
    <w:rsid w:val="00335E4A"/>
    <w:rsid w:val="003C4D02"/>
    <w:rsid w:val="003C57EC"/>
    <w:rsid w:val="003D7DE5"/>
    <w:rsid w:val="003E3D6F"/>
    <w:rsid w:val="004B43AD"/>
    <w:rsid w:val="004E071D"/>
    <w:rsid w:val="004E6D3F"/>
    <w:rsid w:val="00523C86"/>
    <w:rsid w:val="00565EFE"/>
    <w:rsid w:val="005810A3"/>
    <w:rsid w:val="005C63E2"/>
    <w:rsid w:val="005F0226"/>
    <w:rsid w:val="006567BD"/>
    <w:rsid w:val="00661504"/>
    <w:rsid w:val="006A32DF"/>
    <w:rsid w:val="006D152D"/>
    <w:rsid w:val="007026E8"/>
    <w:rsid w:val="00702BB2"/>
    <w:rsid w:val="007128F8"/>
    <w:rsid w:val="007369FB"/>
    <w:rsid w:val="0079355F"/>
    <w:rsid w:val="00794985"/>
    <w:rsid w:val="0079721C"/>
    <w:rsid w:val="007B454F"/>
    <w:rsid w:val="00805F5D"/>
    <w:rsid w:val="00870CC3"/>
    <w:rsid w:val="00884043"/>
    <w:rsid w:val="008B77DE"/>
    <w:rsid w:val="008F1D8E"/>
    <w:rsid w:val="008F3490"/>
    <w:rsid w:val="008F435D"/>
    <w:rsid w:val="009036DA"/>
    <w:rsid w:val="00907508"/>
    <w:rsid w:val="00920F18"/>
    <w:rsid w:val="009236D8"/>
    <w:rsid w:val="00961BD1"/>
    <w:rsid w:val="00975D6F"/>
    <w:rsid w:val="009816E6"/>
    <w:rsid w:val="009D7BB4"/>
    <w:rsid w:val="009E0FE2"/>
    <w:rsid w:val="00A104D6"/>
    <w:rsid w:val="00A66587"/>
    <w:rsid w:val="00B428A6"/>
    <w:rsid w:val="00B50684"/>
    <w:rsid w:val="00B953EE"/>
    <w:rsid w:val="00BB19D0"/>
    <w:rsid w:val="00BB1AF5"/>
    <w:rsid w:val="00BC4154"/>
    <w:rsid w:val="00BF1E4A"/>
    <w:rsid w:val="00C43094"/>
    <w:rsid w:val="00C85C22"/>
    <w:rsid w:val="00C85C55"/>
    <w:rsid w:val="00CC2B1F"/>
    <w:rsid w:val="00CF54E3"/>
    <w:rsid w:val="00D44826"/>
    <w:rsid w:val="00D55341"/>
    <w:rsid w:val="00D80946"/>
    <w:rsid w:val="00DD063E"/>
    <w:rsid w:val="00DD2DA2"/>
    <w:rsid w:val="00E12F53"/>
    <w:rsid w:val="00E618E8"/>
    <w:rsid w:val="00EC4789"/>
    <w:rsid w:val="00EF045F"/>
    <w:rsid w:val="00F31131"/>
    <w:rsid w:val="00FA516C"/>
    <w:rsid w:val="00FB46E2"/>
    <w:rsid w:val="00FC7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32725FB"/>
  <w15:chartTrackingRefBased/>
  <w15:docId w15:val="{6DABCD2A-4427-4D60-83A0-3A29563B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aliases w:val="h1"/>
    <w:basedOn w:val="Normal"/>
    <w:next w:val="BodyText"/>
    <w:qFormat/>
    <w:pPr>
      <w:keepNext/>
      <w:numPr>
        <w:numId w:val="13"/>
      </w:numPr>
      <w:tabs>
        <w:tab w:val="clear" w:pos="432"/>
        <w:tab w:val="num" w:pos="360"/>
      </w:tabs>
      <w:spacing w:after="240"/>
      <w:ind w:left="0" w:firstLine="0"/>
      <w:outlineLvl w:val="0"/>
    </w:pPr>
    <w:rPr>
      <w:b/>
      <w:caps/>
      <w:szCs w:val="20"/>
    </w:rPr>
  </w:style>
  <w:style w:type="paragraph" w:styleId="Heading2">
    <w:name w:val="heading 2"/>
    <w:aliases w:val="h2"/>
    <w:basedOn w:val="Normal"/>
    <w:next w:val="BodyText"/>
    <w:link w:val="Heading2Char"/>
    <w:qFormat/>
    <w:pPr>
      <w:keepNext/>
      <w:numPr>
        <w:ilvl w:val="1"/>
        <w:numId w:val="13"/>
      </w:numPr>
      <w:tabs>
        <w:tab w:val="clear" w:pos="576"/>
        <w:tab w:val="num" w:pos="360"/>
      </w:tabs>
      <w:spacing w:before="240" w:after="240"/>
      <w:ind w:left="0" w:firstLine="0"/>
      <w:outlineLvl w:val="1"/>
    </w:pPr>
    <w:rPr>
      <w:b/>
      <w:szCs w:val="20"/>
    </w:rPr>
  </w:style>
  <w:style w:type="paragraph" w:styleId="Heading3">
    <w:name w:val="heading 3"/>
    <w:aliases w:val="h3"/>
    <w:basedOn w:val="Normal"/>
    <w:next w:val="BodyText"/>
    <w:qFormat/>
    <w:pPr>
      <w:keepNext/>
      <w:numPr>
        <w:ilvl w:val="2"/>
        <w:numId w:val="13"/>
      </w:numPr>
      <w:tabs>
        <w:tab w:val="clear" w:pos="720"/>
        <w:tab w:val="num" w:pos="360"/>
        <w:tab w:val="left" w:pos="1008"/>
      </w:tabs>
      <w:spacing w:before="240" w:after="240"/>
      <w:ind w:left="0" w:firstLine="0"/>
      <w:outlineLvl w:val="2"/>
    </w:pPr>
    <w:rPr>
      <w:b/>
      <w:bCs/>
      <w:i/>
      <w:szCs w:val="20"/>
    </w:rPr>
  </w:style>
  <w:style w:type="paragraph" w:styleId="Heading4">
    <w:name w:val="heading 4"/>
    <w:aliases w:val="h4"/>
    <w:basedOn w:val="Normal"/>
    <w:next w:val="BodyText"/>
    <w:qFormat/>
    <w:pPr>
      <w:keepNext/>
      <w:widowControl w:val="0"/>
      <w:numPr>
        <w:ilvl w:val="3"/>
        <w:numId w:val="13"/>
      </w:numPr>
      <w:tabs>
        <w:tab w:val="clear" w:pos="864"/>
        <w:tab w:val="num" w:pos="360"/>
        <w:tab w:val="left" w:pos="1296"/>
      </w:tabs>
      <w:spacing w:before="240" w:after="240"/>
      <w:ind w:left="0" w:firstLine="0"/>
      <w:outlineLvl w:val="3"/>
    </w:pPr>
    <w:rPr>
      <w:b/>
      <w:bCs/>
      <w:snapToGrid w:val="0"/>
      <w:szCs w:val="20"/>
    </w:rPr>
  </w:style>
  <w:style w:type="paragraph" w:styleId="Heading5">
    <w:name w:val="heading 5"/>
    <w:aliases w:val="h5"/>
    <w:basedOn w:val="Normal"/>
    <w:next w:val="BodyText"/>
    <w:qFormat/>
    <w:pPr>
      <w:keepNext/>
      <w:numPr>
        <w:ilvl w:val="4"/>
        <w:numId w:val="13"/>
      </w:numPr>
      <w:tabs>
        <w:tab w:val="clear" w:pos="1008"/>
        <w:tab w:val="num" w:pos="360"/>
        <w:tab w:val="left" w:pos="1440"/>
      </w:tabs>
      <w:spacing w:before="240" w:after="240"/>
      <w:ind w:left="0" w:firstLine="0"/>
      <w:outlineLvl w:val="4"/>
    </w:pPr>
    <w:rPr>
      <w:b/>
      <w:bCs/>
      <w:i/>
      <w:iCs/>
      <w:szCs w:val="26"/>
    </w:rPr>
  </w:style>
  <w:style w:type="paragraph" w:styleId="Heading6">
    <w:name w:val="heading 6"/>
    <w:aliases w:val="h6"/>
    <w:basedOn w:val="Normal"/>
    <w:next w:val="BodyText"/>
    <w:qFormat/>
    <w:pPr>
      <w:keepNext/>
      <w:numPr>
        <w:ilvl w:val="5"/>
        <w:numId w:val="13"/>
      </w:numPr>
      <w:tabs>
        <w:tab w:val="clear" w:pos="1152"/>
        <w:tab w:val="num" w:pos="360"/>
        <w:tab w:val="left" w:pos="1584"/>
      </w:tabs>
      <w:spacing w:before="240" w:after="240"/>
      <w:ind w:left="0" w:firstLine="0"/>
      <w:outlineLvl w:val="5"/>
    </w:pPr>
    <w:rPr>
      <w:b/>
      <w:bCs/>
      <w:szCs w:val="22"/>
    </w:rPr>
  </w:style>
  <w:style w:type="paragraph" w:styleId="Heading7">
    <w:name w:val="heading 7"/>
    <w:basedOn w:val="Normal"/>
    <w:next w:val="BodyText"/>
    <w:qFormat/>
    <w:pPr>
      <w:keepNext/>
      <w:numPr>
        <w:ilvl w:val="6"/>
        <w:numId w:val="13"/>
      </w:numPr>
      <w:tabs>
        <w:tab w:val="clear" w:pos="1296"/>
        <w:tab w:val="num" w:pos="360"/>
        <w:tab w:val="left" w:pos="1728"/>
      </w:tabs>
      <w:spacing w:before="240" w:after="240"/>
      <w:ind w:left="0" w:firstLine="0"/>
      <w:outlineLvl w:val="6"/>
    </w:pPr>
  </w:style>
  <w:style w:type="paragraph" w:styleId="Heading8">
    <w:name w:val="heading 8"/>
    <w:basedOn w:val="Normal"/>
    <w:next w:val="BodyText"/>
    <w:qFormat/>
    <w:pPr>
      <w:keepNext/>
      <w:numPr>
        <w:ilvl w:val="7"/>
        <w:numId w:val="13"/>
      </w:numPr>
      <w:tabs>
        <w:tab w:val="clear" w:pos="1440"/>
        <w:tab w:val="num" w:pos="360"/>
        <w:tab w:val="left" w:pos="1872"/>
      </w:tabs>
      <w:spacing w:before="240" w:after="240"/>
      <w:ind w:left="0" w:firstLine="0"/>
      <w:outlineLvl w:val="7"/>
    </w:pPr>
    <w:rPr>
      <w:i/>
      <w:iCs/>
    </w:rPr>
  </w:style>
  <w:style w:type="paragraph" w:styleId="Heading9">
    <w:name w:val="heading 9"/>
    <w:basedOn w:val="Normal"/>
    <w:next w:val="BodyText"/>
    <w:qFormat/>
    <w:pPr>
      <w:keepNext/>
      <w:numPr>
        <w:ilvl w:val="8"/>
        <w:numId w:val="13"/>
      </w:numPr>
      <w:tabs>
        <w:tab w:val="clear" w:pos="1584"/>
        <w:tab w:val="num" w:pos="360"/>
        <w:tab w:val="left" w:pos="2160"/>
      </w:tabs>
      <w:spacing w:before="240" w:after="240"/>
      <w:ind w:left="0" w:firstLine="0"/>
      <w:outlineLvl w:val="8"/>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rPr>
      <w:rFonts w:ascii="Arial" w:hAnsi="Arial"/>
      <w:b/>
      <w:bCs/>
    </w:rPr>
  </w:style>
  <w:style w:type="paragraph" w:styleId="Footer">
    <w:name w:val="footer"/>
    <w:basedOn w:val="Normal"/>
    <w:pPr>
      <w:tabs>
        <w:tab w:val="center" w:pos="4320"/>
        <w:tab w:val="right" w:pos="8640"/>
      </w:tabs>
    </w:pPr>
  </w:style>
  <w:style w:type="paragraph" w:customStyle="1" w:styleId="TXUNormal">
    <w:name w:val="TXUNormal"/>
    <w:pPr>
      <w:spacing w:after="120"/>
    </w:pPr>
  </w:style>
  <w:style w:type="paragraph" w:customStyle="1" w:styleId="TXUHeader">
    <w:name w:val="TXUHeader"/>
    <w:basedOn w:val="TXUNormal"/>
    <w:pPr>
      <w:tabs>
        <w:tab w:val="right" w:pos="9360"/>
      </w:tabs>
      <w:spacing w:after="0"/>
    </w:pPr>
    <w:rPr>
      <w:noProof/>
      <w:sz w:val="16"/>
    </w:rPr>
  </w:style>
  <w:style w:type="paragraph" w:customStyle="1" w:styleId="TXUHeaderForm">
    <w:name w:val="TXUHeaderForm"/>
    <w:basedOn w:val="TXUHeader"/>
    <w:next w:val="Normal"/>
    <w:rPr>
      <w:sz w:val="24"/>
    </w:rPr>
  </w:style>
  <w:style w:type="paragraph" w:customStyle="1" w:styleId="TXUSubject">
    <w:name w:val="TXUSubject"/>
    <w:basedOn w:val="TXUNormal"/>
    <w:next w:val="TXUNormal"/>
    <w:pPr>
      <w:spacing w:after="240"/>
    </w:pPr>
    <w:rPr>
      <w:b/>
    </w:rPr>
  </w:style>
  <w:style w:type="paragraph" w:customStyle="1" w:styleId="TXUFooter">
    <w:name w:val="TXUFooter"/>
    <w:basedOn w:val="TXUNormal"/>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Pr>
      <w:sz w:val="20"/>
    </w:rPr>
  </w:style>
  <w:style w:type="paragraph" w:customStyle="1" w:styleId="Comments">
    <w:name w:val="Comments"/>
    <w:basedOn w:val="Normal"/>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uiPriority w:val="99"/>
    <w:rPr>
      <w:color w:val="0000FF"/>
      <w:u w:val="single"/>
    </w:rPr>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
    <w:pPr>
      <w:spacing w:after="240"/>
    </w:pPr>
  </w:style>
  <w:style w:type="paragraph" w:styleId="BodyTextIndent">
    <w:name w:val="Body Text Indent"/>
    <w:basedOn w:val="Normal"/>
    <w:pPr>
      <w:spacing w:after="240"/>
      <w:ind w:left="720"/>
    </w:pPr>
    <w:rPr>
      <w:iCs/>
      <w:szCs w:val="20"/>
    </w:rPr>
  </w:style>
  <w:style w:type="paragraph" w:customStyle="1" w:styleId="Bullet">
    <w:name w:val="Bullet"/>
    <w:basedOn w:val="Normal"/>
    <w:pPr>
      <w:numPr>
        <w:numId w:val="3"/>
      </w:numPr>
      <w:tabs>
        <w:tab w:val="clear" w:pos="360"/>
        <w:tab w:val="num" w:pos="432"/>
      </w:tabs>
      <w:spacing w:after="180"/>
      <w:ind w:left="432" w:hanging="432"/>
    </w:pPr>
    <w:rPr>
      <w:szCs w:val="20"/>
    </w:rPr>
  </w:style>
  <w:style w:type="paragraph" w:customStyle="1" w:styleId="NormalArial">
    <w:name w:val="Normal+Arial"/>
    <w:basedOn w:val="Normal"/>
    <w:link w:val="NormalArialChar"/>
    <w:rPr>
      <w:rFonts w:ascii="Arial" w:hAnsi="Arial"/>
    </w:rPr>
  </w:style>
  <w:style w:type="table" w:customStyle="1" w:styleId="BoxedLanguage">
    <w:name w:val="Boxed Language"/>
    <w:basedOn w:val="TableNormal"/>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BulletIndent">
    <w:name w:val="Bullet Indent"/>
    <w:basedOn w:val="Normal"/>
    <w:pPr>
      <w:numPr>
        <w:numId w:val="4"/>
      </w:numPr>
      <w:tabs>
        <w:tab w:val="clear" w:pos="360"/>
        <w:tab w:val="num" w:pos="432"/>
      </w:tabs>
      <w:spacing w:after="180"/>
      <w:ind w:left="432" w:hanging="432"/>
    </w:pPr>
    <w:rPr>
      <w:szCs w:val="20"/>
    </w:rPr>
  </w:style>
  <w:style w:type="paragraph" w:styleId="FootnoteText">
    <w:name w:val="footnote text"/>
    <w:basedOn w:val="Normal"/>
    <w:semiHidden/>
    <w:rPr>
      <w:sz w:val="18"/>
      <w:szCs w:val="20"/>
    </w:rPr>
  </w:style>
  <w:style w:type="paragraph" w:customStyle="1" w:styleId="Formula">
    <w:name w:val="Formula"/>
    <w:basedOn w:val="Normal"/>
    <w:autoRedefine/>
    <w:pPr>
      <w:tabs>
        <w:tab w:val="left" w:pos="2340"/>
        <w:tab w:val="left" w:pos="3420"/>
      </w:tabs>
      <w:spacing w:after="240"/>
      <w:ind w:left="3420" w:hanging="2700"/>
    </w:pPr>
    <w:rPr>
      <w:bCs/>
    </w:rPr>
  </w:style>
  <w:style w:type="paragraph" w:customStyle="1" w:styleId="FormulaBold">
    <w:name w:val="Formula Bold"/>
    <w:basedOn w:val="Normal"/>
    <w:autoRedefine/>
    <w:pPr>
      <w:tabs>
        <w:tab w:val="left" w:pos="2340"/>
        <w:tab w:val="left" w:pos="3420"/>
      </w:tabs>
      <w:spacing w:after="240"/>
      <w:ind w:left="3420" w:hanging="2700"/>
    </w:pPr>
    <w:rPr>
      <w:b/>
      <w:bCs/>
    </w:rPr>
  </w:style>
  <w:style w:type="table" w:customStyle="1" w:styleId="FormulaVariableTable">
    <w:name w:val="Formula Variable Table"/>
    <w:basedOn w:val="TableNormal"/>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2">
    <w:name w:val="H2"/>
    <w:basedOn w:val="Heading2"/>
    <w:next w:val="BodyText"/>
    <w:link w:val="H2Char"/>
    <w:pPr>
      <w:numPr>
        <w:ilvl w:val="0"/>
        <w:numId w:val="0"/>
      </w:numPr>
      <w:tabs>
        <w:tab w:val="left" w:pos="900"/>
      </w:tabs>
      <w:ind w:left="900" w:hanging="900"/>
    </w:pPr>
  </w:style>
  <w:style w:type="paragraph" w:customStyle="1" w:styleId="H3">
    <w:name w:val="H3"/>
    <w:basedOn w:val="Heading3"/>
    <w:next w:val="BodyText"/>
    <w:link w:val="H3Char"/>
    <w:pPr>
      <w:numPr>
        <w:ilvl w:val="0"/>
        <w:numId w:val="0"/>
      </w:numPr>
      <w:tabs>
        <w:tab w:val="clear" w:pos="1008"/>
        <w:tab w:val="left" w:pos="1080"/>
      </w:tabs>
      <w:ind w:left="1080" w:hanging="1080"/>
    </w:pPr>
  </w:style>
  <w:style w:type="paragraph" w:customStyle="1" w:styleId="H4">
    <w:name w:val="H4"/>
    <w:basedOn w:val="Heading4"/>
    <w:next w:val="BodyText"/>
    <w:link w:val="H4Char"/>
    <w:pPr>
      <w:numPr>
        <w:ilvl w:val="0"/>
        <w:numId w:val="0"/>
      </w:numPr>
      <w:tabs>
        <w:tab w:val="clear" w:pos="1296"/>
        <w:tab w:val="left" w:pos="1260"/>
      </w:tabs>
      <w:ind w:left="1260" w:hanging="1260"/>
    </w:pPr>
  </w:style>
  <w:style w:type="paragraph" w:customStyle="1" w:styleId="H5">
    <w:name w:val="H5"/>
    <w:basedOn w:val="Heading5"/>
    <w:next w:val="BodyText"/>
    <w:link w:val="H5Char"/>
    <w:pPr>
      <w:numPr>
        <w:ilvl w:val="0"/>
        <w:numId w:val="0"/>
      </w:numPr>
      <w:tabs>
        <w:tab w:val="clear" w:pos="1440"/>
        <w:tab w:val="left" w:pos="1620"/>
      </w:tabs>
      <w:ind w:left="1620" w:hanging="1620"/>
    </w:pPr>
  </w:style>
  <w:style w:type="paragraph" w:customStyle="1" w:styleId="H6">
    <w:name w:val="H6"/>
    <w:basedOn w:val="Heading6"/>
    <w:next w:val="BodyText"/>
    <w:pPr>
      <w:numPr>
        <w:ilvl w:val="0"/>
        <w:numId w:val="0"/>
      </w:numPr>
      <w:tabs>
        <w:tab w:val="clear" w:pos="1584"/>
        <w:tab w:val="left" w:pos="1800"/>
      </w:tabs>
      <w:ind w:left="1800" w:hanging="1800"/>
    </w:pPr>
  </w:style>
  <w:style w:type="paragraph" w:customStyle="1" w:styleId="H7">
    <w:name w:val="H7"/>
    <w:basedOn w:val="Heading7"/>
    <w:next w:val="BodyText"/>
    <w:pPr>
      <w:numPr>
        <w:ilvl w:val="0"/>
        <w:numId w:val="0"/>
      </w:numPr>
      <w:tabs>
        <w:tab w:val="clear" w:pos="1728"/>
        <w:tab w:val="left" w:pos="1980"/>
      </w:tabs>
      <w:ind w:left="1980" w:hanging="1980"/>
    </w:pPr>
    <w:rPr>
      <w:b/>
      <w:i/>
    </w:rPr>
  </w:style>
  <w:style w:type="paragraph" w:customStyle="1" w:styleId="H8">
    <w:name w:val="H8"/>
    <w:basedOn w:val="Heading8"/>
    <w:next w:val="BodyText"/>
    <w:pPr>
      <w:numPr>
        <w:ilvl w:val="0"/>
        <w:numId w:val="0"/>
      </w:numPr>
      <w:tabs>
        <w:tab w:val="clear" w:pos="1872"/>
        <w:tab w:val="left" w:pos="2160"/>
      </w:tabs>
      <w:ind w:left="2160" w:hanging="2160"/>
    </w:pPr>
    <w:rPr>
      <w:b/>
      <w:i w:val="0"/>
    </w:rPr>
  </w:style>
  <w:style w:type="paragraph" w:customStyle="1" w:styleId="H9">
    <w:name w:val="H9"/>
    <w:basedOn w:val="Heading9"/>
    <w:next w:val="BodyText"/>
    <w:pPr>
      <w:numPr>
        <w:ilvl w:val="0"/>
        <w:numId w:val="0"/>
      </w:numPr>
      <w:tabs>
        <w:tab w:val="clear" w:pos="2160"/>
        <w:tab w:val="left" w:pos="2340"/>
      </w:tabs>
      <w:ind w:left="2340" w:hanging="2340"/>
    </w:pPr>
    <w:rPr>
      <w:i/>
    </w:rPr>
  </w:style>
  <w:style w:type="paragraph" w:customStyle="1" w:styleId="HeadSub">
    <w:name w:val="Head Sub"/>
    <w:basedOn w:val="BodyText"/>
    <w:next w:val="BodyText"/>
    <w:pPr>
      <w:keepNext/>
      <w:spacing w:before="240"/>
    </w:pPr>
    <w:rPr>
      <w:b/>
      <w:iCs/>
      <w:szCs w:val="20"/>
    </w:rPr>
  </w:style>
  <w:style w:type="paragraph" w:customStyle="1" w:styleId="Instructions">
    <w:name w:val="Instructions"/>
    <w:basedOn w:val="BodyText"/>
    <w:link w:val="InstructionsChar"/>
    <w:rPr>
      <w:b/>
      <w:i/>
      <w:iCs/>
    </w:rPr>
  </w:style>
  <w:style w:type="paragraph" w:styleId="List">
    <w:name w:val="List"/>
    <w:basedOn w:val="Normal"/>
    <w:link w:val="ListChar"/>
    <w:pPr>
      <w:spacing w:after="240"/>
      <w:ind w:left="720" w:hanging="720"/>
    </w:pPr>
    <w:rPr>
      <w:szCs w:val="20"/>
    </w:rPr>
  </w:style>
  <w:style w:type="paragraph" w:styleId="List2">
    <w:name w:val="List 2"/>
    <w:basedOn w:val="Normal"/>
    <w:pPr>
      <w:spacing w:after="240"/>
      <w:ind w:left="1440" w:hanging="720"/>
    </w:pPr>
    <w:rPr>
      <w:szCs w:val="20"/>
    </w:rPr>
  </w:style>
  <w:style w:type="paragraph" w:styleId="List3">
    <w:name w:val="List 3"/>
    <w:basedOn w:val="Normal"/>
    <w:pPr>
      <w:spacing w:after="240"/>
      <w:ind w:left="2160" w:hanging="720"/>
    </w:pPr>
    <w:rPr>
      <w:szCs w:val="20"/>
    </w:rPr>
  </w:style>
  <w:style w:type="paragraph" w:customStyle="1" w:styleId="ListIntroduction">
    <w:name w:val="List Introduction"/>
    <w:basedOn w:val="BodyText"/>
    <w:link w:val="ListIntroductionChar"/>
    <w:pPr>
      <w:keepNext/>
    </w:pPr>
    <w:rPr>
      <w:iCs/>
      <w:szCs w:val="20"/>
    </w:rPr>
  </w:style>
  <w:style w:type="paragraph" w:customStyle="1" w:styleId="ListSub">
    <w:name w:val="List Sub"/>
    <w:basedOn w:val="List"/>
    <w:pPr>
      <w:ind w:firstLine="0"/>
    </w:pPr>
  </w:style>
  <w:style w:type="character" w:styleId="PageNumber">
    <w:name w:val="page number"/>
    <w:basedOn w:val="DefaultParagraphFont"/>
  </w:style>
  <w:style w:type="paragraph" w:customStyle="1" w:styleId="Spaceafterbox">
    <w:name w:val="Space after box"/>
    <w:basedOn w:val="Normal"/>
    <w:rPr>
      <w:szCs w:val="20"/>
    </w:rPr>
  </w:style>
  <w:style w:type="paragraph" w:customStyle="1" w:styleId="TableBody">
    <w:name w:val="Table Body"/>
    <w:basedOn w:val="BodyText"/>
    <w:pPr>
      <w:spacing w:after="60"/>
    </w:pPr>
    <w:rPr>
      <w:iCs/>
      <w:sz w:val="20"/>
      <w:szCs w:val="20"/>
    </w:rPr>
  </w:style>
  <w:style w:type="paragraph" w:customStyle="1" w:styleId="TableBullet">
    <w:name w:val="Table Bullet"/>
    <w:basedOn w:val="TableBody"/>
    <w:pPr>
      <w:numPr>
        <w:numId w:val="14"/>
      </w:numPr>
      <w:ind w:left="0" w:firstLine="0"/>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BodyText"/>
    <w:rPr>
      <w:b/>
      <w:iCs/>
      <w:sz w:val="20"/>
      <w:szCs w:val="20"/>
    </w:rPr>
  </w:style>
  <w:style w:type="paragraph" w:styleId="TOC1">
    <w:name w:val="toc 1"/>
    <w:basedOn w:val="Normal"/>
    <w:next w:val="Normal"/>
    <w:autoRedefine/>
    <w:uiPriority w:val="39"/>
    <w:pPr>
      <w:tabs>
        <w:tab w:val="left" w:pos="540"/>
        <w:tab w:val="right" w:leader="dot" w:pos="9360"/>
      </w:tabs>
      <w:spacing w:before="120" w:after="120"/>
      <w:ind w:left="540" w:right="720" w:hanging="540"/>
    </w:pPr>
    <w:rPr>
      <w:b/>
      <w:bCs/>
      <w:i/>
    </w:rPr>
  </w:style>
  <w:style w:type="paragraph" w:styleId="TOC2">
    <w:name w:val="toc 2"/>
    <w:basedOn w:val="Normal"/>
    <w:next w:val="Normal"/>
    <w:autoRedefine/>
    <w:uiPriority w:val="39"/>
    <w:pPr>
      <w:tabs>
        <w:tab w:val="left" w:pos="1260"/>
        <w:tab w:val="right" w:leader="dot" w:pos="9360"/>
      </w:tabs>
      <w:ind w:left="1260" w:right="720" w:hanging="720"/>
    </w:pPr>
    <w:rPr>
      <w:sz w:val="20"/>
      <w:szCs w:val="20"/>
    </w:rPr>
  </w:style>
  <w:style w:type="paragraph" w:styleId="TOC3">
    <w:name w:val="toc 3"/>
    <w:basedOn w:val="Normal"/>
    <w:next w:val="Normal"/>
    <w:autoRedefine/>
    <w:uiPriority w:val="39"/>
    <w:rsid w:val="005C63E2"/>
    <w:pPr>
      <w:tabs>
        <w:tab w:val="left" w:pos="1980"/>
        <w:tab w:val="right" w:leader="dot" w:pos="9360"/>
      </w:tabs>
      <w:ind w:left="1980" w:right="720" w:hanging="900"/>
    </w:pPr>
    <w:rPr>
      <w:bCs/>
      <w:i/>
      <w:iCs/>
      <w:noProof/>
      <w:sz w:val="20"/>
      <w:szCs w:val="20"/>
    </w:rPr>
  </w:style>
  <w:style w:type="paragraph" w:styleId="TOC4">
    <w:name w:val="toc 4"/>
    <w:basedOn w:val="Normal"/>
    <w:next w:val="Normal"/>
    <w:autoRedefine/>
    <w:uiPriority w:val="39"/>
    <w:pPr>
      <w:tabs>
        <w:tab w:val="left" w:pos="2700"/>
        <w:tab w:val="right" w:leader="dot" w:pos="9360"/>
      </w:tabs>
      <w:ind w:left="2700" w:right="720" w:hanging="1080"/>
    </w:pPr>
    <w:rPr>
      <w:sz w:val="18"/>
      <w:szCs w:val="18"/>
    </w:rPr>
  </w:style>
  <w:style w:type="paragraph" w:styleId="TOC5">
    <w:name w:val="toc 5"/>
    <w:basedOn w:val="Normal"/>
    <w:next w:val="Normal"/>
    <w:autoRedefine/>
    <w:semiHidden/>
    <w:pPr>
      <w:tabs>
        <w:tab w:val="left" w:pos="3600"/>
        <w:tab w:val="right" w:leader="dot" w:pos="9360"/>
      </w:tabs>
      <w:ind w:left="3600" w:right="720" w:hanging="1260"/>
    </w:pPr>
    <w:rPr>
      <w:i/>
      <w:noProof/>
      <w:sz w:val="18"/>
      <w:szCs w:val="18"/>
    </w:rPr>
  </w:style>
  <w:style w:type="paragraph" w:styleId="TOC6">
    <w:name w:val="toc 6"/>
    <w:basedOn w:val="Normal"/>
    <w:next w:val="Normal"/>
    <w:autoRedefine/>
    <w:semiHidden/>
    <w:pPr>
      <w:tabs>
        <w:tab w:val="left" w:pos="4500"/>
        <w:tab w:val="right" w:leader="dot" w:pos="9360"/>
      </w:tabs>
      <w:ind w:left="4500" w:right="720" w:hanging="1440"/>
    </w:pPr>
    <w:rPr>
      <w:sz w:val="18"/>
      <w:szCs w:val="18"/>
    </w:rPr>
  </w:style>
  <w:style w:type="paragraph" w:styleId="TOC7">
    <w:name w:val="toc 7"/>
    <w:basedOn w:val="Normal"/>
    <w:next w:val="Normal"/>
    <w:autoRedefine/>
    <w:semiHidden/>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VariableDefinition">
    <w:name w:val="Variable Definition"/>
    <w:basedOn w:val="BodyTextIndent"/>
    <w:pPr>
      <w:tabs>
        <w:tab w:val="left" w:pos="2160"/>
      </w:tabs>
      <w:ind w:left="2160" w:hanging="1440"/>
      <w:contextualSpacing/>
    </w:pPr>
  </w:style>
  <w:style w:type="table" w:customStyle="1" w:styleId="VariableTable">
    <w:name w:val="Variable Table"/>
    <w:basedOn w:val="TableNormal"/>
    <w:tbl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customStyle="1" w:styleId="NormalArialChar">
    <w:name w:val="Normal+Arial Char"/>
    <w:link w:val="NormalArial"/>
    <w:rPr>
      <w:rFonts w:ascii="Arial" w:hAnsi="Arial"/>
      <w:sz w:val="24"/>
      <w:szCs w:val="24"/>
      <w:lang w:val="en-US" w:eastAsia="en-US" w:bidi="ar-SA"/>
    </w:rPr>
  </w:style>
  <w:style w:type="character" w:customStyle="1" w:styleId="ListIntroductionChar">
    <w:name w:val="List Introduction Char"/>
    <w:link w:val="ListIntroduction"/>
    <w:rPr>
      <w:iCs/>
      <w:sz w:val="24"/>
      <w:lang w:val="en-US" w:eastAsia="en-US" w:bidi="ar-SA"/>
    </w:rPr>
  </w:style>
  <w:style w:type="paragraph" w:customStyle="1" w:styleId="Char3">
    <w:name w:val="Char3"/>
    <w:basedOn w:val="Normal"/>
    <w:pPr>
      <w:spacing w:after="160" w:line="240" w:lineRule="exact"/>
    </w:pPr>
    <w:rPr>
      <w:rFonts w:ascii="Verdana" w:hAnsi="Verdana"/>
      <w:sz w:val="16"/>
      <w:szCs w:val="20"/>
    </w:rPr>
  </w:style>
  <w:style w:type="character" w:customStyle="1" w:styleId="H3Char">
    <w:name w:val="H3 Char"/>
    <w:link w:val="H3"/>
    <w:rPr>
      <w:b/>
      <w:bCs/>
      <w:i/>
      <w:sz w:val="24"/>
      <w:lang w:val="en-US" w:eastAsia="en-US" w:bidi="ar-SA"/>
    </w:rPr>
  </w:style>
  <w:style w:type="character" w:customStyle="1" w:styleId="Heading2Char">
    <w:name w:val="Heading 2 Char"/>
    <w:aliases w:val="h2 Char"/>
    <w:link w:val="Heading2"/>
    <w:rPr>
      <w:b/>
      <w:sz w:val="24"/>
      <w:lang w:val="en-US" w:eastAsia="en-US" w:bidi="ar-SA"/>
    </w:rPr>
  </w:style>
  <w:style w:type="character" w:customStyle="1" w:styleId="H2Char">
    <w:name w:val="H2 Char"/>
    <w:link w:val="H2"/>
    <w:rPr>
      <w:b w:val="0"/>
      <w:sz w:val="24"/>
      <w:lang w:val="en-US" w:eastAsia="en-US" w:bidi="ar-SA"/>
    </w:rPr>
  </w:style>
  <w:style w:type="character" w:customStyle="1" w:styleId="BodyTextChar">
    <w:name w:val="Body Text Char"/>
    <w:aliases w:val="Char Char Char Char Char Char Char,Char Char Char Char Char Char Charh2 Char,... Char, Char Char Char Char Char Char Char1, Char Char Char Char Char Char Char Char,Body Text Char Char Char,Body Text Char1 Char Char Char"/>
    <w:link w:val="BodyText"/>
    <w:rPr>
      <w:sz w:val="24"/>
      <w:szCs w:val="24"/>
      <w:lang w:val="en-US" w:eastAsia="en-US" w:bidi="ar-SA"/>
    </w:rPr>
  </w:style>
  <w:style w:type="character" w:customStyle="1" w:styleId="InstructionsChar">
    <w:name w:val="Instructions Char"/>
    <w:link w:val="Instructions"/>
    <w:rsid w:val="0079721C"/>
    <w:rPr>
      <w:b/>
      <w:i/>
      <w:iCs/>
      <w:sz w:val="24"/>
      <w:szCs w:val="24"/>
    </w:rPr>
  </w:style>
  <w:style w:type="character" w:customStyle="1" w:styleId="H5Char">
    <w:name w:val="H5 Char"/>
    <w:link w:val="H5"/>
    <w:rsid w:val="0079721C"/>
    <w:rPr>
      <w:b/>
      <w:bCs/>
      <w:i/>
      <w:iCs/>
      <w:sz w:val="24"/>
      <w:szCs w:val="26"/>
    </w:rPr>
  </w:style>
  <w:style w:type="character" w:customStyle="1" w:styleId="BodyTextNumberedChar1">
    <w:name w:val="Body Text Numbered Char1"/>
    <w:link w:val="BodyTextNumbered"/>
    <w:rsid w:val="004B43AD"/>
    <w:rPr>
      <w:iCs/>
      <w:sz w:val="24"/>
    </w:rPr>
  </w:style>
  <w:style w:type="paragraph" w:customStyle="1" w:styleId="BodyTextNumbered">
    <w:name w:val="Body Text Numbered"/>
    <w:basedOn w:val="BodyText"/>
    <w:link w:val="BodyTextNumberedChar1"/>
    <w:rsid w:val="004B43AD"/>
    <w:pPr>
      <w:ind w:left="720" w:hanging="720"/>
    </w:pPr>
    <w:rPr>
      <w:iCs/>
      <w:szCs w:val="20"/>
    </w:rPr>
  </w:style>
  <w:style w:type="character" w:customStyle="1" w:styleId="H4Char">
    <w:name w:val="H4 Char"/>
    <w:link w:val="H4"/>
    <w:rsid w:val="004B43AD"/>
    <w:rPr>
      <w:b/>
      <w:bCs/>
      <w:snapToGrid w:val="0"/>
      <w:sz w:val="24"/>
    </w:rPr>
  </w:style>
  <w:style w:type="character" w:customStyle="1" w:styleId="ListChar">
    <w:name w:val="List Char"/>
    <w:link w:val="List"/>
    <w:rsid w:val="004B43AD"/>
    <w:rPr>
      <w:sz w:val="24"/>
    </w:rPr>
  </w:style>
  <w:style w:type="paragraph" w:styleId="Revision">
    <w:name w:val="Revision"/>
    <w:hidden/>
    <w:uiPriority w:val="99"/>
    <w:semiHidden/>
    <w:rsid w:val="004B43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2281">
      <w:bodyDiv w:val="1"/>
      <w:marLeft w:val="0"/>
      <w:marRight w:val="0"/>
      <w:marTop w:val="0"/>
      <w:marBottom w:val="0"/>
      <w:divBdr>
        <w:top w:val="none" w:sz="0" w:space="0" w:color="auto"/>
        <w:left w:val="none" w:sz="0" w:space="0" w:color="auto"/>
        <w:bottom w:val="none" w:sz="0" w:space="0" w:color="auto"/>
        <w:right w:val="none" w:sz="0" w:space="0" w:color="auto"/>
      </w:divBdr>
    </w:div>
    <w:div w:id="52344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3068</Words>
  <Characters>17491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20518</CharactersWithSpaces>
  <SharedDoc>false</SharedDoc>
  <HLinks>
    <vt:vector size="156" baseType="variant">
      <vt:variant>
        <vt:i4>1114165</vt:i4>
      </vt:variant>
      <vt:variant>
        <vt:i4>152</vt:i4>
      </vt:variant>
      <vt:variant>
        <vt:i4>0</vt:i4>
      </vt:variant>
      <vt:variant>
        <vt:i4>5</vt:i4>
      </vt:variant>
      <vt:variant>
        <vt:lpwstr/>
      </vt:variant>
      <vt:variant>
        <vt:lpwstr>_Toc326656543</vt:lpwstr>
      </vt:variant>
      <vt:variant>
        <vt:i4>1114165</vt:i4>
      </vt:variant>
      <vt:variant>
        <vt:i4>146</vt:i4>
      </vt:variant>
      <vt:variant>
        <vt:i4>0</vt:i4>
      </vt:variant>
      <vt:variant>
        <vt:i4>5</vt:i4>
      </vt:variant>
      <vt:variant>
        <vt:lpwstr/>
      </vt:variant>
      <vt:variant>
        <vt:lpwstr>_Toc326656542</vt:lpwstr>
      </vt:variant>
      <vt:variant>
        <vt:i4>1114165</vt:i4>
      </vt:variant>
      <vt:variant>
        <vt:i4>140</vt:i4>
      </vt:variant>
      <vt:variant>
        <vt:i4>0</vt:i4>
      </vt:variant>
      <vt:variant>
        <vt:i4>5</vt:i4>
      </vt:variant>
      <vt:variant>
        <vt:lpwstr/>
      </vt:variant>
      <vt:variant>
        <vt:lpwstr>_Toc326656541</vt:lpwstr>
      </vt:variant>
      <vt:variant>
        <vt:i4>1114165</vt:i4>
      </vt:variant>
      <vt:variant>
        <vt:i4>134</vt:i4>
      </vt:variant>
      <vt:variant>
        <vt:i4>0</vt:i4>
      </vt:variant>
      <vt:variant>
        <vt:i4>5</vt:i4>
      </vt:variant>
      <vt:variant>
        <vt:lpwstr/>
      </vt:variant>
      <vt:variant>
        <vt:lpwstr>_Toc326656540</vt:lpwstr>
      </vt:variant>
      <vt:variant>
        <vt:i4>1441845</vt:i4>
      </vt:variant>
      <vt:variant>
        <vt:i4>128</vt:i4>
      </vt:variant>
      <vt:variant>
        <vt:i4>0</vt:i4>
      </vt:variant>
      <vt:variant>
        <vt:i4>5</vt:i4>
      </vt:variant>
      <vt:variant>
        <vt:lpwstr/>
      </vt:variant>
      <vt:variant>
        <vt:lpwstr>_Toc326656539</vt:lpwstr>
      </vt:variant>
      <vt:variant>
        <vt:i4>1441845</vt:i4>
      </vt:variant>
      <vt:variant>
        <vt:i4>122</vt:i4>
      </vt:variant>
      <vt:variant>
        <vt:i4>0</vt:i4>
      </vt:variant>
      <vt:variant>
        <vt:i4>5</vt:i4>
      </vt:variant>
      <vt:variant>
        <vt:lpwstr/>
      </vt:variant>
      <vt:variant>
        <vt:lpwstr>_Toc326656538</vt:lpwstr>
      </vt:variant>
      <vt:variant>
        <vt:i4>1441845</vt:i4>
      </vt:variant>
      <vt:variant>
        <vt:i4>116</vt:i4>
      </vt:variant>
      <vt:variant>
        <vt:i4>0</vt:i4>
      </vt:variant>
      <vt:variant>
        <vt:i4>5</vt:i4>
      </vt:variant>
      <vt:variant>
        <vt:lpwstr/>
      </vt:variant>
      <vt:variant>
        <vt:lpwstr>_Toc326656537</vt:lpwstr>
      </vt:variant>
      <vt:variant>
        <vt:i4>1441845</vt:i4>
      </vt:variant>
      <vt:variant>
        <vt:i4>110</vt:i4>
      </vt:variant>
      <vt:variant>
        <vt:i4>0</vt:i4>
      </vt:variant>
      <vt:variant>
        <vt:i4>5</vt:i4>
      </vt:variant>
      <vt:variant>
        <vt:lpwstr/>
      </vt:variant>
      <vt:variant>
        <vt:lpwstr>_Toc326656536</vt:lpwstr>
      </vt:variant>
      <vt:variant>
        <vt:i4>1441845</vt:i4>
      </vt:variant>
      <vt:variant>
        <vt:i4>104</vt:i4>
      </vt:variant>
      <vt:variant>
        <vt:i4>0</vt:i4>
      </vt:variant>
      <vt:variant>
        <vt:i4>5</vt:i4>
      </vt:variant>
      <vt:variant>
        <vt:lpwstr/>
      </vt:variant>
      <vt:variant>
        <vt:lpwstr>_Toc326656535</vt:lpwstr>
      </vt:variant>
      <vt:variant>
        <vt:i4>1441845</vt:i4>
      </vt:variant>
      <vt:variant>
        <vt:i4>98</vt:i4>
      </vt:variant>
      <vt:variant>
        <vt:i4>0</vt:i4>
      </vt:variant>
      <vt:variant>
        <vt:i4>5</vt:i4>
      </vt:variant>
      <vt:variant>
        <vt:lpwstr/>
      </vt:variant>
      <vt:variant>
        <vt:lpwstr>_Toc326656534</vt:lpwstr>
      </vt:variant>
      <vt:variant>
        <vt:i4>1441845</vt:i4>
      </vt:variant>
      <vt:variant>
        <vt:i4>92</vt:i4>
      </vt:variant>
      <vt:variant>
        <vt:i4>0</vt:i4>
      </vt:variant>
      <vt:variant>
        <vt:i4>5</vt:i4>
      </vt:variant>
      <vt:variant>
        <vt:lpwstr/>
      </vt:variant>
      <vt:variant>
        <vt:lpwstr>_Toc326656533</vt:lpwstr>
      </vt:variant>
      <vt:variant>
        <vt:i4>1441845</vt:i4>
      </vt:variant>
      <vt:variant>
        <vt:i4>86</vt:i4>
      </vt:variant>
      <vt:variant>
        <vt:i4>0</vt:i4>
      </vt:variant>
      <vt:variant>
        <vt:i4>5</vt:i4>
      </vt:variant>
      <vt:variant>
        <vt:lpwstr/>
      </vt:variant>
      <vt:variant>
        <vt:lpwstr>_Toc326656532</vt:lpwstr>
      </vt:variant>
      <vt:variant>
        <vt:i4>1441845</vt:i4>
      </vt:variant>
      <vt:variant>
        <vt:i4>80</vt:i4>
      </vt:variant>
      <vt:variant>
        <vt:i4>0</vt:i4>
      </vt:variant>
      <vt:variant>
        <vt:i4>5</vt:i4>
      </vt:variant>
      <vt:variant>
        <vt:lpwstr/>
      </vt:variant>
      <vt:variant>
        <vt:lpwstr>_Toc326656531</vt:lpwstr>
      </vt:variant>
      <vt:variant>
        <vt:i4>1441845</vt:i4>
      </vt:variant>
      <vt:variant>
        <vt:i4>74</vt:i4>
      </vt:variant>
      <vt:variant>
        <vt:i4>0</vt:i4>
      </vt:variant>
      <vt:variant>
        <vt:i4>5</vt:i4>
      </vt:variant>
      <vt:variant>
        <vt:lpwstr/>
      </vt:variant>
      <vt:variant>
        <vt:lpwstr>_Toc326656530</vt:lpwstr>
      </vt:variant>
      <vt:variant>
        <vt:i4>1507381</vt:i4>
      </vt:variant>
      <vt:variant>
        <vt:i4>68</vt:i4>
      </vt:variant>
      <vt:variant>
        <vt:i4>0</vt:i4>
      </vt:variant>
      <vt:variant>
        <vt:i4>5</vt:i4>
      </vt:variant>
      <vt:variant>
        <vt:lpwstr/>
      </vt:variant>
      <vt:variant>
        <vt:lpwstr>_Toc326656529</vt:lpwstr>
      </vt:variant>
      <vt:variant>
        <vt:i4>1507381</vt:i4>
      </vt:variant>
      <vt:variant>
        <vt:i4>62</vt:i4>
      </vt:variant>
      <vt:variant>
        <vt:i4>0</vt:i4>
      </vt:variant>
      <vt:variant>
        <vt:i4>5</vt:i4>
      </vt:variant>
      <vt:variant>
        <vt:lpwstr/>
      </vt:variant>
      <vt:variant>
        <vt:lpwstr>_Toc326656528</vt:lpwstr>
      </vt:variant>
      <vt:variant>
        <vt:i4>1507381</vt:i4>
      </vt:variant>
      <vt:variant>
        <vt:i4>56</vt:i4>
      </vt:variant>
      <vt:variant>
        <vt:i4>0</vt:i4>
      </vt:variant>
      <vt:variant>
        <vt:i4>5</vt:i4>
      </vt:variant>
      <vt:variant>
        <vt:lpwstr/>
      </vt:variant>
      <vt:variant>
        <vt:lpwstr>_Toc326656527</vt:lpwstr>
      </vt:variant>
      <vt:variant>
        <vt:i4>1507381</vt:i4>
      </vt:variant>
      <vt:variant>
        <vt:i4>50</vt:i4>
      </vt:variant>
      <vt:variant>
        <vt:i4>0</vt:i4>
      </vt:variant>
      <vt:variant>
        <vt:i4>5</vt:i4>
      </vt:variant>
      <vt:variant>
        <vt:lpwstr/>
      </vt:variant>
      <vt:variant>
        <vt:lpwstr>_Toc326656526</vt:lpwstr>
      </vt:variant>
      <vt:variant>
        <vt:i4>1507381</vt:i4>
      </vt:variant>
      <vt:variant>
        <vt:i4>44</vt:i4>
      </vt:variant>
      <vt:variant>
        <vt:i4>0</vt:i4>
      </vt:variant>
      <vt:variant>
        <vt:i4>5</vt:i4>
      </vt:variant>
      <vt:variant>
        <vt:lpwstr/>
      </vt:variant>
      <vt:variant>
        <vt:lpwstr>_Toc326656525</vt:lpwstr>
      </vt:variant>
      <vt:variant>
        <vt:i4>1507381</vt:i4>
      </vt:variant>
      <vt:variant>
        <vt:i4>38</vt:i4>
      </vt:variant>
      <vt:variant>
        <vt:i4>0</vt:i4>
      </vt:variant>
      <vt:variant>
        <vt:i4>5</vt:i4>
      </vt:variant>
      <vt:variant>
        <vt:lpwstr/>
      </vt:variant>
      <vt:variant>
        <vt:lpwstr>_Toc326656524</vt:lpwstr>
      </vt:variant>
      <vt:variant>
        <vt:i4>1507381</vt:i4>
      </vt:variant>
      <vt:variant>
        <vt:i4>32</vt:i4>
      </vt:variant>
      <vt:variant>
        <vt:i4>0</vt:i4>
      </vt:variant>
      <vt:variant>
        <vt:i4>5</vt:i4>
      </vt:variant>
      <vt:variant>
        <vt:lpwstr/>
      </vt:variant>
      <vt:variant>
        <vt:lpwstr>_Toc326656523</vt:lpwstr>
      </vt:variant>
      <vt:variant>
        <vt:i4>1507381</vt:i4>
      </vt:variant>
      <vt:variant>
        <vt:i4>26</vt:i4>
      </vt:variant>
      <vt:variant>
        <vt:i4>0</vt:i4>
      </vt:variant>
      <vt:variant>
        <vt:i4>5</vt:i4>
      </vt:variant>
      <vt:variant>
        <vt:lpwstr/>
      </vt:variant>
      <vt:variant>
        <vt:lpwstr>_Toc326656522</vt:lpwstr>
      </vt:variant>
      <vt:variant>
        <vt:i4>1507381</vt:i4>
      </vt:variant>
      <vt:variant>
        <vt:i4>20</vt:i4>
      </vt:variant>
      <vt:variant>
        <vt:i4>0</vt:i4>
      </vt:variant>
      <vt:variant>
        <vt:i4>5</vt:i4>
      </vt:variant>
      <vt:variant>
        <vt:lpwstr/>
      </vt:variant>
      <vt:variant>
        <vt:lpwstr>_Toc326656521</vt:lpwstr>
      </vt:variant>
      <vt:variant>
        <vt:i4>1507381</vt:i4>
      </vt:variant>
      <vt:variant>
        <vt:i4>14</vt:i4>
      </vt:variant>
      <vt:variant>
        <vt:i4>0</vt:i4>
      </vt:variant>
      <vt:variant>
        <vt:i4>5</vt:i4>
      </vt:variant>
      <vt:variant>
        <vt:lpwstr/>
      </vt:variant>
      <vt:variant>
        <vt:lpwstr>_Toc326656520</vt:lpwstr>
      </vt:variant>
      <vt:variant>
        <vt:i4>1310773</vt:i4>
      </vt:variant>
      <vt:variant>
        <vt:i4>8</vt:i4>
      </vt:variant>
      <vt:variant>
        <vt:i4>0</vt:i4>
      </vt:variant>
      <vt:variant>
        <vt:i4>5</vt:i4>
      </vt:variant>
      <vt:variant>
        <vt:lpwstr/>
      </vt:variant>
      <vt:variant>
        <vt:lpwstr>_Toc326656519</vt:lpwstr>
      </vt:variant>
      <vt:variant>
        <vt:i4>1310773</vt:i4>
      </vt:variant>
      <vt:variant>
        <vt:i4>2</vt:i4>
      </vt:variant>
      <vt:variant>
        <vt:i4>0</vt:i4>
      </vt:variant>
      <vt:variant>
        <vt:i4>5</vt:i4>
      </vt:variant>
      <vt:variant>
        <vt:lpwstr/>
      </vt:variant>
      <vt:variant>
        <vt:lpwstr>_Toc326656518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Giriraj Sharma</dc:creator>
  <cp:keywords/>
  <cp:lastModifiedBy>ERCOT</cp:lastModifiedBy>
  <cp:revision>2</cp:revision>
  <cp:lastPrinted>2001-06-20T16:28:00Z</cp:lastPrinted>
  <dcterms:created xsi:type="dcterms:W3CDTF">2023-10-23T20:30:00Z</dcterms:created>
  <dcterms:modified xsi:type="dcterms:W3CDTF">2023-10-23T20:30:00Z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2023-10-12T16:11:59Z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863c2809-99fc-447d-a8e2-3da53ce045c7</vt:lpwstr>
  </property>
  <property fmtid="{D5CDD505-2E9C-101B-9397-08002B2CF9AE}" pid="8" name="MSIP_Label_7084cbda-52b8-46fb-a7b7-cb5bd465ed85_ContentBits">
    <vt:lpwstr>0</vt:lpwstr>
  </property>
</Properties>
</file>