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8D7E" w14:textId="77777777" w:rsidR="0016529C" w:rsidRDefault="0016529C" w:rsidP="0016529C">
      <w:pPr>
        <w:spacing w:before="2400"/>
        <w:jc w:val="center"/>
        <w:rPr>
          <w:b/>
          <w:sz w:val="36"/>
          <w:szCs w:val="36"/>
        </w:rPr>
      </w:pPr>
      <w:r>
        <w:rPr>
          <w:b/>
          <w:sz w:val="36"/>
          <w:szCs w:val="36"/>
        </w:rPr>
        <w:t>ERCOT Nodal Protocols</w:t>
      </w:r>
    </w:p>
    <w:p w14:paraId="56B3CCC0" w14:textId="77777777" w:rsidR="0016529C" w:rsidRDefault="0016529C" w:rsidP="0016529C">
      <w:pPr>
        <w:jc w:val="center"/>
        <w:rPr>
          <w:b/>
          <w:sz w:val="36"/>
          <w:szCs w:val="36"/>
        </w:rPr>
      </w:pPr>
    </w:p>
    <w:p w14:paraId="4AC2C182" w14:textId="77777777" w:rsidR="0016529C" w:rsidRDefault="0016529C" w:rsidP="0016529C">
      <w:pPr>
        <w:spacing w:after="240"/>
        <w:jc w:val="center"/>
        <w:rPr>
          <w:b/>
          <w:sz w:val="36"/>
          <w:szCs w:val="36"/>
        </w:rPr>
      </w:pPr>
      <w:r>
        <w:rPr>
          <w:b/>
          <w:sz w:val="36"/>
          <w:szCs w:val="36"/>
        </w:rPr>
        <w:t>Section 25:  Market Suspension and Restart</w:t>
      </w:r>
    </w:p>
    <w:p w14:paraId="2C867750" w14:textId="77777777" w:rsidR="0016529C" w:rsidRDefault="0016529C" w:rsidP="0016529C">
      <w:pPr>
        <w:jc w:val="center"/>
        <w:rPr>
          <w:b/>
          <w:sz w:val="22"/>
          <w:szCs w:val="22"/>
        </w:rPr>
      </w:pPr>
    </w:p>
    <w:p w14:paraId="3D9BFECC" w14:textId="6F297614" w:rsidR="0016529C" w:rsidRDefault="00C23DE6" w:rsidP="0016529C">
      <w:pPr>
        <w:spacing w:before="360"/>
        <w:jc w:val="center"/>
        <w:rPr>
          <w:b/>
          <w:szCs w:val="24"/>
        </w:rPr>
      </w:pPr>
      <w:r>
        <w:rPr>
          <w:b/>
          <w:szCs w:val="24"/>
        </w:rPr>
        <w:t>October</w:t>
      </w:r>
      <w:r w:rsidR="00002C72">
        <w:rPr>
          <w:b/>
          <w:szCs w:val="24"/>
        </w:rPr>
        <w:t xml:space="preserve"> 1</w:t>
      </w:r>
      <w:r w:rsidR="0016529C">
        <w:rPr>
          <w:b/>
          <w:szCs w:val="24"/>
        </w:rPr>
        <w:t>, 20</w:t>
      </w:r>
      <w:r w:rsidR="00A65E1E">
        <w:rPr>
          <w:b/>
          <w:szCs w:val="24"/>
        </w:rPr>
        <w:t>2</w:t>
      </w:r>
      <w:r>
        <w:rPr>
          <w:b/>
          <w:szCs w:val="24"/>
        </w:rPr>
        <w:t>3</w:t>
      </w:r>
    </w:p>
    <w:p w14:paraId="248A9D92" w14:textId="77777777" w:rsidR="002F5868" w:rsidRDefault="002F5868" w:rsidP="00A927C1">
      <w:pPr>
        <w:spacing w:before="360"/>
        <w:jc w:val="center"/>
        <w:rPr>
          <w:b/>
        </w:rPr>
      </w:pPr>
    </w:p>
    <w:p w14:paraId="74CBAC1F" w14:textId="77777777" w:rsidR="002F5868" w:rsidRDefault="002F5868">
      <w:pPr>
        <w:pBdr>
          <w:top w:val="single" w:sz="4" w:space="1" w:color="auto"/>
        </w:pBdr>
        <w:rPr>
          <w:b/>
          <w:sz w:val="20"/>
        </w:rPr>
      </w:pPr>
    </w:p>
    <w:p w14:paraId="44972968" w14:textId="77777777" w:rsidR="002F5868" w:rsidRDefault="002F5868" w:rsidP="00424F6A">
      <w:pPr>
        <w:pStyle w:val="TOC1"/>
      </w:pPr>
    </w:p>
    <w:p w14:paraId="761C5644" w14:textId="77777777" w:rsidR="002F5868" w:rsidRDefault="002F5868" w:rsidP="00424F6A">
      <w:pPr>
        <w:pStyle w:val="TOC1"/>
        <w:sectPr w:rsidR="002F5868">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p>
    <w:p w14:paraId="38266697" w14:textId="39F42A16" w:rsidR="00424F6A" w:rsidRPr="00936F53" w:rsidRDefault="00B10807">
      <w:pPr>
        <w:pStyle w:val="TOC1"/>
        <w:rPr>
          <w:rFonts w:ascii="Calibri" w:hAnsi="Calibri"/>
          <w:b w:val="0"/>
          <w:bCs w:val="0"/>
          <w:sz w:val="22"/>
          <w:szCs w:val="22"/>
        </w:rPr>
      </w:pPr>
      <w:r w:rsidRPr="00424F6A">
        <w:rPr>
          <w:iCs/>
        </w:rPr>
        <w:lastRenderedPageBreak/>
        <w:fldChar w:fldCharType="begin"/>
      </w:r>
      <w:r w:rsidR="005E554F" w:rsidRPr="00424F6A">
        <w:rPr>
          <w:iCs/>
        </w:rPr>
        <w:instrText xml:space="preserve"> TOC \o "1-5" \h \z \u </w:instrText>
      </w:r>
      <w:r w:rsidRPr="00424F6A">
        <w:rPr>
          <w:iCs/>
        </w:rPr>
        <w:fldChar w:fldCharType="separate"/>
      </w:r>
      <w:hyperlink w:anchor="_Toc181583" w:history="1">
        <w:r w:rsidR="00424F6A" w:rsidRPr="00A43D8A">
          <w:rPr>
            <w:rStyle w:val="Hyperlink"/>
          </w:rPr>
          <w:t>25</w:t>
        </w:r>
        <w:r w:rsidR="00424F6A" w:rsidRPr="00936F53">
          <w:rPr>
            <w:rFonts w:ascii="Calibri" w:hAnsi="Calibri"/>
            <w:b w:val="0"/>
            <w:bCs w:val="0"/>
            <w:sz w:val="22"/>
            <w:szCs w:val="22"/>
          </w:rPr>
          <w:tab/>
        </w:r>
        <w:r w:rsidR="00424F6A" w:rsidRPr="00A43D8A">
          <w:rPr>
            <w:rStyle w:val="Hyperlink"/>
          </w:rPr>
          <w:t>Market Suspension and Restart</w:t>
        </w:r>
        <w:r w:rsidR="00424F6A">
          <w:rPr>
            <w:webHidden/>
          </w:rPr>
          <w:tab/>
        </w:r>
        <w:r w:rsidR="00424F6A">
          <w:rPr>
            <w:webHidden/>
          </w:rPr>
          <w:fldChar w:fldCharType="begin"/>
        </w:r>
        <w:r w:rsidR="00424F6A">
          <w:rPr>
            <w:webHidden/>
          </w:rPr>
          <w:instrText xml:space="preserve"> PAGEREF _Toc181583 \h </w:instrText>
        </w:r>
        <w:r w:rsidR="00424F6A">
          <w:rPr>
            <w:webHidden/>
          </w:rPr>
        </w:r>
        <w:r w:rsidR="00424F6A">
          <w:rPr>
            <w:webHidden/>
          </w:rPr>
          <w:fldChar w:fldCharType="separate"/>
        </w:r>
        <w:r w:rsidR="00E14406">
          <w:rPr>
            <w:webHidden/>
          </w:rPr>
          <w:t>25-1</w:t>
        </w:r>
        <w:r w:rsidR="00424F6A">
          <w:rPr>
            <w:webHidden/>
          </w:rPr>
          <w:fldChar w:fldCharType="end"/>
        </w:r>
      </w:hyperlink>
    </w:p>
    <w:p w14:paraId="343A7A4F" w14:textId="55F44995" w:rsidR="00424F6A" w:rsidRPr="00936F53" w:rsidRDefault="00E14406">
      <w:pPr>
        <w:pStyle w:val="TOC2"/>
        <w:rPr>
          <w:rFonts w:ascii="Calibri" w:hAnsi="Calibri"/>
          <w:noProof/>
          <w:sz w:val="22"/>
          <w:szCs w:val="22"/>
        </w:rPr>
      </w:pPr>
      <w:hyperlink w:anchor="_Toc181584" w:history="1">
        <w:r w:rsidR="00424F6A" w:rsidRPr="0016529C">
          <w:rPr>
            <w:rStyle w:val="Hyperlink"/>
            <w:noProof/>
          </w:rPr>
          <w:t>25.1</w:t>
        </w:r>
        <w:r w:rsidR="00424F6A" w:rsidRPr="00936F53">
          <w:rPr>
            <w:rFonts w:ascii="Calibri" w:hAnsi="Calibri"/>
            <w:noProof/>
            <w:sz w:val="22"/>
            <w:szCs w:val="22"/>
          </w:rPr>
          <w:tab/>
        </w:r>
        <w:r w:rsidR="00424F6A" w:rsidRPr="0016529C">
          <w:rPr>
            <w:rStyle w:val="Hyperlink"/>
            <w:noProof/>
          </w:rPr>
          <w:t>Introduction</w:t>
        </w:r>
        <w:r w:rsidR="00424F6A" w:rsidRPr="0016529C">
          <w:rPr>
            <w:noProof/>
            <w:webHidden/>
          </w:rPr>
          <w:tab/>
        </w:r>
        <w:r w:rsidR="00424F6A" w:rsidRPr="0016529C">
          <w:rPr>
            <w:noProof/>
            <w:webHidden/>
          </w:rPr>
          <w:fldChar w:fldCharType="begin"/>
        </w:r>
        <w:r w:rsidR="00424F6A" w:rsidRPr="0016529C">
          <w:rPr>
            <w:noProof/>
            <w:webHidden/>
          </w:rPr>
          <w:instrText xml:space="preserve"> PAGEREF _Toc181584 \h </w:instrText>
        </w:r>
        <w:r w:rsidR="00424F6A" w:rsidRPr="0016529C">
          <w:rPr>
            <w:noProof/>
            <w:webHidden/>
          </w:rPr>
        </w:r>
        <w:r w:rsidR="00424F6A" w:rsidRPr="0016529C">
          <w:rPr>
            <w:noProof/>
            <w:webHidden/>
          </w:rPr>
          <w:fldChar w:fldCharType="separate"/>
        </w:r>
        <w:r>
          <w:rPr>
            <w:noProof/>
            <w:webHidden/>
          </w:rPr>
          <w:t>25-1</w:t>
        </w:r>
        <w:r w:rsidR="00424F6A" w:rsidRPr="0016529C">
          <w:rPr>
            <w:noProof/>
            <w:webHidden/>
          </w:rPr>
          <w:fldChar w:fldCharType="end"/>
        </w:r>
      </w:hyperlink>
    </w:p>
    <w:p w14:paraId="4272FF2B" w14:textId="16047D03" w:rsidR="00424F6A" w:rsidRPr="00936F53" w:rsidRDefault="00E14406">
      <w:pPr>
        <w:pStyle w:val="TOC2"/>
        <w:rPr>
          <w:rFonts w:ascii="Calibri" w:hAnsi="Calibri"/>
          <w:noProof/>
          <w:sz w:val="22"/>
          <w:szCs w:val="22"/>
        </w:rPr>
      </w:pPr>
      <w:hyperlink w:anchor="_Toc181585" w:history="1">
        <w:r w:rsidR="00424F6A" w:rsidRPr="0016529C">
          <w:rPr>
            <w:rStyle w:val="Hyperlink"/>
            <w:iCs/>
            <w:noProof/>
          </w:rPr>
          <w:t>25.2</w:t>
        </w:r>
        <w:r w:rsidR="00424F6A" w:rsidRPr="00936F53">
          <w:rPr>
            <w:rFonts w:ascii="Calibri" w:hAnsi="Calibri"/>
            <w:noProof/>
            <w:sz w:val="22"/>
            <w:szCs w:val="22"/>
          </w:rPr>
          <w:tab/>
        </w:r>
        <w:r w:rsidR="00424F6A" w:rsidRPr="0016529C">
          <w:rPr>
            <w:rStyle w:val="Hyperlink"/>
            <w:noProof/>
          </w:rPr>
          <w:t>Market</w:t>
        </w:r>
        <w:r w:rsidR="00424F6A" w:rsidRPr="0016529C">
          <w:rPr>
            <w:rStyle w:val="Hyperlink"/>
            <w:iCs/>
            <w:noProof/>
          </w:rPr>
          <w:t xml:space="preserve"> Suspension Principles</w:t>
        </w:r>
        <w:r w:rsidR="00424F6A" w:rsidRPr="0016529C">
          <w:rPr>
            <w:noProof/>
            <w:webHidden/>
          </w:rPr>
          <w:tab/>
        </w:r>
        <w:r w:rsidR="00424F6A" w:rsidRPr="0016529C">
          <w:rPr>
            <w:noProof/>
            <w:webHidden/>
          </w:rPr>
          <w:fldChar w:fldCharType="begin"/>
        </w:r>
        <w:r w:rsidR="00424F6A" w:rsidRPr="0016529C">
          <w:rPr>
            <w:noProof/>
            <w:webHidden/>
          </w:rPr>
          <w:instrText xml:space="preserve"> PAGEREF _Toc181585 \h </w:instrText>
        </w:r>
        <w:r w:rsidR="00424F6A" w:rsidRPr="0016529C">
          <w:rPr>
            <w:noProof/>
            <w:webHidden/>
          </w:rPr>
        </w:r>
        <w:r w:rsidR="00424F6A" w:rsidRPr="0016529C">
          <w:rPr>
            <w:noProof/>
            <w:webHidden/>
          </w:rPr>
          <w:fldChar w:fldCharType="separate"/>
        </w:r>
        <w:r>
          <w:rPr>
            <w:noProof/>
            <w:webHidden/>
          </w:rPr>
          <w:t>25-1</w:t>
        </w:r>
        <w:r w:rsidR="00424F6A" w:rsidRPr="0016529C">
          <w:rPr>
            <w:noProof/>
            <w:webHidden/>
          </w:rPr>
          <w:fldChar w:fldCharType="end"/>
        </w:r>
      </w:hyperlink>
    </w:p>
    <w:p w14:paraId="50B3DFA0" w14:textId="1863D0A4" w:rsidR="00424F6A" w:rsidRPr="00936F53" w:rsidRDefault="00E14406">
      <w:pPr>
        <w:pStyle w:val="TOC2"/>
        <w:rPr>
          <w:rFonts w:ascii="Calibri" w:hAnsi="Calibri"/>
          <w:noProof/>
          <w:sz w:val="22"/>
          <w:szCs w:val="22"/>
        </w:rPr>
      </w:pPr>
      <w:hyperlink w:anchor="_Toc181586" w:history="1">
        <w:r w:rsidR="00424F6A" w:rsidRPr="0016529C">
          <w:rPr>
            <w:rStyle w:val="Hyperlink"/>
            <w:noProof/>
          </w:rPr>
          <w:t>25.3</w:t>
        </w:r>
        <w:r w:rsidR="00424F6A" w:rsidRPr="00936F53">
          <w:rPr>
            <w:rFonts w:ascii="Calibri" w:hAnsi="Calibri"/>
            <w:noProof/>
            <w:sz w:val="22"/>
            <w:szCs w:val="22"/>
          </w:rPr>
          <w:tab/>
        </w:r>
        <w:r w:rsidR="00424F6A" w:rsidRPr="0016529C">
          <w:rPr>
            <w:rStyle w:val="Hyperlink"/>
            <w:noProof/>
          </w:rPr>
          <w:t>Market Restart Processes</w:t>
        </w:r>
        <w:r w:rsidR="00424F6A" w:rsidRPr="0016529C">
          <w:rPr>
            <w:noProof/>
            <w:webHidden/>
          </w:rPr>
          <w:tab/>
        </w:r>
        <w:r w:rsidR="00424F6A" w:rsidRPr="0016529C">
          <w:rPr>
            <w:noProof/>
            <w:webHidden/>
          </w:rPr>
          <w:fldChar w:fldCharType="begin"/>
        </w:r>
        <w:r w:rsidR="00424F6A" w:rsidRPr="0016529C">
          <w:rPr>
            <w:noProof/>
            <w:webHidden/>
          </w:rPr>
          <w:instrText xml:space="preserve"> PAGEREF _Toc181586 \h </w:instrText>
        </w:r>
        <w:r w:rsidR="00424F6A" w:rsidRPr="0016529C">
          <w:rPr>
            <w:noProof/>
            <w:webHidden/>
          </w:rPr>
        </w:r>
        <w:r w:rsidR="00424F6A" w:rsidRPr="0016529C">
          <w:rPr>
            <w:noProof/>
            <w:webHidden/>
          </w:rPr>
          <w:fldChar w:fldCharType="separate"/>
        </w:r>
        <w:r>
          <w:rPr>
            <w:noProof/>
            <w:webHidden/>
          </w:rPr>
          <w:t>25-3</w:t>
        </w:r>
        <w:r w:rsidR="00424F6A" w:rsidRPr="0016529C">
          <w:rPr>
            <w:noProof/>
            <w:webHidden/>
          </w:rPr>
          <w:fldChar w:fldCharType="end"/>
        </w:r>
      </w:hyperlink>
    </w:p>
    <w:p w14:paraId="1F96D026" w14:textId="374D5C89" w:rsidR="00424F6A" w:rsidRPr="00936F53" w:rsidRDefault="00E14406">
      <w:pPr>
        <w:pStyle w:val="TOC2"/>
        <w:rPr>
          <w:rFonts w:ascii="Calibri" w:hAnsi="Calibri"/>
          <w:noProof/>
          <w:sz w:val="22"/>
          <w:szCs w:val="22"/>
        </w:rPr>
      </w:pPr>
      <w:hyperlink w:anchor="_Toc181587" w:history="1">
        <w:r w:rsidR="00424F6A" w:rsidRPr="0016529C">
          <w:rPr>
            <w:rStyle w:val="Hyperlink"/>
            <w:noProof/>
          </w:rPr>
          <w:t>25.4</w:t>
        </w:r>
        <w:r w:rsidR="00424F6A" w:rsidRPr="00936F53">
          <w:rPr>
            <w:rFonts w:ascii="Calibri" w:hAnsi="Calibri"/>
            <w:noProof/>
            <w:sz w:val="22"/>
            <w:szCs w:val="22"/>
          </w:rPr>
          <w:tab/>
        </w:r>
        <w:r w:rsidR="00424F6A" w:rsidRPr="0016529C">
          <w:rPr>
            <w:rStyle w:val="Hyperlink"/>
            <w:noProof/>
          </w:rPr>
          <w:t>Market Suspension Credit Processes</w:t>
        </w:r>
        <w:r w:rsidR="00424F6A" w:rsidRPr="0016529C">
          <w:rPr>
            <w:noProof/>
            <w:webHidden/>
          </w:rPr>
          <w:tab/>
        </w:r>
        <w:r w:rsidR="00424F6A" w:rsidRPr="0016529C">
          <w:rPr>
            <w:noProof/>
            <w:webHidden/>
          </w:rPr>
          <w:fldChar w:fldCharType="begin"/>
        </w:r>
        <w:r w:rsidR="00424F6A" w:rsidRPr="0016529C">
          <w:rPr>
            <w:noProof/>
            <w:webHidden/>
          </w:rPr>
          <w:instrText xml:space="preserve"> PAGEREF _Toc181587 \h </w:instrText>
        </w:r>
        <w:r w:rsidR="00424F6A" w:rsidRPr="0016529C">
          <w:rPr>
            <w:noProof/>
            <w:webHidden/>
          </w:rPr>
        </w:r>
        <w:r w:rsidR="00424F6A" w:rsidRPr="0016529C">
          <w:rPr>
            <w:noProof/>
            <w:webHidden/>
          </w:rPr>
          <w:fldChar w:fldCharType="separate"/>
        </w:r>
        <w:r>
          <w:rPr>
            <w:noProof/>
            <w:webHidden/>
          </w:rPr>
          <w:t>25-4</w:t>
        </w:r>
        <w:r w:rsidR="00424F6A" w:rsidRPr="0016529C">
          <w:rPr>
            <w:noProof/>
            <w:webHidden/>
          </w:rPr>
          <w:fldChar w:fldCharType="end"/>
        </w:r>
      </w:hyperlink>
    </w:p>
    <w:p w14:paraId="77BBFF2B" w14:textId="04A5D91B" w:rsidR="00424F6A" w:rsidRPr="00936F53" w:rsidRDefault="00E14406">
      <w:pPr>
        <w:pStyle w:val="TOC3"/>
        <w:rPr>
          <w:rFonts w:ascii="Calibri" w:hAnsi="Calibri"/>
          <w:i w:val="0"/>
          <w:iCs w:val="0"/>
          <w:noProof/>
          <w:sz w:val="22"/>
          <w:szCs w:val="22"/>
        </w:rPr>
      </w:pPr>
      <w:hyperlink w:anchor="_Toc181588" w:history="1">
        <w:r w:rsidR="00424F6A" w:rsidRPr="0016529C">
          <w:rPr>
            <w:rStyle w:val="Hyperlink"/>
            <w:bCs/>
            <w:i w:val="0"/>
            <w:noProof/>
          </w:rPr>
          <w:t>25.4.1</w:t>
        </w:r>
        <w:r w:rsidR="00424F6A" w:rsidRPr="00936F53">
          <w:rPr>
            <w:rFonts w:ascii="Calibri" w:hAnsi="Calibri"/>
            <w:i w:val="0"/>
            <w:iCs w:val="0"/>
            <w:noProof/>
            <w:sz w:val="22"/>
            <w:szCs w:val="22"/>
          </w:rPr>
          <w:tab/>
        </w:r>
        <w:r w:rsidR="00424F6A" w:rsidRPr="0016529C">
          <w:rPr>
            <w:rStyle w:val="Hyperlink"/>
            <w:bCs/>
            <w:i w:val="0"/>
            <w:noProof/>
          </w:rPr>
          <w:t>Market Suspension Credit Assumptions</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_Toc181588 \h </w:instrText>
        </w:r>
        <w:r w:rsidR="00424F6A" w:rsidRPr="0016529C">
          <w:rPr>
            <w:i w:val="0"/>
            <w:noProof/>
            <w:webHidden/>
          </w:rPr>
        </w:r>
        <w:r w:rsidR="00424F6A" w:rsidRPr="0016529C">
          <w:rPr>
            <w:i w:val="0"/>
            <w:noProof/>
            <w:webHidden/>
          </w:rPr>
          <w:fldChar w:fldCharType="separate"/>
        </w:r>
        <w:r>
          <w:rPr>
            <w:i w:val="0"/>
            <w:noProof/>
            <w:webHidden/>
          </w:rPr>
          <w:t>25-4</w:t>
        </w:r>
        <w:r w:rsidR="00424F6A" w:rsidRPr="0016529C">
          <w:rPr>
            <w:i w:val="0"/>
            <w:noProof/>
            <w:webHidden/>
          </w:rPr>
          <w:fldChar w:fldCharType="end"/>
        </w:r>
      </w:hyperlink>
    </w:p>
    <w:p w14:paraId="02390BC3" w14:textId="549A7AE3" w:rsidR="00424F6A" w:rsidRPr="00936F53" w:rsidRDefault="00E14406">
      <w:pPr>
        <w:pStyle w:val="TOC3"/>
        <w:rPr>
          <w:rFonts w:ascii="Calibri" w:hAnsi="Calibri"/>
          <w:i w:val="0"/>
          <w:iCs w:val="0"/>
          <w:noProof/>
          <w:sz w:val="22"/>
          <w:szCs w:val="22"/>
        </w:rPr>
      </w:pPr>
      <w:hyperlink w:anchor="_Toc181589" w:history="1">
        <w:r w:rsidR="00424F6A" w:rsidRPr="0016529C">
          <w:rPr>
            <w:rStyle w:val="Hyperlink"/>
            <w:bCs/>
            <w:i w:val="0"/>
            <w:noProof/>
          </w:rPr>
          <w:t>25.4.2</w:t>
        </w:r>
        <w:r w:rsidR="00424F6A" w:rsidRPr="00936F53">
          <w:rPr>
            <w:rFonts w:ascii="Calibri" w:hAnsi="Calibri"/>
            <w:i w:val="0"/>
            <w:iCs w:val="0"/>
            <w:noProof/>
            <w:sz w:val="22"/>
            <w:szCs w:val="22"/>
          </w:rPr>
          <w:tab/>
        </w:r>
        <w:r w:rsidR="00424F6A" w:rsidRPr="0016529C">
          <w:rPr>
            <w:rStyle w:val="Hyperlink"/>
            <w:bCs/>
            <w:i w:val="0"/>
            <w:noProof/>
          </w:rPr>
          <w:t>Determination of Counter-Party Available Credit Limits</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_Toc181589 \h </w:instrText>
        </w:r>
        <w:r w:rsidR="00424F6A" w:rsidRPr="0016529C">
          <w:rPr>
            <w:i w:val="0"/>
            <w:noProof/>
            <w:webHidden/>
          </w:rPr>
        </w:r>
        <w:r w:rsidR="00424F6A" w:rsidRPr="0016529C">
          <w:rPr>
            <w:i w:val="0"/>
            <w:noProof/>
            <w:webHidden/>
          </w:rPr>
          <w:fldChar w:fldCharType="separate"/>
        </w:r>
        <w:r>
          <w:rPr>
            <w:i w:val="0"/>
            <w:noProof/>
            <w:webHidden/>
          </w:rPr>
          <w:t>25-5</w:t>
        </w:r>
        <w:r w:rsidR="00424F6A" w:rsidRPr="0016529C">
          <w:rPr>
            <w:i w:val="0"/>
            <w:noProof/>
            <w:webHidden/>
          </w:rPr>
          <w:fldChar w:fldCharType="end"/>
        </w:r>
      </w:hyperlink>
    </w:p>
    <w:p w14:paraId="6184E41F" w14:textId="5676AC8D" w:rsidR="00424F6A" w:rsidRPr="00936F53" w:rsidRDefault="00E14406">
      <w:pPr>
        <w:pStyle w:val="TOC3"/>
        <w:rPr>
          <w:rFonts w:ascii="Calibri" w:hAnsi="Calibri"/>
          <w:i w:val="0"/>
          <w:iCs w:val="0"/>
          <w:noProof/>
          <w:sz w:val="22"/>
          <w:szCs w:val="22"/>
        </w:rPr>
      </w:pPr>
      <w:hyperlink w:anchor="_Toc181590" w:history="1">
        <w:r w:rsidR="00424F6A" w:rsidRPr="0016529C">
          <w:rPr>
            <w:rStyle w:val="Hyperlink"/>
            <w:bCs/>
            <w:i w:val="0"/>
            <w:noProof/>
          </w:rPr>
          <w:t>25.4.3</w:t>
        </w:r>
        <w:r w:rsidR="00424F6A" w:rsidRPr="00936F53">
          <w:rPr>
            <w:rFonts w:ascii="Calibri" w:hAnsi="Calibri"/>
            <w:i w:val="0"/>
            <w:iCs w:val="0"/>
            <w:noProof/>
            <w:sz w:val="22"/>
            <w:szCs w:val="22"/>
          </w:rPr>
          <w:tab/>
        </w:r>
        <w:r w:rsidR="00424F6A" w:rsidRPr="0016529C">
          <w:rPr>
            <w:rStyle w:val="Hyperlink"/>
            <w:bCs/>
            <w:i w:val="0"/>
            <w:noProof/>
          </w:rPr>
          <w:t>Collateral Management</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_Toc181590 \h </w:instrText>
        </w:r>
        <w:r w:rsidR="00424F6A" w:rsidRPr="0016529C">
          <w:rPr>
            <w:i w:val="0"/>
            <w:noProof/>
            <w:webHidden/>
          </w:rPr>
        </w:r>
        <w:r w:rsidR="00424F6A" w:rsidRPr="0016529C">
          <w:rPr>
            <w:i w:val="0"/>
            <w:noProof/>
            <w:webHidden/>
          </w:rPr>
          <w:fldChar w:fldCharType="separate"/>
        </w:r>
        <w:r>
          <w:rPr>
            <w:i w:val="0"/>
            <w:noProof/>
            <w:webHidden/>
          </w:rPr>
          <w:t>25-5</w:t>
        </w:r>
        <w:r w:rsidR="00424F6A" w:rsidRPr="0016529C">
          <w:rPr>
            <w:i w:val="0"/>
            <w:noProof/>
            <w:webHidden/>
          </w:rPr>
          <w:fldChar w:fldCharType="end"/>
        </w:r>
      </w:hyperlink>
    </w:p>
    <w:p w14:paraId="42306084" w14:textId="18F6E8E3" w:rsidR="00424F6A" w:rsidRPr="00936F53" w:rsidRDefault="00E14406">
      <w:pPr>
        <w:pStyle w:val="TOC2"/>
        <w:rPr>
          <w:rFonts w:ascii="Calibri" w:hAnsi="Calibri"/>
          <w:noProof/>
          <w:sz w:val="22"/>
          <w:szCs w:val="22"/>
        </w:rPr>
      </w:pPr>
      <w:hyperlink w:anchor="_Toc181591" w:history="1">
        <w:r w:rsidR="00424F6A" w:rsidRPr="0016529C">
          <w:rPr>
            <w:rStyle w:val="Hyperlink"/>
            <w:noProof/>
          </w:rPr>
          <w:t>25.5</w:t>
        </w:r>
        <w:r w:rsidR="00424F6A" w:rsidRPr="00936F53">
          <w:rPr>
            <w:rFonts w:ascii="Calibri" w:hAnsi="Calibri"/>
            <w:noProof/>
            <w:sz w:val="22"/>
            <w:szCs w:val="22"/>
          </w:rPr>
          <w:tab/>
        </w:r>
        <w:r w:rsidR="00424F6A" w:rsidRPr="0016529C">
          <w:rPr>
            <w:rStyle w:val="Hyperlink"/>
            <w:noProof/>
          </w:rPr>
          <w:t>Market Suspension and Market Restart Settlement</w:t>
        </w:r>
        <w:r w:rsidR="00424F6A" w:rsidRPr="0016529C">
          <w:rPr>
            <w:noProof/>
            <w:webHidden/>
          </w:rPr>
          <w:tab/>
        </w:r>
        <w:r w:rsidR="00424F6A" w:rsidRPr="0016529C">
          <w:rPr>
            <w:noProof/>
            <w:webHidden/>
          </w:rPr>
          <w:fldChar w:fldCharType="begin"/>
        </w:r>
        <w:r w:rsidR="00424F6A" w:rsidRPr="0016529C">
          <w:rPr>
            <w:noProof/>
            <w:webHidden/>
          </w:rPr>
          <w:instrText xml:space="preserve"> PAGEREF _Toc181591 \h </w:instrText>
        </w:r>
        <w:r w:rsidR="00424F6A" w:rsidRPr="0016529C">
          <w:rPr>
            <w:noProof/>
            <w:webHidden/>
          </w:rPr>
        </w:r>
        <w:r w:rsidR="00424F6A" w:rsidRPr="0016529C">
          <w:rPr>
            <w:noProof/>
            <w:webHidden/>
          </w:rPr>
          <w:fldChar w:fldCharType="separate"/>
        </w:r>
        <w:r>
          <w:rPr>
            <w:noProof/>
            <w:webHidden/>
          </w:rPr>
          <w:t>25-5</w:t>
        </w:r>
        <w:r w:rsidR="00424F6A" w:rsidRPr="0016529C">
          <w:rPr>
            <w:noProof/>
            <w:webHidden/>
          </w:rPr>
          <w:fldChar w:fldCharType="end"/>
        </w:r>
      </w:hyperlink>
    </w:p>
    <w:p w14:paraId="54F37DF8" w14:textId="27A2B4CD" w:rsidR="00424F6A" w:rsidRPr="00936F53" w:rsidRDefault="00E14406">
      <w:pPr>
        <w:pStyle w:val="TOC3"/>
        <w:rPr>
          <w:rFonts w:ascii="Calibri" w:hAnsi="Calibri"/>
          <w:i w:val="0"/>
          <w:iCs w:val="0"/>
          <w:noProof/>
          <w:sz w:val="22"/>
          <w:szCs w:val="22"/>
        </w:rPr>
      </w:pPr>
      <w:hyperlink w:anchor="_Toc181592" w:history="1">
        <w:r w:rsidR="00424F6A" w:rsidRPr="0016529C">
          <w:rPr>
            <w:rStyle w:val="Hyperlink"/>
            <w:bCs/>
            <w:i w:val="0"/>
            <w:noProof/>
          </w:rPr>
          <w:t>25.5.1</w:t>
        </w:r>
        <w:r w:rsidR="00424F6A" w:rsidRPr="00936F53">
          <w:rPr>
            <w:rFonts w:ascii="Calibri" w:hAnsi="Calibri"/>
            <w:i w:val="0"/>
            <w:iCs w:val="0"/>
            <w:noProof/>
            <w:sz w:val="22"/>
            <w:szCs w:val="22"/>
          </w:rPr>
          <w:tab/>
        </w:r>
        <w:r w:rsidR="00424F6A" w:rsidRPr="0016529C">
          <w:rPr>
            <w:rStyle w:val="Hyperlink"/>
            <w:bCs/>
            <w:i w:val="0"/>
            <w:noProof/>
          </w:rPr>
          <w:t>Settlement Activity for a Market Suspension</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_Toc181592 \h </w:instrText>
        </w:r>
        <w:r w:rsidR="00424F6A" w:rsidRPr="0016529C">
          <w:rPr>
            <w:i w:val="0"/>
            <w:noProof/>
            <w:webHidden/>
          </w:rPr>
        </w:r>
        <w:r w:rsidR="00424F6A" w:rsidRPr="0016529C">
          <w:rPr>
            <w:i w:val="0"/>
            <w:noProof/>
            <w:webHidden/>
          </w:rPr>
          <w:fldChar w:fldCharType="separate"/>
        </w:r>
        <w:r>
          <w:rPr>
            <w:i w:val="0"/>
            <w:noProof/>
            <w:webHidden/>
          </w:rPr>
          <w:t>25-5</w:t>
        </w:r>
        <w:r w:rsidR="00424F6A" w:rsidRPr="0016529C">
          <w:rPr>
            <w:i w:val="0"/>
            <w:noProof/>
            <w:webHidden/>
          </w:rPr>
          <w:fldChar w:fldCharType="end"/>
        </w:r>
      </w:hyperlink>
    </w:p>
    <w:p w14:paraId="1C348104" w14:textId="74D7B956" w:rsidR="00424F6A" w:rsidRPr="00936F53" w:rsidRDefault="00E14406">
      <w:pPr>
        <w:pStyle w:val="TOC3"/>
        <w:rPr>
          <w:rFonts w:ascii="Calibri" w:hAnsi="Calibri"/>
          <w:i w:val="0"/>
          <w:iCs w:val="0"/>
          <w:noProof/>
          <w:sz w:val="22"/>
          <w:szCs w:val="22"/>
        </w:rPr>
      </w:pPr>
      <w:hyperlink w:anchor="_Toc181593" w:history="1">
        <w:r w:rsidR="00424F6A" w:rsidRPr="0016529C">
          <w:rPr>
            <w:rStyle w:val="Hyperlink"/>
            <w:bCs/>
            <w:i w:val="0"/>
            <w:noProof/>
          </w:rPr>
          <w:t>25.5.2</w:t>
        </w:r>
        <w:r w:rsidR="00424F6A" w:rsidRPr="00936F53">
          <w:rPr>
            <w:rFonts w:ascii="Calibri" w:hAnsi="Calibri"/>
            <w:i w:val="0"/>
            <w:iCs w:val="0"/>
            <w:noProof/>
            <w:sz w:val="22"/>
            <w:szCs w:val="22"/>
          </w:rPr>
          <w:tab/>
        </w:r>
        <w:r w:rsidR="00424F6A" w:rsidRPr="0016529C">
          <w:rPr>
            <w:rStyle w:val="Hyperlink"/>
            <w:bCs/>
            <w:i w:val="0"/>
            <w:noProof/>
          </w:rPr>
          <w:t>Market Suspension Make-Whole Payment</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_Toc181593 \h </w:instrText>
        </w:r>
        <w:r w:rsidR="00424F6A" w:rsidRPr="0016529C">
          <w:rPr>
            <w:i w:val="0"/>
            <w:noProof/>
            <w:webHidden/>
          </w:rPr>
        </w:r>
        <w:r w:rsidR="00424F6A" w:rsidRPr="0016529C">
          <w:rPr>
            <w:i w:val="0"/>
            <w:noProof/>
            <w:webHidden/>
          </w:rPr>
          <w:fldChar w:fldCharType="separate"/>
        </w:r>
        <w:r>
          <w:rPr>
            <w:i w:val="0"/>
            <w:noProof/>
            <w:webHidden/>
          </w:rPr>
          <w:t>25-8</w:t>
        </w:r>
        <w:r w:rsidR="00424F6A" w:rsidRPr="0016529C">
          <w:rPr>
            <w:i w:val="0"/>
            <w:noProof/>
            <w:webHidden/>
          </w:rPr>
          <w:fldChar w:fldCharType="end"/>
        </w:r>
      </w:hyperlink>
    </w:p>
    <w:p w14:paraId="25463BD7" w14:textId="15E2B7C2" w:rsidR="00424F6A" w:rsidRPr="00936F53" w:rsidRDefault="00E14406">
      <w:pPr>
        <w:pStyle w:val="TOC3"/>
        <w:rPr>
          <w:rFonts w:ascii="Calibri" w:hAnsi="Calibri"/>
          <w:i w:val="0"/>
          <w:iCs w:val="0"/>
          <w:noProof/>
          <w:sz w:val="22"/>
          <w:szCs w:val="22"/>
        </w:rPr>
      </w:pPr>
      <w:hyperlink w:anchor="_Toc181594" w:history="1">
        <w:r w:rsidR="00424F6A" w:rsidRPr="0016529C">
          <w:rPr>
            <w:rStyle w:val="Hyperlink"/>
            <w:bCs/>
            <w:i w:val="0"/>
            <w:noProof/>
          </w:rPr>
          <w:t>25.5.3</w:t>
        </w:r>
        <w:r w:rsidR="00424F6A" w:rsidRPr="00936F53">
          <w:rPr>
            <w:rFonts w:ascii="Calibri" w:hAnsi="Calibri"/>
            <w:i w:val="0"/>
            <w:iCs w:val="0"/>
            <w:noProof/>
            <w:sz w:val="22"/>
            <w:szCs w:val="22"/>
          </w:rPr>
          <w:tab/>
        </w:r>
        <w:r w:rsidR="00424F6A" w:rsidRPr="0016529C">
          <w:rPr>
            <w:rStyle w:val="Hyperlink"/>
            <w:bCs/>
            <w:i w:val="0"/>
            <w:noProof/>
          </w:rPr>
          <w:t>Market Suspension DC Tie Import Payment</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_Toc181594 \h </w:instrText>
        </w:r>
        <w:r w:rsidR="00424F6A" w:rsidRPr="0016529C">
          <w:rPr>
            <w:i w:val="0"/>
            <w:noProof/>
            <w:webHidden/>
          </w:rPr>
        </w:r>
        <w:r w:rsidR="00424F6A" w:rsidRPr="0016529C">
          <w:rPr>
            <w:i w:val="0"/>
            <w:noProof/>
            <w:webHidden/>
          </w:rPr>
          <w:fldChar w:fldCharType="separate"/>
        </w:r>
        <w:r>
          <w:rPr>
            <w:i w:val="0"/>
            <w:noProof/>
            <w:webHidden/>
          </w:rPr>
          <w:t>25-12</w:t>
        </w:r>
        <w:r w:rsidR="00424F6A" w:rsidRPr="0016529C">
          <w:rPr>
            <w:i w:val="0"/>
            <w:noProof/>
            <w:webHidden/>
          </w:rPr>
          <w:fldChar w:fldCharType="end"/>
        </w:r>
      </w:hyperlink>
    </w:p>
    <w:p w14:paraId="1272623A" w14:textId="6A31AE22" w:rsidR="00424F6A" w:rsidRPr="00936F53" w:rsidRDefault="00E14406">
      <w:pPr>
        <w:pStyle w:val="TOC3"/>
        <w:rPr>
          <w:rFonts w:ascii="Calibri" w:hAnsi="Calibri"/>
          <w:i w:val="0"/>
          <w:iCs w:val="0"/>
          <w:noProof/>
          <w:sz w:val="22"/>
          <w:szCs w:val="22"/>
        </w:rPr>
      </w:pPr>
      <w:hyperlink w:anchor="_Toc181595" w:history="1">
        <w:r w:rsidR="00424F6A" w:rsidRPr="0016529C">
          <w:rPr>
            <w:rStyle w:val="Hyperlink"/>
            <w:bCs/>
            <w:i w:val="0"/>
            <w:noProof/>
          </w:rPr>
          <w:t>25.5.4</w:t>
        </w:r>
        <w:r w:rsidR="00424F6A" w:rsidRPr="00936F53">
          <w:rPr>
            <w:rFonts w:ascii="Calibri" w:hAnsi="Calibri"/>
            <w:i w:val="0"/>
            <w:iCs w:val="0"/>
            <w:noProof/>
            <w:sz w:val="22"/>
            <w:szCs w:val="22"/>
          </w:rPr>
          <w:tab/>
        </w:r>
        <w:r w:rsidR="00424F6A" w:rsidRPr="0016529C">
          <w:rPr>
            <w:rStyle w:val="Hyperlink"/>
            <w:bCs/>
            <w:i w:val="0"/>
            <w:noProof/>
          </w:rPr>
          <w:t>Market Suspension Block Load Transfer Payment</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_Toc181595 \h </w:instrText>
        </w:r>
        <w:r w:rsidR="00424F6A" w:rsidRPr="0016529C">
          <w:rPr>
            <w:i w:val="0"/>
            <w:noProof/>
            <w:webHidden/>
          </w:rPr>
        </w:r>
        <w:r w:rsidR="00424F6A" w:rsidRPr="0016529C">
          <w:rPr>
            <w:i w:val="0"/>
            <w:noProof/>
            <w:webHidden/>
          </w:rPr>
          <w:fldChar w:fldCharType="separate"/>
        </w:r>
        <w:r>
          <w:rPr>
            <w:i w:val="0"/>
            <w:noProof/>
            <w:webHidden/>
          </w:rPr>
          <w:t>25-14</w:t>
        </w:r>
        <w:r w:rsidR="00424F6A" w:rsidRPr="0016529C">
          <w:rPr>
            <w:i w:val="0"/>
            <w:noProof/>
            <w:webHidden/>
          </w:rPr>
          <w:fldChar w:fldCharType="end"/>
        </w:r>
      </w:hyperlink>
    </w:p>
    <w:p w14:paraId="492F0A9C" w14:textId="79C45F6A" w:rsidR="00424F6A" w:rsidRPr="00936F53" w:rsidRDefault="00E14406">
      <w:pPr>
        <w:pStyle w:val="TOC3"/>
        <w:rPr>
          <w:rFonts w:ascii="Calibri" w:hAnsi="Calibri"/>
          <w:i w:val="0"/>
          <w:iCs w:val="0"/>
          <w:noProof/>
          <w:sz w:val="22"/>
          <w:szCs w:val="22"/>
        </w:rPr>
      </w:pPr>
      <w:hyperlink w:anchor="_Toc181596" w:history="1">
        <w:r w:rsidR="00424F6A" w:rsidRPr="0016529C">
          <w:rPr>
            <w:rStyle w:val="Hyperlink"/>
            <w:bCs/>
            <w:i w:val="0"/>
            <w:noProof/>
          </w:rPr>
          <w:t>25.5.5</w:t>
        </w:r>
        <w:r w:rsidR="00424F6A" w:rsidRPr="00936F53">
          <w:rPr>
            <w:rFonts w:ascii="Calibri" w:hAnsi="Calibri"/>
            <w:i w:val="0"/>
            <w:iCs w:val="0"/>
            <w:noProof/>
            <w:sz w:val="22"/>
            <w:szCs w:val="22"/>
          </w:rPr>
          <w:tab/>
        </w:r>
        <w:r w:rsidR="00424F6A" w:rsidRPr="0016529C">
          <w:rPr>
            <w:rStyle w:val="Hyperlink"/>
            <w:bCs/>
            <w:i w:val="0"/>
            <w:noProof/>
          </w:rPr>
          <w:t>Market Suspension Charge Allocation</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_Toc181596 \h </w:instrText>
        </w:r>
        <w:r w:rsidR="00424F6A" w:rsidRPr="0016529C">
          <w:rPr>
            <w:i w:val="0"/>
            <w:noProof/>
            <w:webHidden/>
          </w:rPr>
        </w:r>
        <w:r w:rsidR="00424F6A" w:rsidRPr="0016529C">
          <w:rPr>
            <w:i w:val="0"/>
            <w:noProof/>
            <w:webHidden/>
          </w:rPr>
          <w:fldChar w:fldCharType="separate"/>
        </w:r>
        <w:r>
          <w:rPr>
            <w:i w:val="0"/>
            <w:noProof/>
            <w:webHidden/>
          </w:rPr>
          <w:t>25-15</w:t>
        </w:r>
        <w:r w:rsidR="00424F6A" w:rsidRPr="0016529C">
          <w:rPr>
            <w:i w:val="0"/>
            <w:noProof/>
            <w:webHidden/>
          </w:rPr>
          <w:fldChar w:fldCharType="end"/>
        </w:r>
      </w:hyperlink>
    </w:p>
    <w:p w14:paraId="2CB6DDB6" w14:textId="20AB3685" w:rsidR="00424F6A" w:rsidRPr="00936F53" w:rsidRDefault="00E14406">
      <w:pPr>
        <w:pStyle w:val="TOC3"/>
        <w:rPr>
          <w:rFonts w:ascii="Calibri" w:hAnsi="Calibri"/>
          <w:i w:val="0"/>
          <w:iCs w:val="0"/>
          <w:noProof/>
          <w:sz w:val="22"/>
          <w:szCs w:val="22"/>
        </w:rPr>
      </w:pPr>
      <w:hyperlink w:anchor="_Toc181597" w:history="1">
        <w:r w:rsidR="00424F6A" w:rsidRPr="0016529C">
          <w:rPr>
            <w:rStyle w:val="Hyperlink"/>
            <w:bCs/>
            <w:i w:val="0"/>
            <w:noProof/>
          </w:rPr>
          <w:t>25.5.6</w:t>
        </w:r>
        <w:r w:rsidR="00424F6A" w:rsidRPr="00936F53">
          <w:rPr>
            <w:rFonts w:ascii="Calibri" w:hAnsi="Calibri"/>
            <w:i w:val="0"/>
            <w:iCs w:val="0"/>
            <w:noProof/>
            <w:sz w:val="22"/>
            <w:szCs w:val="22"/>
          </w:rPr>
          <w:tab/>
        </w:r>
        <w:r w:rsidR="00424F6A" w:rsidRPr="0016529C">
          <w:rPr>
            <w:rStyle w:val="Hyperlink"/>
            <w:bCs/>
            <w:i w:val="0"/>
            <w:noProof/>
          </w:rPr>
          <w:t>Market Suspension Data Submissions</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_Toc181597 \h </w:instrText>
        </w:r>
        <w:r w:rsidR="00424F6A" w:rsidRPr="0016529C">
          <w:rPr>
            <w:i w:val="0"/>
            <w:noProof/>
            <w:webHidden/>
          </w:rPr>
        </w:r>
        <w:r w:rsidR="00424F6A" w:rsidRPr="0016529C">
          <w:rPr>
            <w:i w:val="0"/>
            <w:noProof/>
            <w:webHidden/>
          </w:rPr>
          <w:fldChar w:fldCharType="separate"/>
        </w:r>
        <w:r>
          <w:rPr>
            <w:i w:val="0"/>
            <w:noProof/>
            <w:webHidden/>
          </w:rPr>
          <w:t>25-19</w:t>
        </w:r>
        <w:r w:rsidR="00424F6A" w:rsidRPr="0016529C">
          <w:rPr>
            <w:i w:val="0"/>
            <w:noProof/>
            <w:webHidden/>
          </w:rPr>
          <w:fldChar w:fldCharType="end"/>
        </w:r>
      </w:hyperlink>
    </w:p>
    <w:p w14:paraId="7E645D30" w14:textId="3F0E85A0" w:rsidR="00424F6A" w:rsidRPr="00936F53" w:rsidRDefault="00E14406">
      <w:pPr>
        <w:pStyle w:val="TOC3"/>
        <w:rPr>
          <w:rFonts w:ascii="Calibri" w:hAnsi="Calibri"/>
          <w:i w:val="0"/>
          <w:iCs w:val="0"/>
          <w:noProof/>
          <w:sz w:val="22"/>
          <w:szCs w:val="22"/>
        </w:rPr>
      </w:pPr>
      <w:hyperlink w:anchor="_Toc181598" w:history="1">
        <w:r w:rsidR="00424F6A" w:rsidRPr="0016529C">
          <w:rPr>
            <w:rStyle w:val="Hyperlink"/>
            <w:bCs/>
            <w:i w:val="0"/>
            <w:noProof/>
          </w:rPr>
          <w:t>25.5.7</w:t>
        </w:r>
        <w:r w:rsidR="00424F6A" w:rsidRPr="00936F53">
          <w:rPr>
            <w:rFonts w:ascii="Calibri" w:hAnsi="Calibri"/>
            <w:i w:val="0"/>
            <w:iCs w:val="0"/>
            <w:noProof/>
            <w:sz w:val="22"/>
            <w:szCs w:val="22"/>
          </w:rPr>
          <w:tab/>
        </w:r>
        <w:r w:rsidR="00424F6A" w:rsidRPr="0016529C">
          <w:rPr>
            <w:rStyle w:val="Hyperlink"/>
            <w:bCs/>
            <w:i w:val="0"/>
            <w:noProof/>
          </w:rPr>
          <w:t>Invoice Payment and Charges Schedule</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_Toc181598 \h </w:instrText>
        </w:r>
        <w:r w:rsidR="00424F6A" w:rsidRPr="0016529C">
          <w:rPr>
            <w:i w:val="0"/>
            <w:noProof/>
            <w:webHidden/>
          </w:rPr>
        </w:r>
        <w:r w:rsidR="00424F6A" w:rsidRPr="0016529C">
          <w:rPr>
            <w:i w:val="0"/>
            <w:noProof/>
            <w:webHidden/>
          </w:rPr>
          <w:fldChar w:fldCharType="separate"/>
        </w:r>
        <w:r>
          <w:rPr>
            <w:i w:val="0"/>
            <w:noProof/>
            <w:webHidden/>
          </w:rPr>
          <w:t>25-20</w:t>
        </w:r>
        <w:r w:rsidR="00424F6A" w:rsidRPr="0016529C">
          <w:rPr>
            <w:i w:val="0"/>
            <w:noProof/>
            <w:webHidden/>
          </w:rPr>
          <w:fldChar w:fldCharType="end"/>
        </w:r>
      </w:hyperlink>
    </w:p>
    <w:p w14:paraId="6B5804FA" w14:textId="65098CD4" w:rsidR="00424F6A" w:rsidRPr="00936F53" w:rsidRDefault="00E14406">
      <w:pPr>
        <w:pStyle w:val="TOC3"/>
        <w:rPr>
          <w:rFonts w:ascii="Calibri" w:hAnsi="Calibri"/>
          <w:i w:val="0"/>
          <w:iCs w:val="0"/>
          <w:noProof/>
          <w:sz w:val="22"/>
          <w:szCs w:val="22"/>
        </w:rPr>
      </w:pPr>
      <w:hyperlink w:anchor="_Toc181599" w:history="1">
        <w:r w:rsidR="00424F6A" w:rsidRPr="0016529C">
          <w:rPr>
            <w:rStyle w:val="Hyperlink"/>
            <w:bCs/>
            <w:i w:val="0"/>
            <w:noProof/>
          </w:rPr>
          <w:t>25.5.8</w:t>
        </w:r>
        <w:r w:rsidR="00424F6A" w:rsidRPr="00936F53">
          <w:rPr>
            <w:rFonts w:ascii="Calibri" w:hAnsi="Calibri"/>
            <w:i w:val="0"/>
            <w:iCs w:val="0"/>
            <w:noProof/>
            <w:sz w:val="22"/>
            <w:szCs w:val="22"/>
          </w:rPr>
          <w:tab/>
        </w:r>
        <w:r w:rsidR="00424F6A" w:rsidRPr="0016529C">
          <w:rPr>
            <w:rStyle w:val="Hyperlink"/>
            <w:bCs/>
            <w:i w:val="0"/>
            <w:noProof/>
          </w:rPr>
          <w:t>RMR Settlements</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_Toc181599 \h </w:instrText>
        </w:r>
        <w:r w:rsidR="00424F6A" w:rsidRPr="0016529C">
          <w:rPr>
            <w:i w:val="0"/>
            <w:noProof/>
            <w:webHidden/>
          </w:rPr>
        </w:r>
        <w:r w:rsidR="00424F6A" w:rsidRPr="0016529C">
          <w:rPr>
            <w:i w:val="0"/>
            <w:noProof/>
            <w:webHidden/>
          </w:rPr>
          <w:fldChar w:fldCharType="separate"/>
        </w:r>
        <w:r>
          <w:rPr>
            <w:i w:val="0"/>
            <w:noProof/>
            <w:webHidden/>
          </w:rPr>
          <w:t>25-21</w:t>
        </w:r>
        <w:r w:rsidR="00424F6A" w:rsidRPr="0016529C">
          <w:rPr>
            <w:i w:val="0"/>
            <w:noProof/>
            <w:webHidden/>
          </w:rPr>
          <w:fldChar w:fldCharType="end"/>
        </w:r>
      </w:hyperlink>
    </w:p>
    <w:p w14:paraId="2AC3E57B" w14:textId="3757C897" w:rsidR="00424F6A" w:rsidRPr="00936F53" w:rsidRDefault="00E14406">
      <w:pPr>
        <w:pStyle w:val="TOC2"/>
        <w:rPr>
          <w:rFonts w:ascii="Calibri" w:hAnsi="Calibri"/>
          <w:noProof/>
          <w:sz w:val="22"/>
          <w:szCs w:val="22"/>
        </w:rPr>
      </w:pPr>
      <w:hyperlink w:anchor="_Toc181600" w:history="1">
        <w:r w:rsidR="00424F6A" w:rsidRPr="0016529C">
          <w:rPr>
            <w:rStyle w:val="Hyperlink"/>
            <w:noProof/>
          </w:rPr>
          <w:t>25.6</w:t>
        </w:r>
        <w:r w:rsidR="00424F6A" w:rsidRPr="00936F53">
          <w:rPr>
            <w:rFonts w:ascii="Calibri" w:hAnsi="Calibri"/>
            <w:noProof/>
            <w:sz w:val="22"/>
            <w:szCs w:val="22"/>
          </w:rPr>
          <w:tab/>
        </w:r>
        <w:r w:rsidR="00424F6A" w:rsidRPr="0016529C">
          <w:rPr>
            <w:rStyle w:val="Hyperlink"/>
            <w:noProof/>
          </w:rPr>
          <w:t>ERCOT Retail Operations</w:t>
        </w:r>
        <w:r w:rsidR="00424F6A" w:rsidRPr="0016529C">
          <w:rPr>
            <w:noProof/>
            <w:webHidden/>
          </w:rPr>
          <w:tab/>
        </w:r>
        <w:r w:rsidR="00424F6A" w:rsidRPr="0016529C">
          <w:rPr>
            <w:noProof/>
            <w:webHidden/>
          </w:rPr>
          <w:fldChar w:fldCharType="begin"/>
        </w:r>
        <w:r w:rsidR="00424F6A" w:rsidRPr="0016529C">
          <w:rPr>
            <w:noProof/>
            <w:webHidden/>
          </w:rPr>
          <w:instrText xml:space="preserve"> PAGEREF _Toc181600 \h </w:instrText>
        </w:r>
        <w:r w:rsidR="00424F6A" w:rsidRPr="0016529C">
          <w:rPr>
            <w:noProof/>
            <w:webHidden/>
          </w:rPr>
        </w:r>
        <w:r w:rsidR="00424F6A" w:rsidRPr="0016529C">
          <w:rPr>
            <w:noProof/>
            <w:webHidden/>
          </w:rPr>
          <w:fldChar w:fldCharType="separate"/>
        </w:r>
        <w:r>
          <w:rPr>
            <w:noProof/>
            <w:webHidden/>
          </w:rPr>
          <w:t>25-22</w:t>
        </w:r>
        <w:r w:rsidR="00424F6A" w:rsidRPr="0016529C">
          <w:rPr>
            <w:noProof/>
            <w:webHidden/>
          </w:rPr>
          <w:fldChar w:fldCharType="end"/>
        </w:r>
      </w:hyperlink>
    </w:p>
    <w:p w14:paraId="3847607F" w14:textId="15F60A0E" w:rsidR="00424F6A" w:rsidRPr="00936F53" w:rsidRDefault="00E14406">
      <w:pPr>
        <w:pStyle w:val="TOC3"/>
        <w:rPr>
          <w:rFonts w:ascii="Calibri" w:hAnsi="Calibri"/>
          <w:i w:val="0"/>
          <w:iCs w:val="0"/>
          <w:noProof/>
          <w:sz w:val="22"/>
          <w:szCs w:val="22"/>
        </w:rPr>
      </w:pPr>
      <w:hyperlink w:anchor="_Toc181601" w:history="1">
        <w:r w:rsidR="00424F6A" w:rsidRPr="0016529C">
          <w:rPr>
            <w:rStyle w:val="Hyperlink"/>
            <w:bCs/>
            <w:i w:val="0"/>
            <w:noProof/>
          </w:rPr>
          <w:t>25.6.1</w:t>
        </w:r>
        <w:r w:rsidR="00424F6A" w:rsidRPr="00936F53">
          <w:rPr>
            <w:rFonts w:ascii="Calibri" w:hAnsi="Calibri"/>
            <w:i w:val="0"/>
            <w:iCs w:val="0"/>
            <w:noProof/>
            <w:sz w:val="22"/>
            <w:szCs w:val="22"/>
          </w:rPr>
          <w:tab/>
        </w:r>
        <w:r w:rsidR="00424F6A" w:rsidRPr="0016529C">
          <w:rPr>
            <w:rStyle w:val="Hyperlink"/>
            <w:bCs/>
            <w:i w:val="0"/>
            <w:noProof/>
          </w:rPr>
          <w:t>ERCOT Retail Operations Market Suspension Procedures</w:t>
        </w:r>
        <w:r w:rsidR="00424F6A" w:rsidRPr="0016529C">
          <w:rPr>
            <w:i w:val="0"/>
            <w:noProof/>
            <w:webHidden/>
          </w:rPr>
          <w:tab/>
        </w:r>
        <w:r w:rsidR="00424F6A" w:rsidRPr="0016529C">
          <w:rPr>
            <w:i w:val="0"/>
            <w:noProof/>
            <w:webHidden/>
          </w:rPr>
          <w:fldChar w:fldCharType="begin"/>
        </w:r>
        <w:r w:rsidR="00424F6A" w:rsidRPr="0016529C">
          <w:rPr>
            <w:i w:val="0"/>
            <w:noProof/>
            <w:webHidden/>
          </w:rPr>
          <w:instrText xml:space="preserve"> PAGEREF _Toc181601 \h </w:instrText>
        </w:r>
        <w:r w:rsidR="00424F6A" w:rsidRPr="0016529C">
          <w:rPr>
            <w:i w:val="0"/>
            <w:noProof/>
            <w:webHidden/>
          </w:rPr>
        </w:r>
        <w:r w:rsidR="00424F6A" w:rsidRPr="0016529C">
          <w:rPr>
            <w:i w:val="0"/>
            <w:noProof/>
            <w:webHidden/>
          </w:rPr>
          <w:fldChar w:fldCharType="separate"/>
        </w:r>
        <w:r>
          <w:rPr>
            <w:i w:val="0"/>
            <w:noProof/>
            <w:webHidden/>
          </w:rPr>
          <w:t>25-22</w:t>
        </w:r>
        <w:r w:rsidR="00424F6A" w:rsidRPr="0016529C">
          <w:rPr>
            <w:i w:val="0"/>
            <w:noProof/>
            <w:webHidden/>
          </w:rPr>
          <w:fldChar w:fldCharType="end"/>
        </w:r>
      </w:hyperlink>
    </w:p>
    <w:p w14:paraId="254DC68C" w14:textId="77777777" w:rsidR="002F5868" w:rsidRDefault="00B10807" w:rsidP="005E554F">
      <w:pPr>
        <w:rPr>
          <w:b/>
          <w:bCs/>
          <w:szCs w:val="24"/>
        </w:rPr>
      </w:pPr>
      <w:r w:rsidRPr="00424F6A">
        <w:rPr>
          <w:bCs/>
          <w:iCs/>
          <w:sz w:val="20"/>
        </w:rPr>
        <w:fldChar w:fldCharType="end"/>
      </w:r>
    </w:p>
    <w:p w14:paraId="33C6BD9B" w14:textId="77777777" w:rsidR="002F5868" w:rsidRDefault="002F5868">
      <w:pPr>
        <w:sectPr w:rsidR="002F5868">
          <w:headerReference w:type="first" r:id="rId12"/>
          <w:footerReference w:type="first" r:id="rId13"/>
          <w:pgSz w:w="12240" w:h="15840" w:code="1"/>
          <w:pgMar w:top="1440" w:right="1440" w:bottom="1440" w:left="1440" w:header="720" w:footer="510" w:gutter="0"/>
          <w:pgNumType w:start="1" w:chapStyle="1"/>
          <w:cols w:space="720"/>
          <w:titlePg/>
        </w:sectPr>
      </w:pPr>
    </w:p>
    <w:p w14:paraId="6A64A77E" w14:textId="77777777" w:rsidR="002F5868" w:rsidRDefault="00424F6A" w:rsidP="00424F6A">
      <w:pPr>
        <w:pStyle w:val="Heading1"/>
      </w:pPr>
      <w:bookmarkStart w:id="0" w:name="_Toc181583"/>
      <w:r w:rsidRPr="0086627E">
        <w:lastRenderedPageBreak/>
        <w:t>Market Suspension and Restart</w:t>
      </w:r>
      <w:bookmarkEnd w:id="0"/>
    </w:p>
    <w:p w14:paraId="327A71DA" w14:textId="77777777" w:rsidR="00424F6A" w:rsidRPr="0086627E" w:rsidRDefault="00424F6A" w:rsidP="00424F6A">
      <w:pPr>
        <w:keepNext/>
        <w:tabs>
          <w:tab w:val="left" w:pos="900"/>
        </w:tabs>
        <w:spacing w:before="240" w:after="240"/>
        <w:outlineLvl w:val="1"/>
        <w:rPr>
          <w:b/>
        </w:rPr>
      </w:pPr>
      <w:bookmarkStart w:id="1" w:name="_Toc181584"/>
      <w:bookmarkStart w:id="2" w:name="_Toc493250750"/>
      <w:r w:rsidRPr="0086627E">
        <w:rPr>
          <w:b/>
        </w:rPr>
        <w:t>25.1</w:t>
      </w:r>
      <w:r w:rsidRPr="0086627E">
        <w:rPr>
          <w:b/>
        </w:rPr>
        <w:tab/>
        <w:t>Introduction</w:t>
      </w:r>
      <w:bookmarkEnd w:id="1"/>
      <w:r w:rsidRPr="0086627E">
        <w:rPr>
          <w:b/>
        </w:rPr>
        <w:t xml:space="preserve"> </w:t>
      </w:r>
    </w:p>
    <w:p w14:paraId="1E6E934F" w14:textId="77777777" w:rsidR="00424F6A" w:rsidRPr="0086627E" w:rsidRDefault="00424F6A" w:rsidP="00424F6A">
      <w:pPr>
        <w:spacing w:after="240"/>
        <w:ind w:left="720" w:hanging="720"/>
        <w:rPr>
          <w:iCs/>
        </w:rPr>
      </w:pPr>
      <w:r w:rsidRPr="0086627E">
        <w:rPr>
          <w:iCs/>
        </w:rPr>
        <w:t>(1)</w:t>
      </w:r>
      <w:r w:rsidRPr="0086627E">
        <w:rPr>
          <w:iCs/>
        </w:rPr>
        <w:tab/>
        <w:t>A Market Suspension triggering event may result in the suspension and restart of market activity, including but not limited to:</w:t>
      </w:r>
    </w:p>
    <w:p w14:paraId="131612BF" w14:textId="77777777" w:rsidR="00424F6A" w:rsidRPr="0086627E" w:rsidRDefault="00424F6A" w:rsidP="00424F6A">
      <w:pPr>
        <w:spacing w:after="240"/>
        <w:ind w:left="1440" w:hanging="720"/>
        <w:rPr>
          <w:iCs/>
        </w:rPr>
      </w:pPr>
      <w:r w:rsidRPr="0086627E">
        <w:rPr>
          <w:iCs/>
        </w:rPr>
        <w:t>(a)</w:t>
      </w:r>
      <w:r w:rsidRPr="0086627E">
        <w:rPr>
          <w:iCs/>
        </w:rPr>
        <w:tab/>
        <w:t>Day-Ahead Market (DAM) activities;</w:t>
      </w:r>
    </w:p>
    <w:p w14:paraId="50D9E315" w14:textId="77777777" w:rsidR="00424F6A" w:rsidRPr="0086627E" w:rsidRDefault="00424F6A" w:rsidP="00424F6A">
      <w:pPr>
        <w:spacing w:after="240"/>
        <w:ind w:left="1440" w:hanging="720"/>
        <w:rPr>
          <w:iCs/>
        </w:rPr>
      </w:pPr>
      <w:r w:rsidRPr="0086627E">
        <w:rPr>
          <w:iCs/>
        </w:rPr>
        <w:t>(b)</w:t>
      </w:r>
      <w:r w:rsidRPr="0086627E">
        <w:rPr>
          <w:iCs/>
        </w:rPr>
        <w:tab/>
        <w:t>Real-Time Market (RTM) activities;</w:t>
      </w:r>
    </w:p>
    <w:p w14:paraId="51E97139" w14:textId="77777777" w:rsidR="00424F6A" w:rsidRPr="0086627E" w:rsidRDefault="00424F6A" w:rsidP="00424F6A">
      <w:pPr>
        <w:spacing w:after="240"/>
        <w:ind w:left="1440" w:hanging="720"/>
        <w:rPr>
          <w:iCs/>
        </w:rPr>
      </w:pPr>
      <w:r w:rsidRPr="0086627E">
        <w:rPr>
          <w:iCs/>
        </w:rPr>
        <w:t>(c)</w:t>
      </w:r>
      <w:r w:rsidRPr="0086627E">
        <w:rPr>
          <w:iCs/>
        </w:rPr>
        <w:tab/>
        <w:t>Congestion Revenue Right (CRR) Auctions;</w:t>
      </w:r>
    </w:p>
    <w:p w14:paraId="03A97453" w14:textId="77777777" w:rsidR="00424F6A" w:rsidRPr="0086627E" w:rsidRDefault="00424F6A" w:rsidP="00424F6A">
      <w:pPr>
        <w:spacing w:after="240"/>
        <w:ind w:left="1440" w:hanging="720"/>
        <w:rPr>
          <w:iCs/>
        </w:rPr>
      </w:pPr>
      <w:r w:rsidRPr="0086627E">
        <w:rPr>
          <w:iCs/>
        </w:rPr>
        <w:t>(d)</w:t>
      </w:r>
      <w:r w:rsidRPr="0086627E">
        <w:rPr>
          <w:iCs/>
        </w:rPr>
        <w:tab/>
        <w:t>Market credit activities;</w:t>
      </w:r>
    </w:p>
    <w:p w14:paraId="16E034C0" w14:textId="77777777" w:rsidR="00424F6A" w:rsidRPr="0086627E" w:rsidRDefault="00424F6A" w:rsidP="00424F6A">
      <w:pPr>
        <w:spacing w:after="240"/>
        <w:ind w:left="1440" w:hanging="720"/>
        <w:rPr>
          <w:iCs/>
        </w:rPr>
      </w:pPr>
      <w:r w:rsidRPr="0086627E">
        <w:rPr>
          <w:iCs/>
        </w:rPr>
        <w:t>(e)</w:t>
      </w:r>
      <w:r w:rsidRPr="0086627E">
        <w:rPr>
          <w:iCs/>
        </w:rPr>
        <w:tab/>
        <w:t xml:space="preserve">Retail market activities; </w:t>
      </w:r>
    </w:p>
    <w:p w14:paraId="32545DC0" w14:textId="77777777" w:rsidR="00424F6A" w:rsidRPr="0086627E" w:rsidRDefault="00424F6A" w:rsidP="00424F6A">
      <w:pPr>
        <w:spacing w:after="240"/>
        <w:ind w:left="1440" w:hanging="720"/>
        <w:rPr>
          <w:iCs/>
        </w:rPr>
      </w:pPr>
      <w:r w:rsidRPr="0086627E">
        <w:rPr>
          <w:iCs/>
        </w:rPr>
        <w:t>(f)</w:t>
      </w:r>
      <w:r w:rsidRPr="0086627E">
        <w:rPr>
          <w:iCs/>
        </w:rPr>
        <w:tab/>
        <w:t>Network Operations Model updates;</w:t>
      </w:r>
    </w:p>
    <w:p w14:paraId="699D6AD6" w14:textId="77777777" w:rsidR="00424F6A" w:rsidRPr="0086627E" w:rsidRDefault="00424F6A" w:rsidP="00424F6A">
      <w:pPr>
        <w:spacing w:after="240"/>
        <w:ind w:left="1440" w:hanging="720"/>
        <w:rPr>
          <w:iCs/>
        </w:rPr>
      </w:pPr>
      <w:r w:rsidRPr="0086627E">
        <w:rPr>
          <w:iCs/>
        </w:rPr>
        <w:t>(g)</w:t>
      </w:r>
      <w:r w:rsidRPr="0086627E">
        <w:rPr>
          <w:iCs/>
        </w:rPr>
        <w:tab/>
        <w:t>Market reporting activities; and</w:t>
      </w:r>
    </w:p>
    <w:p w14:paraId="571876A5" w14:textId="77777777" w:rsidR="00424F6A" w:rsidRPr="0086627E" w:rsidRDefault="00424F6A" w:rsidP="00424F6A">
      <w:pPr>
        <w:spacing w:after="240"/>
        <w:ind w:left="1440" w:hanging="720"/>
        <w:rPr>
          <w:iCs/>
        </w:rPr>
      </w:pPr>
      <w:r w:rsidRPr="0086627E">
        <w:rPr>
          <w:iCs/>
        </w:rPr>
        <w:t>(h)</w:t>
      </w:r>
      <w:r w:rsidRPr="0086627E">
        <w:rPr>
          <w:iCs/>
        </w:rPr>
        <w:tab/>
        <w:t>Other impacted ERCOT operations and activities.</w:t>
      </w:r>
    </w:p>
    <w:p w14:paraId="608C8F27" w14:textId="77777777" w:rsidR="00424F6A" w:rsidRPr="0086627E" w:rsidRDefault="00424F6A" w:rsidP="00424F6A">
      <w:pPr>
        <w:spacing w:after="240"/>
        <w:ind w:left="720" w:hanging="720"/>
        <w:rPr>
          <w:iCs/>
        </w:rPr>
      </w:pPr>
      <w:r w:rsidRPr="0086627E">
        <w:rPr>
          <w:iCs/>
        </w:rPr>
        <w:t>(2)</w:t>
      </w:r>
      <w:r w:rsidRPr="0086627E">
        <w:rPr>
          <w:iCs/>
        </w:rPr>
        <w:tab/>
        <w:t>A Market Suspension will be declared by ERCOT at its sole discretion and communicated to Market Participants in as timely a manner as feasible, given the constraints of the triggering event.</w:t>
      </w:r>
    </w:p>
    <w:p w14:paraId="0B5CA4A3" w14:textId="77777777" w:rsidR="00424F6A" w:rsidRPr="0086627E" w:rsidRDefault="00424F6A" w:rsidP="00424F6A">
      <w:pPr>
        <w:keepNext/>
        <w:tabs>
          <w:tab w:val="left" w:pos="900"/>
        </w:tabs>
        <w:spacing w:before="240" w:after="240"/>
        <w:outlineLvl w:val="1"/>
        <w:rPr>
          <w:b/>
          <w:iCs/>
        </w:rPr>
      </w:pPr>
      <w:bookmarkStart w:id="3" w:name="_Toc181487"/>
      <w:bookmarkStart w:id="4" w:name="_Toc181585"/>
      <w:r w:rsidRPr="0086627E">
        <w:rPr>
          <w:b/>
          <w:iCs/>
        </w:rPr>
        <w:t>25.2</w:t>
      </w:r>
      <w:r w:rsidRPr="0086627E">
        <w:rPr>
          <w:b/>
          <w:iCs/>
        </w:rPr>
        <w:tab/>
      </w:r>
      <w:r w:rsidRPr="00424F6A">
        <w:rPr>
          <w:b/>
        </w:rPr>
        <w:t>Market</w:t>
      </w:r>
      <w:r w:rsidRPr="0086627E">
        <w:rPr>
          <w:b/>
          <w:iCs/>
        </w:rPr>
        <w:t xml:space="preserve"> Suspension Principles</w:t>
      </w:r>
      <w:bookmarkEnd w:id="3"/>
      <w:bookmarkEnd w:id="4"/>
    </w:p>
    <w:p w14:paraId="7C24B00B" w14:textId="77777777" w:rsidR="00424F6A" w:rsidRPr="0086627E" w:rsidRDefault="00424F6A" w:rsidP="00424F6A">
      <w:pPr>
        <w:spacing w:after="240"/>
        <w:ind w:left="720" w:hanging="720"/>
      </w:pPr>
      <w:r w:rsidRPr="0086627E">
        <w:t>(1)</w:t>
      </w:r>
      <w:r w:rsidRPr="0086627E">
        <w:tab/>
        <w:t>The specific activities that will take place during a Market Suspension will depend on the nature of the triggering event, the extent to which market-supporting systems and processes have been curtailed, and other specific circumstances.  However, in acting to restore markets</w:t>
      </w:r>
      <w:r>
        <w:t>,</w:t>
      </w:r>
      <w:r w:rsidRPr="0086627E">
        <w:t xml:space="preserve"> ERCOT shall act in accordance with the following principles:  </w:t>
      </w:r>
    </w:p>
    <w:p w14:paraId="268283FE" w14:textId="77777777" w:rsidR="00424F6A" w:rsidRPr="0086627E" w:rsidRDefault="00424F6A" w:rsidP="00424F6A">
      <w:pPr>
        <w:spacing w:after="240"/>
        <w:ind w:left="1440" w:hanging="720"/>
      </w:pPr>
      <w:r w:rsidRPr="0086627E">
        <w:t>(a)</w:t>
      </w:r>
      <w:r w:rsidRPr="0086627E">
        <w:tab/>
        <w:t>ERCOT shall use its crisis communication procedures to foster orderly and timely communication of information with the Public Utility Commission of Texas (PUCT), other Governmental Authorities, Market Participants and stakeholders, the media, and the general public.</w:t>
      </w:r>
    </w:p>
    <w:p w14:paraId="780E739F" w14:textId="77777777" w:rsidR="00424F6A" w:rsidRPr="0086627E" w:rsidRDefault="00424F6A" w:rsidP="00424F6A">
      <w:pPr>
        <w:spacing w:after="240"/>
        <w:ind w:left="1440" w:hanging="720"/>
      </w:pPr>
      <w:r w:rsidRPr="0086627E">
        <w:t>(b)</w:t>
      </w:r>
      <w:r w:rsidRPr="0086627E">
        <w:tab/>
        <w:t>During Market Suspension, ERCOT shall act in accordance with the State of Texas Emergency Management Plan (Annex L).</w:t>
      </w:r>
    </w:p>
    <w:p w14:paraId="5D769E7C" w14:textId="77777777" w:rsidR="00424F6A" w:rsidRPr="0086627E" w:rsidRDefault="00424F6A" w:rsidP="00424F6A">
      <w:pPr>
        <w:spacing w:after="240"/>
        <w:ind w:left="1440" w:hanging="720"/>
      </w:pPr>
      <w:r w:rsidRPr="0086627E">
        <w:t>(c)</w:t>
      </w:r>
      <w:r w:rsidRPr="0086627E">
        <w:tab/>
        <w:t>Restart of the Real-Time Market (RTM) will be prioritized before other markets and activities.</w:t>
      </w:r>
    </w:p>
    <w:p w14:paraId="2AAAE17A" w14:textId="77777777" w:rsidR="00424F6A" w:rsidRPr="0086627E" w:rsidRDefault="00424F6A" w:rsidP="00424F6A">
      <w:pPr>
        <w:spacing w:after="240"/>
        <w:ind w:left="1440" w:hanging="720"/>
      </w:pPr>
      <w:r w:rsidRPr="0086627E">
        <w:lastRenderedPageBreak/>
        <w:t>(d)</w:t>
      </w:r>
      <w:r w:rsidRPr="0086627E">
        <w:tab/>
        <w:t>Congestion Revenue Right (CRR) Auctions and related functions will start only after the RTM</w:t>
      </w:r>
      <w:r w:rsidRPr="0086627E" w:rsidDel="00EA7BF5">
        <w:t xml:space="preserve"> </w:t>
      </w:r>
      <w:r w:rsidRPr="0086627E">
        <w:t>and Day-Ahead Market (DAM) are restored.  CRR Auctions will be rescheduled on a best efforts basis.  CRR Auctions may be cancelled.</w:t>
      </w:r>
    </w:p>
    <w:p w14:paraId="7898C468" w14:textId="77777777" w:rsidR="00424F6A" w:rsidRPr="0086627E" w:rsidRDefault="00424F6A" w:rsidP="00424F6A">
      <w:pPr>
        <w:spacing w:after="240"/>
        <w:ind w:left="1440" w:hanging="720"/>
      </w:pPr>
      <w:r w:rsidRPr="0086627E">
        <w:t>(e)</w:t>
      </w:r>
      <w:r w:rsidRPr="0086627E">
        <w:tab/>
        <w:t>In the event of market outage where there are DAM awards with no corresponding Security-Constrained Economic Dispatch (SCED) execution, or CRRs with no corresponding DAM execution, these results will be invalidated for the hours corresponding to the Market Suspension.</w:t>
      </w:r>
    </w:p>
    <w:p w14:paraId="17B3C7BD" w14:textId="77777777" w:rsidR="00424F6A" w:rsidRPr="0086627E" w:rsidRDefault="00424F6A" w:rsidP="00424F6A">
      <w:pPr>
        <w:spacing w:after="240"/>
        <w:ind w:left="1440" w:hanging="720"/>
      </w:pPr>
      <w:r w:rsidRPr="0086627E">
        <w:t>(f)</w:t>
      </w:r>
      <w:r w:rsidRPr="0086627E">
        <w:tab/>
        <w:t>Certain transactions, such as trades, DAM bids and offers, and CRR bids and offers, may be restricted until such time as supporting systems are deemed stable.</w:t>
      </w:r>
    </w:p>
    <w:p w14:paraId="67025E2C" w14:textId="77777777" w:rsidR="00424F6A" w:rsidRPr="0086627E" w:rsidRDefault="00424F6A" w:rsidP="00424F6A">
      <w:pPr>
        <w:spacing w:after="240"/>
        <w:ind w:left="1440" w:hanging="720"/>
      </w:pPr>
      <w:r w:rsidRPr="0086627E">
        <w:t>(g)</w:t>
      </w:r>
      <w:r w:rsidRPr="0086627E">
        <w:tab/>
        <w:t xml:space="preserve">Limited Settlement functionality is expected while restoring ERCOT markets.  To the extent data are available, reconciliation Settlements may be produced after ERCOT market operations are fully restored.  </w:t>
      </w:r>
    </w:p>
    <w:p w14:paraId="60E3A6E2" w14:textId="77777777" w:rsidR="00424F6A" w:rsidRPr="0086627E" w:rsidRDefault="00424F6A" w:rsidP="00424F6A">
      <w:pPr>
        <w:spacing w:after="240"/>
        <w:ind w:left="1440" w:hanging="720"/>
      </w:pPr>
      <w:r w:rsidRPr="0086627E">
        <w:t>(h)</w:t>
      </w:r>
      <w:r w:rsidRPr="0086627E">
        <w:tab/>
        <w:t>Payments to Qualified Scheduling Entities (QSEs) representing Resources shall be made in as timely a manner as possible to support recovery of market functionality.</w:t>
      </w:r>
    </w:p>
    <w:p w14:paraId="18861155" w14:textId="77777777" w:rsidR="00424F6A" w:rsidRPr="0086627E" w:rsidRDefault="00424F6A" w:rsidP="00424F6A">
      <w:pPr>
        <w:spacing w:after="240"/>
        <w:ind w:left="1440" w:hanging="720"/>
      </w:pPr>
      <w:r w:rsidRPr="0086627E">
        <w:t>(i)</w:t>
      </w:r>
      <w:r w:rsidRPr="0086627E">
        <w:tab/>
        <w:t>As necessary, QSEs representing Resources that support restoration of the ERCOT Transmission Grid shall be made whole to their costs as described in Section 25.5.2, Market Suspension Make-Whole Payment.</w:t>
      </w:r>
    </w:p>
    <w:p w14:paraId="6A53AC90" w14:textId="77777777" w:rsidR="00424F6A" w:rsidRPr="0086627E" w:rsidRDefault="00424F6A" w:rsidP="00424F6A">
      <w:pPr>
        <w:spacing w:after="240"/>
        <w:ind w:left="1440" w:hanging="720"/>
      </w:pPr>
      <w:r w:rsidRPr="0086627E">
        <w:t>(j)</w:t>
      </w:r>
      <w:r w:rsidRPr="0086627E">
        <w:tab/>
        <w:t>Startup Costs and operating costs incurred during a Market Su</w:t>
      </w:r>
      <w:r>
        <w:t>s</w:t>
      </w:r>
      <w:r w:rsidRPr="0086627E">
        <w:t>pension shall be uplifted on a Load Ratio Share (LRS) basis after Market Restart.  If necessary to avoid financial disruption to Market Participants, uplift charges may be assessed on an installment basis.</w:t>
      </w:r>
    </w:p>
    <w:p w14:paraId="2710037B" w14:textId="77777777" w:rsidR="00424F6A" w:rsidRPr="0086627E" w:rsidRDefault="00424F6A" w:rsidP="00424F6A">
      <w:pPr>
        <w:spacing w:after="240"/>
        <w:ind w:left="1440" w:hanging="720"/>
      </w:pPr>
      <w:r w:rsidRPr="0086627E">
        <w:t>(k)</w:t>
      </w:r>
      <w:r w:rsidRPr="0086627E">
        <w:tab/>
        <w:t>If additional liquidity is required during a Market Suspension, ERCOT may utilize available funds such as undistributed CRR Auction Revenues before seeking emergency funding to pay QSEs representing Resources.</w:t>
      </w:r>
    </w:p>
    <w:p w14:paraId="2C624021" w14:textId="77777777" w:rsidR="00424F6A" w:rsidRPr="0086627E" w:rsidRDefault="00424F6A" w:rsidP="00424F6A">
      <w:pPr>
        <w:spacing w:after="240"/>
        <w:ind w:left="1440" w:hanging="720"/>
      </w:pPr>
      <w:r w:rsidRPr="0086627E">
        <w:t>(l)</w:t>
      </w:r>
      <w:r w:rsidRPr="0086627E">
        <w:tab/>
        <w:t>Credit and collateral requirements will be reviewed by ERCOT staff as appropriate to facilitate Market Restart.  This could include relaxation of credit requirements and release of cash or other collateral to provide short-term Market Participant liquidity.</w:t>
      </w:r>
    </w:p>
    <w:p w14:paraId="5042FF8A" w14:textId="77777777" w:rsidR="00424F6A" w:rsidRPr="0086627E" w:rsidRDefault="00424F6A" w:rsidP="00424F6A">
      <w:pPr>
        <w:spacing w:after="240"/>
        <w:ind w:left="1440" w:hanging="720"/>
      </w:pPr>
      <w:r w:rsidRPr="0086627E">
        <w:t>(m)</w:t>
      </w:r>
      <w:r w:rsidRPr="0086627E">
        <w:tab/>
        <w:t>Potential Mass Transitions arising in consequence of the event shall be suspended.</w:t>
      </w:r>
    </w:p>
    <w:p w14:paraId="35522AE6" w14:textId="77777777" w:rsidR="00424F6A" w:rsidRDefault="00424F6A" w:rsidP="00424F6A">
      <w:pPr>
        <w:tabs>
          <w:tab w:val="left" w:pos="900"/>
        </w:tabs>
        <w:spacing w:after="240"/>
        <w:ind w:left="1440" w:hanging="720"/>
      </w:pPr>
      <w:r w:rsidRPr="0086627E">
        <w:t>(n)</w:t>
      </w:r>
      <w:r w:rsidRPr="0086627E">
        <w:tab/>
        <w:t>Retail operations will follow the processes outlined in Retail Market Guide Section 7.10, Extended Unplanned Outage, and related supporting documentation.</w:t>
      </w:r>
    </w:p>
    <w:p w14:paraId="2C448442" w14:textId="77777777" w:rsidR="00424F6A" w:rsidRPr="0086627E" w:rsidRDefault="00424F6A" w:rsidP="00424F6A">
      <w:pPr>
        <w:tabs>
          <w:tab w:val="left" w:pos="900"/>
        </w:tabs>
        <w:spacing w:after="240"/>
        <w:ind w:left="1440" w:hanging="720"/>
      </w:pPr>
      <w:r>
        <w:t>(o)</w:t>
      </w:r>
      <w:r>
        <w:tab/>
        <w:t>ERCOT will call a special ERCOT Board meeting prior to effectuating Market Restart for the DAM and RTM.</w:t>
      </w:r>
    </w:p>
    <w:p w14:paraId="5B92B57C" w14:textId="77777777" w:rsidR="00424F6A" w:rsidRPr="0086627E" w:rsidRDefault="00424F6A" w:rsidP="00424F6A">
      <w:pPr>
        <w:keepNext/>
        <w:tabs>
          <w:tab w:val="left" w:pos="900"/>
        </w:tabs>
        <w:spacing w:before="240" w:after="240"/>
        <w:outlineLvl w:val="1"/>
        <w:rPr>
          <w:b/>
        </w:rPr>
      </w:pPr>
      <w:bookmarkStart w:id="5" w:name="_Toc181488"/>
      <w:bookmarkStart w:id="6" w:name="_Toc181586"/>
      <w:r w:rsidRPr="0086627E">
        <w:rPr>
          <w:b/>
        </w:rPr>
        <w:lastRenderedPageBreak/>
        <w:t>25.3</w:t>
      </w:r>
      <w:r w:rsidRPr="0086627E">
        <w:rPr>
          <w:b/>
        </w:rPr>
        <w:tab/>
        <w:t>Market Restart Processes</w:t>
      </w:r>
      <w:bookmarkEnd w:id="5"/>
      <w:bookmarkEnd w:id="6"/>
    </w:p>
    <w:p w14:paraId="26494A43" w14:textId="77777777" w:rsidR="00424F6A" w:rsidRPr="0086627E" w:rsidRDefault="00424F6A" w:rsidP="00424F6A">
      <w:pPr>
        <w:spacing w:after="240"/>
        <w:ind w:left="720" w:hanging="720"/>
      </w:pPr>
      <w:r w:rsidRPr="0086627E">
        <w:t>(1)</w:t>
      </w:r>
      <w:r w:rsidRPr="0086627E">
        <w:tab/>
        <w:t>Specific Market Restart processes may be modified depending on the nature of the triggering event.</w:t>
      </w:r>
    </w:p>
    <w:p w14:paraId="64B2BB9D" w14:textId="77777777" w:rsidR="00424F6A" w:rsidRPr="0086627E" w:rsidRDefault="00424F6A" w:rsidP="00424F6A">
      <w:pPr>
        <w:spacing w:after="240"/>
        <w:ind w:left="720" w:hanging="720"/>
      </w:pPr>
      <w:r w:rsidRPr="0086627E">
        <w:t>(2)</w:t>
      </w:r>
      <w:r w:rsidRPr="0086627E">
        <w:tab/>
        <w:t xml:space="preserve">Market Restart processes work in conjunction with, but will not supersede, other ERCOT emergency processes and procedures such as Black Start procedures.  </w:t>
      </w:r>
    </w:p>
    <w:p w14:paraId="37D4569E" w14:textId="77777777" w:rsidR="00424F6A" w:rsidRPr="0086627E" w:rsidRDefault="00424F6A" w:rsidP="00424F6A">
      <w:pPr>
        <w:spacing w:after="240"/>
        <w:ind w:left="720" w:hanging="720"/>
        <w:rPr>
          <w:iCs/>
        </w:rPr>
      </w:pPr>
      <w:r w:rsidRPr="0086627E">
        <w:rPr>
          <w:iCs/>
        </w:rPr>
        <w:t>(3)</w:t>
      </w:r>
      <w:r w:rsidRPr="0086627E">
        <w:rPr>
          <w:iCs/>
        </w:rPr>
        <w:tab/>
        <w:t xml:space="preserve">Following a declaration by ERCOT of a Market Suspension, in effectuating Market Restart for the Real-Time Market (RTM), ERCOT:   </w:t>
      </w:r>
    </w:p>
    <w:p w14:paraId="680BCA68" w14:textId="77777777" w:rsidR="00424F6A" w:rsidRPr="0086627E" w:rsidRDefault="00424F6A" w:rsidP="00424F6A">
      <w:pPr>
        <w:spacing w:after="240"/>
        <w:ind w:left="1440" w:hanging="720"/>
        <w:rPr>
          <w:iCs/>
        </w:rPr>
      </w:pPr>
      <w:r w:rsidRPr="0086627E">
        <w:rPr>
          <w:iCs/>
        </w:rPr>
        <w:t>(a)</w:t>
      </w:r>
      <w:r w:rsidRPr="0086627E">
        <w:rPr>
          <w:iCs/>
        </w:rPr>
        <w:tab/>
        <w:t xml:space="preserve">Shall determine the interval to resume </w:t>
      </w:r>
      <w:r w:rsidRPr="0086627E">
        <w:rPr>
          <w:iCs/>
          <w:sz w:val="23"/>
          <w:szCs w:val="23"/>
        </w:rPr>
        <w:t>Security-Constrained Economic Dispatch (</w:t>
      </w:r>
      <w:r w:rsidRPr="0086627E">
        <w:rPr>
          <w:iCs/>
        </w:rPr>
        <w:t>SCED) execution based on availability and functioning of:</w:t>
      </w:r>
    </w:p>
    <w:p w14:paraId="2760DDE9" w14:textId="77777777" w:rsidR="00424F6A" w:rsidRPr="0086627E" w:rsidRDefault="00424F6A" w:rsidP="00424F6A">
      <w:pPr>
        <w:tabs>
          <w:tab w:val="left" w:pos="2160"/>
        </w:tabs>
        <w:spacing w:after="240"/>
        <w:ind w:left="2160" w:hanging="720"/>
        <w:rPr>
          <w:iCs/>
        </w:rPr>
      </w:pPr>
      <w:r w:rsidRPr="0086627E">
        <w:rPr>
          <w:iCs/>
        </w:rPr>
        <w:t>(i)</w:t>
      </w:r>
      <w:r w:rsidRPr="0086627E">
        <w:rPr>
          <w:iCs/>
        </w:rPr>
        <w:tab/>
        <w:t>The Energy Management System (EMS);</w:t>
      </w:r>
    </w:p>
    <w:p w14:paraId="4A2DFD39" w14:textId="77777777" w:rsidR="00424F6A" w:rsidRPr="0086627E" w:rsidRDefault="00424F6A" w:rsidP="00424F6A">
      <w:pPr>
        <w:tabs>
          <w:tab w:val="left" w:pos="2160"/>
        </w:tabs>
        <w:spacing w:after="240"/>
        <w:ind w:left="2160" w:hanging="720"/>
        <w:rPr>
          <w:iCs/>
        </w:rPr>
      </w:pPr>
      <w:r w:rsidRPr="0086627E">
        <w:rPr>
          <w:iCs/>
        </w:rPr>
        <w:t>(ii)</w:t>
      </w:r>
      <w:r w:rsidRPr="0086627E">
        <w:rPr>
          <w:iCs/>
        </w:rPr>
        <w:tab/>
        <w:t>The Market Management System (MMS);</w:t>
      </w:r>
    </w:p>
    <w:p w14:paraId="61585BC8" w14:textId="77777777" w:rsidR="00424F6A" w:rsidRPr="0086627E" w:rsidRDefault="00424F6A" w:rsidP="00424F6A">
      <w:pPr>
        <w:tabs>
          <w:tab w:val="left" w:pos="2160"/>
        </w:tabs>
        <w:spacing w:after="240"/>
        <w:ind w:left="2160" w:hanging="720"/>
        <w:rPr>
          <w:iCs/>
        </w:rPr>
      </w:pPr>
      <w:r w:rsidRPr="0086627E">
        <w:rPr>
          <w:iCs/>
        </w:rPr>
        <w:t>(iii)</w:t>
      </w:r>
      <w:r w:rsidRPr="0086627E">
        <w:rPr>
          <w:iCs/>
        </w:rPr>
        <w:tab/>
        <w:t>The ERCOT System operating as a single Island as described in the Nodal Operating Guides; and</w:t>
      </w:r>
    </w:p>
    <w:p w14:paraId="15C5ECF6" w14:textId="77777777" w:rsidR="00424F6A" w:rsidRPr="0086627E" w:rsidRDefault="00424F6A" w:rsidP="00424F6A">
      <w:pPr>
        <w:tabs>
          <w:tab w:val="left" w:pos="2160"/>
        </w:tabs>
        <w:spacing w:after="240"/>
        <w:ind w:left="2160" w:hanging="720"/>
        <w:rPr>
          <w:iCs/>
        </w:rPr>
      </w:pPr>
      <w:r w:rsidRPr="0086627E">
        <w:rPr>
          <w:iCs/>
        </w:rPr>
        <w:t>(iv)</w:t>
      </w:r>
      <w:r w:rsidRPr="0086627E">
        <w:rPr>
          <w:iCs/>
        </w:rPr>
        <w:tab/>
        <w:t>Electronic communications between ERCOT and Market Participants.</w:t>
      </w:r>
    </w:p>
    <w:p w14:paraId="65206305" w14:textId="77777777" w:rsidR="00424F6A" w:rsidRPr="0086627E" w:rsidRDefault="00424F6A" w:rsidP="00424F6A">
      <w:pPr>
        <w:spacing w:after="240"/>
        <w:ind w:left="1440" w:hanging="720"/>
        <w:rPr>
          <w:iCs/>
        </w:rPr>
      </w:pPr>
      <w:r w:rsidRPr="0086627E">
        <w:rPr>
          <w:iCs/>
        </w:rPr>
        <w:t>(b)</w:t>
      </w:r>
      <w:r w:rsidRPr="0086627E">
        <w:rPr>
          <w:iCs/>
        </w:rPr>
        <w:tab/>
        <w:t xml:space="preserve">Shall suspend all RTM Settlements and shall settle pursuant to Section 25.5, Market Suspension </w:t>
      </w:r>
      <w:r w:rsidR="00934039">
        <w:rPr>
          <w:iCs/>
        </w:rPr>
        <w:t xml:space="preserve">and Market Restart </w:t>
      </w:r>
      <w:r w:rsidRPr="0086627E">
        <w:rPr>
          <w:iCs/>
        </w:rPr>
        <w:t>Settlement;</w:t>
      </w:r>
    </w:p>
    <w:p w14:paraId="2683A5DD" w14:textId="77777777" w:rsidR="00424F6A" w:rsidRPr="0086627E" w:rsidRDefault="00424F6A" w:rsidP="00424F6A">
      <w:pPr>
        <w:spacing w:after="240"/>
        <w:ind w:left="1440" w:hanging="720"/>
        <w:rPr>
          <w:iCs/>
        </w:rPr>
      </w:pPr>
      <w:r w:rsidRPr="0086627E">
        <w:rPr>
          <w:iCs/>
        </w:rPr>
        <w:t>(c)</w:t>
      </w:r>
      <w:r w:rsidRPr="0086627E">
        <w:rPr>
          <w:iCs/>
        </w:rPr>
        <w:tab/>
        <w:t>Shall suspend Day-Ahead Market (DAM) Settlements for any Operating Days for which ERCOT declares the RTM was suspended;</w:t>
      </w:r>
    </w:p>
    <w:p w14:paraId="237ECA1B" w14:textId="77777777" w:rsidR="00424F6A" w:rsidRDefault="00424F6A" w:rsidP="00424F6A">
      <w:pPr>
        <w:tabs>
          <w:tab w:val="left" w:pos="2160"/>
        </w:tabs>
        <w:spacing w:after="240"/>
        <w:ind w:left="1440" w:hanging="720"/>
        <w:rPr>
          <w:iCs/>
        </w:rPr>
      </w:pPr>
      <w:r w:rsidRPr="0086627E">
        <w:rPr>
          <w:iCs/>
        </w:rPr>
        <w:t>(d)</w:t>
      </w:r>
      <w:r w:rsidRPr="0086627E">
        <w:rPr>
          <w:iCs/>
        </w:rPr>
        <w:tab/>
        <w:t>May assign Ancillary Services once the ERCOT System is operating as a single Island as described in the Nodal Operating Guides, and ERCOT is ready to control the system using Load Frequency Control (LFC)</w:t>
      </w:r>
      <w:r>
        <w:rPr>
          <w:iCs/>
        </w:rPr>
        <w:t>; and</w:t>
      </w:r>
      <w:r w:rsidRPr="0086627E">
        <w:rPr>
          <w:iCs/>
        </w:rPr>
        <w:t xml:space="preserve">  </w:t>
      </w:r>
    </w:p>
    <w:p w14:paraId="521C37D6" w14:textId="77777777" w:rsidR="00424F6A" w:rsidRPr="0086627E" w:rsidRDefault="00424F6A" w:rsidP="00424F6A">
      <w:pPr>
        <w:tabs>
          <w:tab w:val="left" w:pos="2160"/>
        </w:tabs>
        <w:spacing w:after="240"/>
        <w:ind w:left="1440" w:hanging="720"/>
        <w:rPr>
          <w:iCs/>
        </w:rPr>
      </w:pPr>
      <w:r>
        <w:rPr>
          <w:iCs/>
        </w:rPr>
        <w:t>(e)</w:t>
      </w:r>
      <w:r>
        <w:rPr>
          <w:iCs/>
        </w:rPr>
        <w:tab/>
        <w:t xml:space="preserve">Shall not </w:t>
      </w:r>
      <w:r w:rsidRPr="0086627E">
        <w:rPr>
          <w:iCs/>
        </w:rPr>
        <w:t xml:space="preserve">restart the </w:t>
      </w:r>
      <w:r>
        <w:rPr>
          <w:iCs/>
        </w:rPr>
        <w:t>RTM</w:t>
      </w:r>
      <w:r w:rsidRPr="0086627E">
        <w:rPr>
          <w:iCs/>
        </w:rPr>
        <w:t xml:space="preserve"> </w:t>
      </w:r>
      <w:r>
        <w:rPr>
          <w:iCs/>
        </w:rPr>
        <w:t xml:space="preserve">until ERCOT has </w:t>
      </w:r>
      <w:r w:rsidRPr="0086627E">
        <w:rPr>
          <w:iCs/>
        </w:rPr>
        <w:t>satisfied</w:t>
      </w:r>
      <w:r>
        <w:rPr>
          <w:iCs/>
        </w:rPr>
        <w:t xml:space="preserve"> paragraph (6) below</w:t>
      </w:r>
      <w:r w:rsidRPr="0086627E">
        <w:rPr>
          <w:iCs/>
        </w:rPr>
        <w:t xml:space="preserve">.  </w:t>
      </w:r>
    </w:p>
    <w:p w14:paraId="1F96F844" w14:textId="77777777" w:rsidR="00424F6A" w:rsidRPr="0086627E" w:rsidRDefault="00424F6A" w:rsidP="00424F6A">
      <w:pPr>
        <w:spacing w:after="240"/>
        <w:ind w:left="720" w:hanging="720"/>
        <w:rPr>
          <w:iCs/>
        </w:rPr>
      </w:pPr>
      <w:r w:rsidRPr="0086627E">
        <w:rPr>
          <w:iCs/>
        </w:rPr>
        <w:t>(4)</w:t>
      </w:r>
      <w:r w:rsidRPr="0086627E">
        <w:rPr>
          <w:iCs/>
        </w:rPr>
        <w:tab/>
        <w:t>When there are no posted DAM results for the Operating Day, and operational conditions allow, ERCOT shall assign Ancillary Services to Qualified Scheduling Entities (QSEs) based on the amount of capacity that their Resources have or can bring On-Line.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6459C0" w:rsidRPr="009F4E0B" w14:paraId="6B6D1470" w14:textId="77777777" w:rsidTr="00253557">
        <w:tc>
          <w:tcPr>
            <w:tcW w:w="9558" w:type="dxa"/>
            <w:shd w:val="pct12" w:color="auto" w:fill="auto"/>
          </w:tcPr>
          <w:p w14:paraId="7DBF1547" w14:textId="77777777" w:rsidR="006459C0" w:rsidRPr="009F4E0B" w:rsidRDefault="006459C0" w:rsidP="00253557">
            <w:pPr>
              <w:spacing w:before="120" w:after="240"/>
              <w:rPr>
                <w:b/>
                <w:i/>
                <w:iCs/>
              </w:rPr>
            </w:pPr>
            <w:r>
              <w:rPr>
                <w:b/>
                <w:i/>
                <w:iCs/>
              </w:rPr>
              <w:t>[NPRR1013</w:t>
            </w:r>
            <w:r w:rsidRPr="009F4E0B">
              <w:rPr>
                <w:b/>
                <w:i/>
                <w:iCs/>
              </w:rPr>
              <w:t xml:space="preserve">:  Replace </w:t>
            </w:r>
            <w:r>
              <w:rPr>
                <w:b/>
                <w:i/>
                <w:iCs/>
              </w:rPr>
              <w:t>paragraph (4)</w:t>
            </w:r>
            <w:r w:rsidRPr="009F4E0B">
              <w:rPr>
                <w:b/>
                <w:i/>
                <w:iCs/>
              </w:rPr>
              <w:t xml:space="preserve"> above with the following upon system implementation</w:t>
            </w:r>
            <w:r>
              <w:rPr>
                <w:b/>
                <w:i/>
                <w:iCs/>
              </w:rPr>
              <w:t xml:space="preserve"> of the Real-Time Co-Optimization (RTC) project</w:t>
            </w:r>
            <w:r w:rsidRPr="009F4E0B">
              <w:rPr>
                <w:b/>
                <w:i/>
                <w:iCs/>
              </w:rPr>
              <w:t xml:space="preserve">:] </w:t>
            </w:r>
          </w:p>
          <w:p w14:paraId="26A0370F" w14:textId="77777777" w:rsidR="006459C0" w:rsidRPr="006459C0" w:rsidRDefault="006459C0" w:rsidP="006459C0">
            <w:pPr>
              <w:spacing w:after="240"/>
              <w:ind w:left="720" w:hanging="720"/>
              <w:rPr>
                <w:iCs/>
              </w:rPr>
            </w:pPr>
            <w:r w:rsidRPr="002855C3">
              <w:rPr>
                <w:iCs/>
              </w:rPr>
              <w:t>(4)</w:t>
            </w:r>
            <w:r w:rsidRPr="002855C3">
              <w:rPr>
                <w:iCs/>
              </w:rPr>
              <w:tab/>
              <w:t>When there are no posted DAM results for the Operating Day, and operational conditions allow, ERCOT shall assign Ancillary Services to Qualified Scheduling Entities (QSEs) based on the amount of capacity that their Resources have or can bring On-Line.</w:t>
            </w:r>
            <w:r>
              <w:rPr>
                <w:iCs/>
              </w:rPr>
              <w:t xml:space="preserve">  This process will remain in place until the RTM is able to award Ancillary Services to Resources.</w:t>
            </w:r>
          </w:p>
        </w:tc>
      </w:tr>
    </w:tbl>
    <w:p w14:paraId="52B5EC4C" w14:textId="77777777" w:rsidR="00424F6A" w:rsidRPr="0086627E" w:rsidRDefault="00424F6A" w:rsidP="0003274B">
      <w:pPr>
        <w:spacing w:before="240" w:after="240"/>
        <w:ind w:left="720" w:hanging="720"/>
        <w:rPr>
          <w:iCs/>
        </w:rPr>
      </w:pPr>
      <w:r w:rsidRPr="0086627E">
        <w:rPr>
          <w:iCs/>
        </w:rPr>
        <w:lastRenderedPageBreak/>
        <w:t>(5)</w:t>
      </w:r>
      <w:r w:rsidRPr="0086627E">
        <w:rPr>
          <w:iCs/>
        </w:rPr>
        <w:tab/>
        <w:t>Following a declaration by ERCOT of a Market Suspension, in effectuating a Market Restart for the DAM, ERCOT shall restart the DAM when the below conditions are satisfied:</w:t>
      </w:r>
    </w:p>
    <w:p w14:paraId="2836F0C2" w14:textId="77777777" w:rsidR="00424F6A" w:rsidRPr="0086627E" w:rsidRDefault="00424F6A" w:rsidP="00424F6A">
      <w:pPr>
        <w:spacing w:after="240"/>
        <w:ind w:left="1440" w:hanging="720"/>
        <w:rPr>
          <w:iCs/>
        </w:rPr>
      </w:pPr>
      <w:r w:rsidRPr="0086627E">
        <w:rPr>
          <w:iCs/>
        </w:rPr>
        <w:t>(a)</w:t>
      </w:r>
      <w:r w:rsidRPr="0086627E">
        <w:rPr>
          <w:iCs/>
        </w:rPr>
        <w:tab/>
        <w:t xml:space="preserve">The RTM has restarted pursuant to paragraph (3) above; </w:t>
      </w:r>
    </w:p>
    <w:p w14:paraId="5EBF1173" w14:textId="77777777" w:rsidR="00424F6A" w:rsidRPr="0086627E" w:rsidRDefault="00424F6A" w:rsidP="00424F6A">
      <w:pPr>
        <w:spacing w:after="240"/>
        <w:ind w:left="1440" w:hanging="720"/>
        <w:rPr>
          <w:iCs/>
        </w:rPr>
      </w:pPr>
      <w:r w:rsidRPr="0086627E">
        <w:rPr>
          <w:iCs/>
        </w:rPr>
        <w:t>(b)</w:t>
      </w:r>
      <w:r w:rsidRPr="0086627E">
        <w:rPr>
          <w:iCs/>
        </w:rPr>
        <w:tab/>
        <w:t>ERCOT is reasonably able to model the expected state of the ERCOT Transmission Grid for the next day;</w:t>
      </w:r>
    </w:p>
    <w:p w14:paraId="630D53D9" w14:textId="77777777" w:rsidR="00424F6A" w:rsidRDefault="00424F6A" w:rsidP="00424F6A">
      <w:pPr>
        <w:spacing w:after="240"/>
        <w:ind w:left="1440" w:hanging="720"/>
        <w:rPr>
          <w:iCs/>
        </w:rPr>
      </w:pPr>
      <w:r w:rsidRPr="0086627E">
        <w:rPr>
          <w:iCs/>
        </w:rPr>
        <w:t>(c)</w:t>
      </w:r>
      <w:r w:rsidRPr="0086627E">
        <w:rPr>
          <w:iCs/>
        </w:rPr>
        <w:tab/>
        <w:t>ERCOT is able to receive market submissions to successfully run the DAM</w:t>
      </w:r>
      <w:r>
        <w:rPr>
          <w:iCs/>
        </w:rPr>
        <w:t>; and</w:t>
      </w:r>
    </w:p>
    <w:p w14:paraId="11569B54" w14:textId="77777777" w:rsidR="00424F6A" w:rsidRDefault="00424F6A" w:rsidP="00424F6A">
      <w:pPr>
        <w:spacing w:after="240"/>
        <w:ind w:left="1440" w:hanging="720"/>
        <w:rPr>
          <w:iCs/>
        </w:rPr>
      </w:pPr>
      <w:r>
        <w:rPr>
          <w:iCs/>
        </w:rPr>
        <w:t>(d)</w:t>
      </w:r>
      <w:r>
        <w:rPr>
          <w:iCs/>
        </w:rPr>
        <w:tab/>
        <w:t>ERCOT has satisfied paragraph (6) below</w:t>
      </w:r>
      <w:r w:rsidRPr="0086627E">
        <w:rPr>
          <w:iCs/>
        </w:rPr>
        <w:t>.</w:t>
      </w:r>
    </w:p>
    <w:p w14:paraId="4291A3C8" w14:textId="77777777" w:rsidR="00424F6A" w:rsidRDefault="00424F6A" w:rsidP="00424F6A">
      <w:pPr>
        <w:spacing w:after="240"/>
        <w:ind w:left="720" w:hanging="720"/>
        <w:rPr>
          <w:iCs/>
        </w:rPr>
      </w:pPr>
      <w:r>
        <w:rPr>
          <w:iCs/>
        </w:rPr>
        <w:t>(6)</w:t>
      </w:r>
      <w:r>
        <w:rPr>
          <w:iCs/>
        </w:rPr>
        <w:tab/>
        <w:t>ERCOT shall not restart the RTM or DAM until:</w:t>
      </w:r>
    </w:p>
    <w:p w14:paraId="68450752" w14:textId="77777777" w:rsidR="00424F6A" w:rsidRDefault="00424F6A" w:rsidP="00424F6A">
      <w:pPr>
        <w:spacing w:after="240"/>
        <w:ind w:left="1440" w:hanging="720"/>
        <w:rPr>
          <w:iCs/>
        </w:rPr>
      </w:pPr>
      <w:r>
        <w:rPr>
          <w:iCs/>
        </w:rPr>
        <w:t>(a)</w:t>
      </w:r>
      <w:r>
        <w:rPr>
          <w:iCs/>
        </w:rPr>
        <w:tab/>
        <w:t>The ERCOT Board has approved the restart and ERCOT has issued a Market Notice stating that the ERCOT Board has approved the restart; or</w:t>
      </w:r>
    </w:p>
    <w:p w14:paraId="3B36C28F" w14:textId="77777777" w:rsidR="00424F6A" w:rsidRDefault="00424F6A" w:rsidP="00424F6A">
      <w:pPr>
        <w:spacing w:after="240"/>
        <w:ind w:left="1440" w:hanging="720"/>
        <w:rPr>
          <w:iCs/>
        </w:rPr>
      </w:pPr>
      <w:r>
        <w:rPr>
          <w:iCs/>
        </w:rPr>
        <w:t>(b)</w:t>
      </w:r>
      <w:r>
        <w:rPr>
          <w:iCs/>
        </w:rPr>
        <w:tab/>
        <w:t>If, after taking into consideration the possibility of conducting an urgent meeting and holding such meeting by teleconference as set forth in paragraphs (b) and (c) of Section 4.6, Meetings, of the ERCOT Bylaws, it is not reasonably practicable to obtain ERCOT Board approval prior to the restart, the ERCOT CEO, or if designated by the ERCOT CEO, the ERCOT General Counsel, have approved the restart.</w:t>
      </w:r>
    </w:p>
    <w:p w14:paraId="3ED2C5C3" w14:textId="77777777" w:rsidR="00424F6A" w:rsidRDefault="00424F6A" w:rsidP="00424F6A">
      <w:pPr>
        <w:spacing w:after="240"/>
        <w:ind w:left="2160" w:hanging="720"/>
        <w:rPr>
          <w:iCs/>
        </w:rPr>
      </w:pPr>
      <w:r>
        <w:rPr>
          <w:iCs/>
        </w:rPr>
        <w:t>(i)</w:t>
      </w:r>
      <w:r>
        <w:rPr>
          <w:iCs/>
        </w:rPr>
        <w:tab/>
        <w:t>The ERCOT CEO or ERCOT General Counsel shall not approve a restart of the RTM or DAM pursuant to this paragraph (b) unless the ERCOT CEO or ERCOT General Counsel has consulted with each Market Segment Director or Segment Alternate to the extent a Market Segment Director is unavailable (as such terms are defined in the ERCOT Bylaws) and a majority of the Market Segment Directors and Segment Alternates consulted agree in writing to restart the RTM or DAM as proposed by ERCOT.</w:t>
      </w:r>
    </w:p>
    <w:p w14:paraId="36F98D34" w14:textId="77777777" w:rsidR="00424F6A" w:rsidRPr="0086627E" w:rsidRDefault="00424F6A" w:rsidP="00424F6A">
      <w:pPr>
        <w:spacing w:after="240"/>
        <w:ind w:left="2160" w:hanging="720"/>
        <w:rPr>
          <w:iCs/>
        </w:rPr>
      </w:pPr>
      <w:r>
        <w:rPr>
          <w:iCs/>
        </w:rPr>
        <w:t>(ii)</w:t>
      </w:r>
      <w:r>
        <w:rPr>
          <w:iCs/>
        </w:rPr>
        <w:tab/>
        <w:t>Prior to restarting the RTM or DAM pursuant to this paragraph (b), ERCOT shall issue a Market Notice stating that it was not reasonably practicable to obtain ERCOT Board approval prior to the restart, however, the majority of the Market Segment Directors and Segment Alternates have agreed in writing to restart the RTM or DAM.</w:t>
      </w:r>
    </w:p>
    <w:p w14:paraId="1EAAC2AF" w14:textId="77777777" w:rsidR="00424F6A" w:rsidRPr="0086627E" w:rsidRDefault="00424F6A" w:rsidP="00424F6A">
      <w:pPr>
        <w:spacing w:after="240"/>
        <w:ind w:left="720" w:hanging="720"/>
        <w:rPr>
          <w:iCs/>
        </w:rPr>
      </w:pPr>
      <w:r w:rsidRPr="0086627E">
        <w:rPr>
          <w:iCs/>
        </w:rPr>
        <w:t>(</w:t>
      </w:r>
      <w:r>
        <w:rPr>
          <w:iCs/>
        </w:rPr>
        <w:t>7</w:t>
      </w:r>
      <w:r w:rsidRPr="0086627E">
        <w:rPr>
          <w:iCs/>
        </w:rPr>
        <w:t>)</w:t>
      </w:r>
      <w:r w:rsidRPr="0086627E">
        <w:rPr>
          <w:iCs/>
        </w:rPr>
        <w:tab/>
        <w:t>During the Market Restart process, credit constraints may be relaxed as applicable as detailed in Section 25.4, Market Suspension Credit Processes.</w:t>
      </w:r>
    </w:p>
    <w:p w14:paraId="17FB6F4B" w14:textId="77777777" w:rsidR="00424F6A" w:rsidRPr="0086627E" w:rsidRDefault="00424F6A" w:rsidP="00424F6A">
      <w:pPr>
        <w:keepNext/>
        <w:tabs>
          <w:tab w:val="left" w:pos="900"/>
        </w:tabs>
        <w:spacing w:before="240" w:after="240"/>
        <w:outlineLvl w:val="1"/>
        <w:rPr>
          <w:b/>
        </w:rPr>
      </w:pPr>
      <w:bookmarkStart w:id="7" w:name="_Toc181489"/>
      <w:bookmarkStart w:id="8" w:name="_Toc181587"/>
      <w:bookmarkStart w:id="9" w:name="_Toc493250751"/>
      <w:r w:rsidRPr="0086627E">
        <w:rPr>
          <w:b/>
        </w:rPr>
        <w:t>25.4</w:t>
      </w:r>
      <w:r w:rsidRPr="0086627E">
        <w:rPr>
          <w:b/>
        </w:rPr>
        <w:tab/>
        <w:t>Market Suspension Credit Processes</w:t>
      </w:r>
      <w:bookmarkEnd w:id="7"/>
      <w:bookmarkEnd w:id="8"/>
    </w:p>
    <w:p w14:paraId="23E9612C" w14:textId="77777777" w:rsidR="00424F6A" w:rsidRPr="0086627E" w:rsidRDefault="00424F6A" w:rsidP="00424F6A">
      <w:pPr>
        <w:tabs>
          <w:tab w:val="left" w:pos="1080"/>
        </w:tabs>
        <w:spacing w:before="240" w:after="240"/>
        <w:ind w:left="1080" w:hanging="1080"/>
        <w:outlineLvl w:val="2"/>
        <w:rPr>
          <w:b/>
          <w:bCs/>
          <w:i/>
        </w:rPr>
      </w:pPr>
      <w:bookmarkStart w:id="10" w:name="_Toc181490"/>
      <w:bookmarkStart w:id="11" w:name="_Toc181588"/>
      <w:r w:rsidRPr="0086627E">
        <w:rPr>
          <w:b/>
          <w:bCs/>
          <w:i/>
        </w:rPr>
        <w:t>25.4.1</w:t>
      </w:r>
      <w:r w:rsidRPr="0086627E">
        <w:rPr>
          <w:b/>
          <w:bCs/>
          <w:i/>
        </w:rPr>
        <w:tab/>
        <w:t>Market Suspension Credit Assumptions</w:t>
      </w:r>
      <w:bookmarkEnd w:id="10"/>
      <w:bookmarkEnd w:id="11"/>
    </w:p>
    <w:p w14:paraId="4B418F0E" w14:textId="77777777" w:rsidR="00424F6A" w:rsidRPr="0086627E" w:rsidRDefault="00424F6A" w:rsidP="00424F6A">
      <w:pPr>
        <w:spacing w:after="240"/>
        <w:ind w:left="720" w:hanging="720"/>
      </w:pPr>
      <w:r w:rsidRPr="0086627E">
        <w:lastRenderedPageBreak/>
        <w:t>(1)</w:t>
      </w:r>
      <w:r w:rsidRPr="0086627E">
        <w:tab/>
        <w:t>During a Market Suspension, the estimation of market credit is contingent upon the following conditions:</w:t>
      </w:r>
    </w:p>
    <w:p w14:paraId="2D19DD29" w14:textId="77777777" w:rsidR="00424F6A" w:rsidRPr="0086627E" w:rsidRDefault="00424F6A" w:rsidP="00424F6A">
      <w:pPr>
        <w:spacing w:after="240"/>
        <w:ind w:left="1440" w:hanging="720"/>
      </w:pPr>
      <w:r w:rsidRPr="0086627E">
        <w:t>(a)</w:t>
      </w:r>
      <w:r w:rsidRPr="0086627E">
        <w:tab/>
        <w:t>ERCOT systems critical to credit processes have been restored, with the understanding that some data normally used in credit calculations might not be available;</w:t>
      </w:r>
    </w:p>
    <w:p w14:paraId="544635E6" w14:textId="77777777" w:rsidR="00424F6A" w:rsidRPr="0086627E" w:rsidRDefault="00424F6A" w:rsidP="00424F6A">
      <w:pPr>
        <w:spacing w:after="240"/>
        <w:ind w:left="1440" w:hanging="720"/>
      </w:pPr>
      <w:r w:rsidRPr="0086627E">
        <w:t>(b)</w:t>
      </w:r>
      <w:r w:rsidRPr="0086627E">
        <w:tab/>
        <w:t>Adequate means of communication with Counter-Parties are available; and</w:t>
      </w:r>
    </w:p>
    <w:p w14:paraId="248EA7C0" w14:textId="77777777" w:rsidR="00424F6A" w:rsidRPr="0086627E" w:rsidRDefault="00424F6A" w:rsidP="00424F6A">
      <w:pPr>
        <w:spacing w:after="240"/>
        <w:ind w:left="360" w:firstLine="360"/>
      </w:pPr>
      <w:r w:rsidRPr="0086627E">
        <w:t>(c)</w:t>
      </w:r>
      <w:r w:rsidRPr="0086627E">
        <w:tab/>
        <w:t>Systems are available for transfer of funds to and from Market Participants.</w:t>
      </w:r>
    </w:p>
    <w:p w14:paraId="0FC63982" w14:textId="77777777" w:rsidR="00424F6A" w:rsidRPr="0086627E" w:rsidRDefault="00424F6A" w:rsidP="00424F6A">
      <w:pPr>
        <w:tabs>
          <w:tab w:val="left" w:pos="1080"/>
        </w:tabs>
        <w:spacing w:before="240" w:after="240"/>
        <w:ind w:left="1080" w:hanging="1080"/>
        <w:outlineLvl w:val="2"/>
        <w:rPr>
          <w:b/>
          <w:bCs/>
          <w:i/>
        </w:rPr>
      </w:pPr>
      <w:bookmarkStart w:id="12" w:name="_Toc181491"/>
      <w:bookmarkStart w:id="13" w:name="_Toc181589"/>
      <w:r w:rsidRPr="0086627E">
        <w:rPr>
          <w:b/>
          <w:bCs/>
          <w:i/>
        </w:rPr>
        <w:t>25.4.2</w:t>
      </w:r>
      <w:r w:rsidRPr="0086627E">
        <w:rPr>
          <w:b/>
          <w:bCs/>
          <w:i/>
        </w:rPr>
        <w:tab/>
        <w:t>Determination of Counter-Party Available Credit Limits</w:t>
      </w:r>
      <w:bookmarkEnd w:id="12"/>
      <w:bookmarkEnd w:id="13"/>
    </w:p>
    <w:p w14:paraId="4298F204" w14:textId="77777777" w:rsidR="00424F6A" w:rsidRPr="0086627E" w:rsidRDefault="00424F6A" w:rsidP="00424F6A">
      <w:pPr>
        <w:spacing w:after="240"/>
        <w:ind w:left="720" w:hanging="720"/>
      </w:pPr>
      <w:r w:rsidRPr="0086627E">
        <w:t>(1)</w:t>
      </w:r>
      <w:r w:rsidRPr="0086627E">
        <w:tab/>
        <w:t xml:space="preserve">During a Market Suspension, a Counter-Party’s Available Credit Limit for the CRR Auction (ACLC) and Available Credit Limit for the DAM (ACLD) will be determined pursuant to Section 16.11.4.6, Determination of Counter-Party Available Credit Limits. </w:t>
      </w:r>
    </w:p>
    <w:p w14:paraId="2DD03A52" w14:textId="11DC94A9" w:rsidR="00424F6A" w:rsidRPr="0086627E" w:rsidRDefault="00424F6A" w:rsidP="00E14406">
      <w:pPr>
        <w:spacing w:after="240"/>
        <w:ind w:left="720" w:hanging="720"/>
      </w:pPr>
      <w:r w:rsidRPr="0086627E">
        <w:t>(</w:t>
      </w:r>
      <w:r w:rsidR="00C23DE6">
        <w:t>2</w:t>
      </w:r>
      <w:r w:rsidRPr="0086627E">
        <w:t>)</w:t>
      </w:r>
      <w:r w:rsidRPr="0086627E">
        <w:tab/>
        <w:t>In accordance with Section 25.4.3, Collateral Management, ERCOT may, at its sole discretion, waive, in part or in full, the requirements in paragraph (2) of Section 16.11.5, Monitoring of a Counter-Party’s Creditworthiness Credit Exposure by ERCOT, for Counter-Parties to maintain designated amounts of Secured and/or Remainder Collateral.</w:t>
      </w:r>
    </w:p>
    <w:p w14:paraId="19F42204" w14:textId="5FB085A3" w:rsidR="002B51D6" w:rsidRPr="0086627E" w:rsidRDefault="00424F6A" w:rsidP="002B51D6">
      <w:pPr>
        <w:spacing w:after="240"/>
        <w:ind w:left="720" w:hanging="720"/>
      </w:pPr>
      <w:r w:rsidRPr="0086627E">
        <w:t>(</w:t>
      </w:r>
      <w:r w:rsidR="00C23DE6">
        <w:t>3</w:t>
      </w:r>
      <w:r w:rsidRPr="0086627E">
        <w:t>)</w:t>
      </w:r>
      <w:r w:rsidRPr="0086627E">
        <w:tab/>
      </w:r>
      <w:r w:rsidR="00C23DE6" w:rsidRPr="0086627E">
        <w:t>The exercise of any measures described in paragraph (2) above shall be reflected in the estimated ACLC and/or ACLD values provided to Counter-Parties pursuant to Section 16.11.4.6.</w:t>
      </w:r>
      <w:bookmarkStart w:id="14" w:name="_Toc181492"/>
      <w:bookmarkStart w:id="15" w:name="_Toc181590"/>
      <w:bookmarkStart w:id="16" w:name="_Toc493250754"/>
      <w:bookmarkEnd w:id="9"/>
    </w:p>
    <w:p w14:paraId="25445BA2" w14:textId="00697E03" w:rsidR="00424F6A" w:rsidRPr="0086627E" w:rsidRDefault="00424F6A" w:rsidP="00E14406">
      <w:pPr>
        <w:tabs>
          <w:tab w:val="left" w:pos="1080"/>
        </w:tabs>
        <w:spacing w:before="240" w:after="240"/>
        <w:ind w:left="1080" w:hanging="1080"/>
        <w:outlineLvl w:val="2"/>
        <w:rPr>
          <w:b/>
          <w:bCs/>
          <w:i/>
        </w:rPr>
      </w:pPr>
      <w:r w:rsidRPr="0086627E">
        <w:rPr>
          <w:b/>
          <w:bCs/>
          <w:i/>
        </w:rPr>
        <w:t>25.4.3</w:t>
      </w:r>
      <w:r w:rsidRPr="0086627E">
        <w:rPr>
          <w:b/>
          <w:bCs/>
          <w:i/>
        </w:rPr>
        <w:tab/>
        <w:t>Collateral Management</w:t>
      </w:r>
      <w:bookmarkEnd w:id="14"/>
      <w:bookmarkEnd w:id="15"/>
    </w:p>
    <w:p w14:paraId="4A7C19EC" w14:textId="77777777" w:rsidR="00424F6A" w:rsidRPr="0086627E" w:rsidRDefault="00424F6A" w:rsidP="00424F6A">
      <w:pPr>
        <w:spacing w:after="240"/>
        <w:ind w:left="720" w:hanging="720"/>
      </w:pPr>
      <w:r w:rsidRPr="0086627E">
        <w:t>(1)</w:t>
      </w:r>
      <w:r w:rsidRPr="0086627E">
        <w:tab/>
        <w:t>During a Market Suspension, and for no more than two Bank Business Days following restart of the Day-Ahead Market (DAM), ERCOT may, at its sole discretion, forego the requirement in paragraph (3) of Section 16.11.5, Monitoring of a Counter-Party’s Creditworthiness Credit Exposure by ERCOT, to provide prompt notice to Counter-Parties of the need to increase Financial Security.</w:t>
      </w:r>
    </w:p>
    <w:p w14:paraId="15FB608B" w14:textId="77777777" w:rsidR="00424F6A" w:rsidRPr="0086627E" w:rsidRDefault="00424F6A" w:rsidP="00424F6A">
      <w:pPr>
        <w:spacing w:after="240"/>
        <w:ind w:left="720" w:hanging="720"/>
      </w:pPr>
      <w:r w:rsidRPr="0086627E">
        <w:t>(2)</w:t>
      </w:r>
      <w:r w:rsidRPr="0086627E">
        <w:tab/>
        <w:t>During a Market Suspension, and for no more than two Bank Business Days following restart of the DAM, ERCOT may, at its sole discretion, extend the timelines in paragraph (6) of Section 16.11.5 to allow Counter-Parties to make arrangements to provide collateral, without unmet requests for collateral being designated as Late Payments.</w:t>
      </w:r>
    </w:p>
    <w:p w14:paraId="67B38292" w14:textId="77777777" w:rsidR="00424F6A" w:rsidRPr="0086627E" w:rsidRDefault="00424F6A" w:rsidP="00424F6A">
      <w:pPr>
        <w:keepNext/>
        <w:tabs>
          <w:tab w:val="left" w:pos="900"/>
        </w:tabs>
        <w:spacing w:before="240" w:after="240"/>
        <w:outlineLvl w:val="1"/>
        <w:rPr>
          <w:b/>
        </w:rPr>
      </w:pPr>
      <w:bookmarkStart w:id="17" w:name="_Toc181493"/>
      <w:bookmarkStart w:id="18" w:name="_Toc181591"/>
      <w:r w:rsidRPr="0086627E">
        <w:rPr>
          <w:b/>
        </w:rPr>
        <w:t>25.5</w:t>
      </w:r>
      <w:r w:rsidRPr="0086627E">
        <w:rPr>
          <w:b/>
        </w:rPr>
        <w:tab/>
        <w:t>Market Suspension and Market Restart Settlement</w:t>
      </w:r>
      <w:bookmarkEnd w:id="17"/>
      <w:bookmarkEnd w:id="18"/>
    </w:p>
    <w:p w14:paraId="6CA4FF37" w14:textId="77777777" w:rsidR="00424F6A" w:rsidRPr="0086627E" w:rsidRDefault="00424F6A" w:rsidP="00424F6A">
      <w:pPr>
        <w:keepNext/>
        <w:tabs>
          <w:tab w:val="left" w:pos="1080"/>
        </w:tabs>
        <w:spacing w:before="240" w:after="240"/>
        <w:outlineLvl w:val="2"/>
        <w:rPr>
          <w:b/>
          <w:bCs/>
          <w:i/>
        </w:rPr>
      </w:pPr>
      <w:bookmarkStart w:id="19" w:name="_Toc181494"/>
      <w:bookmarkStart w:id="20" w:name="_Toc181592"/>
      <w:bookmarkStart w:id="21" w:name="_Toc493250756"/>
      <w:bookmarkEnd w:id="16"/>
      <w:r w:rsidRPr="0086627E">
        <w:rPr>
          <w:b/>
          <w:bCs/>
          <w:i/>
        </w:rPr>
        <w:t>25.5.1</w:t>
      </w:r>
      <w:r w:rsidRPr="0086627E">
        <w:rPr>
          <w:b/>
          <w:bCs/>
          <w:i/>
        </w:rPr>
        <w:tab/>
        <w:t>Settlement Activity for a Market Suspension</w:t>
      </w:r>
      <w:bookmarkEnd w:id="19"/>
      <w:bookmarkEnd w:id="20"/>
    </w:p>
    <w:p w14:paraId="10DFDB91" w14:textId="77777777" w:rsidR="00424F6A" w:rsidRPr="0086627E" w:rsidRDefault="00424F6A" w:rsidP="00424F6A">
      <w:pPr>
        <w:spacing w:after="240"/>
        <w:ind w:left="720" w:hanging="720"/>
        <w:rPr>
          <w:iCs/>
        </w:rPr>
      </w:pPr>
      <w:r w:rsidRPr="0086627E">
        <w:rPr>
          <w:iCs/>
        </w:rPr>
        <w:t>(1)</w:t>
      </w:r>
      <w:r w:rsidRPr="0086627E">
        <w:rPr>
          <w:iCs/>
        </w:rPr>
        <w:tab/>
        <w:t>Settlement for the Operating Days for which the Real-Time Market (RTM) has been suspended shall be limited to the following payments and charges:</w:t>
      </w:r>
    </w:p>
    <w:p w14:paraId="76F70371" w14:textId="77777777" w:rsidR="00424F6A" w:rsidRPr="0086627E" w:rsidRDefault="00424F6A" w:rsidP="00424F6A">
      <w:pPr>
        <w:spacing w:after="240"/>
        <w:ind w:left="1440" w:hanging="720"/>
        <w:rPr>
          <w:iCs/>
        </w:rPr>
      </w:pPr>
      <w:r w:rsidRPr="0086627E">
        <w:rPr>
          <w:iCs/>
        </w:rPr>
        <w:lastRenderedPageBreak/>
        <w:t>(a)</w:t>
      </w:r>
      <w:r w:rsidRPr="0086627E">
        <w:rPr>
          <w:iCs/>
        </w:rPr>
        <w:tab/>
        <w:t>Market Suspension Make-Whole Payment;</w:t>
      </w:r>
    </w:p>
    <w:p w14:paraId="7D4C07F9" w14:textId="77777777" w:rsidR="00424F6A" w:rsidRPr="0086627E" w:rsidRDefault="00424F6A" w:rsidP="00424F6A">
      <w:pPr>
        <w:spacing w:after="240"/>
        <w:ind w:left="1440" w:hanging="720"/>
        <w:rPr>
          <w:iCs/>
        </w:rPr>
      </w:pPr>
      <w:r w:rsidRPr="0086627E">
        <w:rPr>
          <w:iCs/>
        </w:rPr>
        <w:t xml:space="preserve">(b) </w:t>
      </w:r>
      <w:r w:rsidRPr="0086627E">
        <w:rPr>
          <w:iCs/>
        </w:rPr>
        <w:tab/>
        <w:t xml:space="preserve">Market Suspension </w:t>
      </w:r>
      <w:r w:rsidR="00934039">
        <w:rPr>
          <w:iCs/>
        </w:rPr>
        <w:t>Direct Current Tie (</w:t>
      </w:r>
      <w:r w:rsidRPr="0086627E">
        <w:rPr>
          <w:iCs/>
        </w:rPr>
        <w:t>DC Tie</w:t>
      </w:r>
      <w:r w:rsidR="00934039">
        <w:rPr>
          <w:iCs/>
        </w:rPr>
        <w:t>)</w:t>
      </w:r>
      <w:r w:rsidRPr="0086627E">
        <w:rPr>
          <w:iCs/>
        </w:rPr>
        <w:t xml:space="preserve"> Import Payment;</w:t>
      </w:r>
    </w:p>
    <w:p w14:paraId="68DADA75" w14:textId="77777777" w:rsidR="00424F6A" w:rsidRPr="0086627E" w:rsidRDefault="00424F6A" w:rsidP="00424F6A">
      <w:pPr>
        <w:spacing w:after="240"/>
        <w:ind w:left="1440" w:hanging="720"/>
        <w:rPr>
          <w:iCs/>
        </w:rPr>
      </w:pPr>
      <w:r w:rsidRPr="0086627E">
        <w:rPr>
          <w:iCs/>
        </w:rPr>
        <w:t xml:space="preserve">(c) </w:t>
      </w:r>
      <w:r w:rsidRPr="0086627E">
        <w:rPr>
          <w:iCs/>
        </w:rPr>
        <w:tab/>
        <w:t>Market Suspension Block Load Transfer Payment;</w:t>
      </w:r>
    </w:p>
    <w:p w14:paraId="2EFBB636" w14:textId="77777777" w:rsidR="00424F6A" w:rsidRPr="0086627E" w:rsidRDefault="00424F6A" w:rsidP="00424F6A">
      <w:pPr>
        <w:spacing w:after="240"/>
        <w:ind w:left="1440" w:hanging="720"/>
        <w:rPr>
          <w:iCs/>
        </w:rPr>
      </w:pPr>
      <w:r w:rsidRPr="0086627E">
        <w:rPr>
          <w:iCs/>
        </w:rPr>
        <w:t>(d)</w:t>
      </w:r>
      <w:r w:rsidRPr="0086627E">
        <w:rPr>
          <w:iCs/>
        </w:rPr>
        <w:tab/>
      </w:r>
      <w:r w:rsidR="00934039">
        <w:rPr>
          <w:iCs/>
        </w:rPr>
        <w:t>Reliability Must-Run (</w:t>
      </w:r>
      <w:r w:rsidRPr="0086627E">
        <w:rPr>
          <w:iCs/>
        </w:rPr>
        <w:t>RMR</w:t>
      </w:r>
      <w:r w:rsidR="00934039">
        <w:rPr>
          <w:iCs/>
        </w:rPr>
        <w:t>)</w:t>
      </w:r>
      <w:r w:rsidRPr="0086627E">
        <w:rPr>
          <w:iCs/>
        </w:rPr>
        <w:t xml:space="preserve"> Standby Payment;</w:t>
      </w:r>
    </w:p>
    <w:p w14:paraId="098A0B30" w14:textId="77777777" w:rsidR="00424F6A" w:rsidRPr="0086627E" w:rsidRDefault="00424F6A" w:rsidP="00424F6A">
      <w:pPr>
        <w:spacing w:after="240"/>
        <w:ind w:left="1440" w:hanging="720"/>
        <w:rPr>
          <w:iCs/>
        </w:rPr>
      </w:pPr>
      <w:r w:rsidRPr="0086627E">
        <w:rPr>
          <w:iCs/>
        </w:rPr>
        <w:t>(e)</w:t>
      </w:r>
      <w:r w:rsidRPr="0086627E">
        <w:rPr>
          <w:iCs/>
        </w:rPr>
        <w:tab/>
        <w:t>RMR Payment for Energy;</w:t>
      </w:r>
    </w:p>
    <w:p w14:paraId="0FDBF48D" w14:textId="0BF2AC6A" w:rsidR="00424F6A" w:rsidRDefault="00424F6A" w:rsidP="00424F6A">
      <w:pPr>
        <w:spacing w:after="240"/>
        <w:ind w:left="1440" w:hanging="720"/>
        <w:rPr>
          <w:iCs/>
        </w:rPr>
      </w:pPr>
      <w:r w:rsidRPr="0086627E">
        <w:rPr>
          <w:iCs/>
        </w:rPr>
        <w:t>(f)</w:t>
      </w:r>
      <w:r w:rsidRPr="0086627E">
        <w:rPr>
          <w:iCs/>
        </w:rPr>
        <w:tab/>
        <w:t>Black Start Hourly Standby Fee Payment;</w:t>
      </w:r>
    </w:p>
    <w:p w14:paraId="77CD0445" w14:textId="0F29B9E3" w:rsidR="00002C72" w:rsidRPr="0086627E" w:rsidRDefault="00002C72" w:rsidP="00424F6A">
      <w:pPr>
        <w:spacing w:after="240"/>
        <w:ind w:left="1440" w:hanging="720"/>
        <w:rPr>
          <w:iCs/>
        </w:rPr>
      </w:pPr>
      <w:r>
        <w:rPr>
          <w:iCs/>
        </w:rPr>
        <w:t>(g)</w:t>
      </w:r>
      <w:r>
        <w:rPr>
          <w:iCs/>
        </w:rPr>
        <w:tab/>
      </w:r>
      <w:r>
        <w:t>Firm Fuel Supply Service Hourly Standby Fee Payment and Fuel Replacement Cost Recovery;</w:t>
      </w:r>
    </w:p>
    <w:p w14:paraId="2D474AA8" w14:textId="332E2EF6" w:rsidR="00424F6A" w:rsidRPr="0086627E" w:rsidRDefault="00424F6A" w:rsidP="0033130E">
      <w:pPr>
        <w:spacing w:after="240"/>
        <w:ind w:left="1440" w:hanging="720"/>
        <w:rPr>
          <w:iCs/>
        </w:rPr>
      </w:pPr>
      <w:r w:rsidRPr="0086627E">
        <w:rPr>
          <w:iCs/>
        </w:rPr>
        <w:t>(</w:t>
      </w:r>
      <w:r w:rsidR="00002C72">
        <w:rPr>
          <w:iCs/>
        </w:rPr>
        <w:t>h</w:t>
      </w:r>
      <w:r w:rsidRPr="0086627E">
        <w:rPr>
          <w:iCs/>
        </w:rPr>
        <w:t>)</w:t>
      </w:r>
      <w:r w:rsidRPr="0086627E">
        <w:rPr>
          <w:iCs/>
        </w:rPr>
        <w:tab/>
        <w:t>Market Suspension Charge Allocation; and</w:t>
      </w:r>
    </w:p>
    <w:p w14:paraId="2307D1DF" w14:textId="0DCC73F4" w:rsidR="00424F6A" w:rsidRPr="0086627E" w:rsidRDefault="00424F6A" w:rsidP="00424F6A">
      <w:pPr>
        <w:spacing w:after="240"/>
        <w:ind w:left="1440" w:hanging="720"/>
        <w:rPr>
          <w:iCs/>
        </w:rPr>
      </w:pPr>
      <w:r w:rsidRPr="0086627E">
        <w:rPr>
          <w:iCs/>
        </w:rPr>
        <w:t>(</w:t>
      </w:r>
      <w:r w:rsidR="00002C72">
        <w:rPr>
          <w:iCs/>
        </w:rPr>
        <w:t>i</w:t>
      </w:r>
      <w:r w:rsidRPr="0086627E">
        <w:rPr>
          <w:iCs/>
        </w:rPr>
        <w:t>)</w:t>
      </w:r>
      <w:r w:rsidRPr="0086627E">
        <w:rPr>
          <w:iCs/>
        </w:rPr>
        <w:tab/>
        <w:t>ERCOT System Administration Fee.</w:t>
      </w:r>
    </w:p>
    <w:p w14:paraId="7E0B0C62" w14:textId="77777777" w:rsidR="00424F6A" w:rsidRPr="0086627E" w:rsidRDefault="00424F6A" w:rsidP="00424F6A">
      <w:pPr>
        <w:spacing w:after="240"/>
        <w:ind w:left="720" w:hanging="720"/>
        <w:rPr>
          <w:iCs/>
        </w:rPr>
      </w:pPr>
      <w:r w:rsidRPr="0086627E">
        <w:rPr>
          <w:iCs/>
        </w:rPr>
        <w:t>(2)</w:t>
      </w:r>
      <w:r w:rsidRPr="0086627E">
        <w:rPr>
          <w:iCs/>
        </w:rPr>
        <w:tab/>
        <w:t>During a Market Suspension:</w:t>
      </w:r>
    </w:p>
    <w:p w14:paraId="08E70A89" w14:textId="77777777" w:rsidR="00424F6A" w:rsidRPr="0086627E" w:rsidRDefault="00424F6A" w:rsidP="00424F6A">
      <w:pPr>
        <w:spacing w:after="240"/>
        <w:ind w:left="1440" w:hanging="720"/>
        <w:rPr>
          <w:iCs/>
        </w:rPr>
      </w:pPr>
      <w:r w:rsidRPr="0086627E">
        <w:rPr>
          <w:iCs/>
        </w:rPr>
        <w:t>(a)</w:t>
      </w:r>
      <w:r w:rsidRPr="0086627E">
        <w:rPr>
          <w:iCs/>
        </w:rPr>
        <w:tab/>
        <w:t>To the extent feasible, ERCOT shall calculate and pay the Real-Time Market Suspension Make-Whole Payment to each eligible Qualified Scheduling Entity (QSE).</w:t>
      </w:r>
    </w:p>
    <w:p w14:paraId="228BD1DC" w14:textId="77777777" w:rsidR="00424F6A" w:rsidRPr="0086627E" w:rsidRDefault="00424F6A" w:rsidP="00424F6A">
      <w:pPr>
        <w:spacing w:after="240"/>
        <w:ind w:left="1440" w:hanging="720"/>
        <w:rPr>
          <w:iCs/>
        </w:rPr>
      </w:pPr>
      <w:r w:rsidRPr="0086627E">
        <w:rPr>
          <w:iCs/>
        </w:rPr>
        <w:t>(b)</w:t>
      </w:r>
      <w:r w:rsidRPr="0086627E">
        <w:rPr>
          <w:iCs/>
        </w:rPr>
        <w:tab/>
        <w:t xml:space="preserve">ERCOT shall wire the funds to the QSE’s banking institution as soon as practicable, subject to the availability of funds and the availability of systems for transfer of funds. </w:t>
      </w:r>
    </w:p>
    <w:p w14:paraId="68FE9F37" w14:textId="77777777" w:rsidR="00424F6A" w:rsidRPr="0086627E" w:rsidRDefault="00424F6A" w:rsidP="00424F6A">
      <w:pPr>
        <w:spacing w:after="240"/>
        <w:ind w:left="1440" w:hanging="720"/>
        <w:rPr>
          <w:iCs/>
        </w:rPr>
      </w:pPr>
      <w:r w:rsidRPr="0086627E">
        <w:rPr>
          <w:iCs/>
        </w:rPr>
        <w:t>(c)</w:t>
      </w:r>
      <w:r w:rsidRPr="0086627E">
        <w:rPr>
          <w:iCs/>
        </w:rPr>
        <w:tab/>
        <w:t xml:space="preserve">At its sole discretion, ERCOT may suspend calculating monthly verifiable cost updates.  </w:t>
      </w:r>
    </w:p>
    <w:p w14:paraId="0B2EE6F6" w14:textId="77777777" w:rsidR="00424F6A" w:rsidRPr="0086627E" w:rsidRDefault="00424F6A" w:rsidP="00424F6A">
      <w:pPr>
        <w:spacing w:after="240"/>
        <w:ind w:left="1440" w:hanging="720"/>
        <w:rPr>
          <w:iCs/>
        </w:rPr>
      </w:pPr>
      <w:r w:rsidRPr="0086627E">
        <w:rPr>
          <w:iCs/>
        </w:rPr>
        <w:t>(d)</w:t>
      </w:r>
      <w:r w:rsidRPr="0086627E">
        <w:rPr>
          <w:iCs/>
        </w:rPr>
        <w:tab/>
        <w:t>ERCOT shall not assess:</w:t>
      </w:r>
    </w:p>
    <w:p w14:paraId="215F2703" w14:textId="77777777" w:rsidR="00424F6A" w:rsidRPr="0086627E" w:rsidRDefault="00424F6A" w:rsidP="00424F6A">
      <w:pPr>
        <w:spacing w:after="240"/>
        <w:ind w:left="2160" w:hanging="720"/>
        <w:rPr>
          <w:iCs/>
        </w:rPr>
      </w:pPr>
      <w:r w:rsidRPr="0086627E">
        <w:rPr>
          <w:iCs/>
        </w:rPr>
        <w:t>(i)</w:t>
      </w:r>
      <w:r w:rsidRPr="0086627E">
        <w:rPr>
          <w:iCs/>
        </w:rPr>
        <w:tab/>
        <w:t>Market Suspension Charge Allocation as defined in Section 25.5.5, Market Suspension Charge Allocation;</w:t>
      </w:r>
    </w:p>
    <w:p w14:paraId="5A68680B" w14:textId="77777777" w:rsidR="00424F6A" w:rsidRPr="0086627E" w:rsidRDefault="00424F6A" w:rsidP="00424F6A">
      <w:pPr>
        <w:spacing w:after="240"/>
        <w:ind w:left="2160" w:hanging="720"/>
        <w:rPr>
          <w:iCs/>
        </w:rPr>
      </w:pPr>
      <w:r w:rsidRPr="0086627E">
        <w:rPr>
          <w:iCs/>
        </w:rPr>
        <w:t xml:space="preserve">(ii) </w:t>
      </w:r>
      <w:r w:rsidRPr="0086627E">
        <w:rPr>
          <w:iCs/>
        </w:rPr>
        <w:tab/>
        <w:t>Market Suspension DC Tie Import Payment as defined in Section 25.5.3, Market Suspension DC Tie Import Payment;</w:t>
      </w:r>
    </w:p>
    <w:p w14:paraId="726C528C" w14:textId="77777777" w:rsidR="00424F6A" w:rsidRPr="0086627E" w:rsidRDefault="00424F6A" w:rsidP="00424F6A">
      <w:pPr>
        <w:spacing w:after="240"/>
        <w:ind w:left="2160" w:hanging="720"/>
        <w:rPr>
          <w:iCs/>
        </w:rPr>
      </w:pPr>
      <w:r w:rsidRPr="0086627E">
        <w:rPr>
          <w:iCs/>
        </w:rPr>
        <w:t xml:space="preserve">(iii) </w:t>
      </w:r>
      <w:r w:rsidRPr="0086627E">
        <w:rPr>
          <w:iCs/>
        </w:rPr>
        <w:tab/>
        <w:t>Market Suspension Block Load Transfer Payment as defined in Section 25.5.4, Market Suspension Block Load Transfer Payment;</w:t>
      </w:r>
    </w:p>
    <w:p w14:paraId="40A7BBEC" w14:textId="77777777" w:rsidR="00424F6A" w:rsidRPr="0086627E" w:rsidRDefault="00424F6A" w:rsidP="00424F6A">
      <w:pPr>
        <w:spacing w:after="240"/>
        <w:ind w:left="1440"/>
        <w:rPr>
          <w:iCs/>
        </w:rPr>
      </w:pPr>
      <w:r w:rsidRPr="0086627E">
        <w:rPr>
          <w:iCs/>
        </w:rPr>
        <w:t>(</w:t>
      </w:r>
      <w:r w:rsidRPr="0086627E">
        <w:t>iv)</w:t>
      </w:r>
      <w:r w:rsidRPr="0086627E">
        <w:tab/>
      </w:r>
      <w:r w:rsidRPr="0086627E">
        <w:rPr>
          <w:iCs/>
        </w:rPr>
        <w:t>RMR Standby Payment;</w:t>
      </w:r>
    </w:p>
    <w:p w14:paraId="7DE11855" w14:textId="77777777" w:rsidR="00424F6A" w:rsidRPr="0086627E" w:rsidRDefault="00424F6A" w:rsidP="00424F6A">
      <w:pPr>
        <w:spacing w:after="240"/>
        <w:ind w:left="1440"/>
        <w:rPr>
          <w:iCs/>
        </w:rPr>
      </w:pPr>
      <w:r w:rsidRPr="0086627E">
        <w:rPr>
          <w:iCs/>
        </w:rPr>
        <w:t>(v)</w:t>
      </w:r>
      <w:r w:rsidRPr="0086627E">
        <w:rPr>
          <w:iCs/>
        </w:rPr>
        <w:tab/>
        <w:t>RMR Payment for Energy;</w:t>
      </w:r>
    </w:p>
    <w:p w14:paraId="3F6F7FA5" w14:textId="77777777" w:rsidR="00424F6A" w:rsidRPr="0086627E" w:rsidRDefault="00424F6A" w:rsidP="00424F6A">
      <w:pPr>
        <w:spacing w:after="240"/>
        <w:ind w:left="2160" w:hanging="720"/>
      </w:pPr>
      <w:r w:rsidRPr="0086627E">
        <w:t>(vi)</w:t>
      </w:r>
      <w:r w:rsidRPr="0086627E">
        <w:tab/>
        <w:t>Black Start Hourly Standby Fee Payment; and</w:t>
      </w:r>
    </w:p>
    <w:p w14:paraId="3380C611" w14:textId="77777777" w:rsidR="00424F6A" w:rsidRPr="0086627E" w:rsidRDefault="00424F6A" w:rsidP="00424F6A">
      <w:pPr>
        <w:spacing w:after="240"/>
        <w:ind w:left="2160" w:hanging="720"/>
        <w:rPr>
          <w:iCs/>
        </w:rPr>
      </w:pPr>
      <w:r w:rsidRPr="0086627E">
        <w:rPr>
          <w:iCs/>
        </w:rPr>
        <w:lastRenderedPageBreak/>
        <w:t>(</w:t>
      </w:r>
      <w:r w:rsidRPr="0086627E">
        <w:t>vii)</w:t>
      </w:r>
      <w:r w:rsidRPr="0086627E">
        <w:tab/>
      </w:r>
      <w:r w:rsidRPr="0086627E">
        <w:rPr>
          <w:iCs/>
        </w:rPr>
        <w:t>ERCOT System Administration Fee.</w:t>
      </w:r>
    </w:p>
    <w:p w14:paraId="6E3B4DF1" w14:textId="77777777" w:rsidR="00424F6A" w:rsidRPr="0086627E" w:rsidRDefault="00424F6A" w:rsidP="00424F6A">
      <w:pPr>
        <w:spacing w:after="240"/>
        <w:ind w:left="720" w:hanging="720"/>
        <w:rPr>
          <w:iCs/>
        </w:rPr>
      </w:pPr>
      <w:r w:rsidRPr="0086627E">
        <w:rPr>
          <w:iCs/>
        </w:rPr>
        <w:t>(3)</w:t>
      </w:r>
      <w:r w:rsidRPr="0086627E">
        <w:rPr>
          <w:iCs/>
        </w:rPr>
        <w:tab/>
        <w:t>ERCOT may, at its sole discretion, settle the Operating Days that occur during a Market Suspension without use of RTM</w:t>
      </w:r>
      <w:r w:rsidRPr="0086627E" w:rsidDel="00000276">
        <w:rPr>
          <w:iCs/>
        </w:rPr>
        <w:t xml:space="preserve"> </w:t>
      </w:r>
      <w:r w:rsidRPr="0086627E">
        <w:rPr>
          <w:iCs/>
        </w:rPr>
        <w:t xml:space="preserve">Settlement Statements, Settlement Invoices, and associated provisions, as described in Section 9, Settlement and Billing.  </w:t>
      </w:r>
    </w:p>
    <w:p w14:paraId="742A1999" w14:textId="77777777" w:rsidR="00424F6A" w:rsidRPr="0086627E" w:rsidRDefault="00424F6A" w:rsidP="00424F6A">
      <w:pPr>
        <w:spacing w:after="240"/>
        <w:ind w:left="720" w:hanging="720"/>
        <w:rPr>
          <w:iCs/>
        </w:rPr>
      </w:pPr>
      <w:r w:rsidRPr="0086627E">
        <w:rPr>
          <w:iCs/>
        </w:rPr>
        <w:t>(4)</w:t>
      </w:r>
      <w:r w:rsidRPr="0086627E">
        <w:rPr>
          <w:iCs/>
        </w:rPr>
        <w:tab/>
        <w:t>ERCOT shall maintain available supporting billing determinant Settlement data for Market Suspension Operating Day Settlement and shall provide this information to each QSE as soon as practicable.</w:t>
      </w:r>
    </w:p>
    <w:p w14:paraId="0E24F6F3" w14:textId="77777777" w:rsidR="00424F6A" w:rsidRPr="0086627E" w:rsidRDefault="00424F6A" w:rsidP="00424F6A">
      <w:pPr>
        <w:spacing w:after="240"/>
        <w:ind w:left="720" w:hanging="720"/>
      </w:pPr>
      <w:r w:rsidRPr="0086627E">
        <w:t>(5)</w:t>
      </w:r>
      <w:r w:rsidRPr="0086627E">
        <w:tab/>
        <w:t>ERCOT shall cease to utilize the provisions for Market Suspension Settlement beginning with the first complete Operating Day for which ERCOT issues Dispatch Instructions to QSEs in accordance with Section 25.3, Market Restart Processes.</w:t>
      </w:r>
    </w:p>
    <w:p w14:paraId="3B227F33" w14:textId="77777777" w:rsidR="00424F6A" w:rsidRPr="0086627E" w:rsidRDefault="00424F6A" w:rsidP="00424F6A">
      <w:pPr>
        <w:spacing w:after="240"/>
        <w:ind w:left="720" w:hanging="720"/>
      </w:pPr>
      <w:r w:rsidRPr="0086627E">
        <w:t>(6)</w:t>
      </w:r>
      <w:r w:rsidRPr="0086627E">
        <w:tab/>
        <w:t>After Market Restart ERCOT shall:</w:t>
      </w:r>
    </w:p>
    <w:p w14:paraId="3576A6D6" w14:textId="77777777" w:rsidR="00424F6A" w:rsidRPr="0086627E" w:rsidRDefault="00424F6A" w:rsidP="00424F6A">
      <w:pPr>
        <w:spacing w:after="240"/>
        <w:ind w:left="1440" w:hanging="720"/>
      </w:pPr>
      <w:r w:rsidRPr="0086627E">
        <w:t>(a)</w:t>
      </w:r>
      <w:r w:rsidRPr="0086627E">
        <w:tab/>
        <w:t>Reconcile payments to QSEs with Generation Resources pursuant to Section 25.5.2, Market Suspension Make-Whole Payment, using the best available generation data;</w:t>
      </w:r>
    </w:p>
    <w:p w14:paraId="23EB3B62" w14:textId="77777777" w:rsidR="00424F6A" w:rsidRPr="0086627E" w:rsidRDefault="00424F6A" w:rsidP="00424F6A">
      <w:pPr>
        <w:spacing w:after="240"/>
        <w:ind w:left="1440" w:hanging="720"/>
        <w:rPr>
          <w:iCs/>
        </w:rPr>
      </w:pPr>
      <w:r w:rsidRPr="0086627E">
        <w:rPr>
          <w:iCs/>
        </w:rPr>
        <w:t>(b)</w:t>
      </w:r>
      <w:r w:rsidRPr="0086627E">
        <w:rPr>
          <w:iCs/>
        </w:rPr>
        <w:tab/>
        <w:t>Calculate Market Suspension DC Tie Import Payments as defined in Section 25.5.3;</w:t>
      </w:r>
    </w:p>
    <w:p w14:paraId="1251D7B3" w14:textId="77777777" w:rsidR="00424F6A" w:rsidRPr="0086627E" w:rsidRDefault="00424F6A" w:rsidP="00424F6A">
      <w:pPr>
        <w:spacing w:after="240"/>
        <w:ind w:left="1440" w:hanging="720"/>
        <w:rPr>
          <w:iCs/>
        </w:rPr>
      </w:pPr>
      <w:r w:rsidRPr="0086627E">
        <w:rPr>
          <w:iCs/>
        </w:rPr>
        <w:t>(c)</w:t>
      </w:r>
      <w:r w:rsidRPr="0086627E">
        <w:rPr>
          <w:iCs/>
        </w:rPr>
        <w:tab/>
        <w:t>Calculate Market Suspension Block Load Transfer Payments as defined in Section 25.5.4;</w:t>
      </w:r>
    </w:p>
    <w:p w14:paraId="68CCB13C" w14:textId="77777777" w:rsidR="00424F6A" w:rsidRPr="0086627E" w:rsidRDefault="00424F6A" w:rsidP="00424F6A">
      <w:pPr>
        <w:spacing w:after="240"/>
        <w:ind w:left="1440" w:hanging="720"/>
      </w:pPr>
      <w:r w:rsidRPr="0086627E">
        <w:rPr>
          <w:iCs/>
        </w:rPr>
        <w:t>(</w:t>
      </w:r>
      <w:r>
        <w:t>d</w:t>
      </w:r>
      <w:r w:rsidRPr="0086627E">
        <w:t>)</w:t>
      </w:r>
      <w:r w:rsidRPr="0086627E">
        <w:tab/>
      </w:r>
      <w:r>
        <w:t>Calculate</w:t>
      </w:r>
      <w:r w:rsidRPr="0086627E">
        <w:t xml:space="preserve"> Market Suspension RMR Standby Payments in accordance with Section 6.6.6.1, RMR Standby Payment;</w:t>
      </w:r>
    </w:p>
    <w:p w14:paraId="0FB84861" w14:textId="77777777" w:rsidR="00424F6A" w:rsidRPr="0086627E" w:rsidRDefault="00424F6A" w:rsidP="00424F6A">
      <w:pPr>
        <w:spacing w:after="240"/>
        <w:ind w:left="1440" w:hanging="720"/>
      </w:pPr>
      <w:r w:rsidRPr="0086627E">
        <w:t>(</w:t>
      </w:r>
      <w:r>
        <w:t>e</w:t>
      </w:r>
      <w:r w:rsidRPr="0086627E">
        <w:t>)</w:t>
      </w:r>
      <w:r w:rsidRPr="0086627E">
        <w:tab/>
      </w:r>
      <w:r>
        <w:t>Calculate</w:t>
      </w:r>
      <w:r w:rsidRPr="0086627E">
        <w:t xml:space="preserve"> Market Suspension RMR Payment for Energy in accordance with Section 6.6.6.2, RMR Payment for Energy;</w:t>
      </w:r>
    </w:p>
    <w:p w14:paraId="2BBD7533" w14:textId="77777777" w:rsidR="00424F6A" w:rsidRDefault="00424F6A" w:rsidP="00424F6A">
      <w:pPr>
        <w:spacing w:after="240"/>
        <w:ind w:left="1440" w:hanging="720"/>
      </w:pPr>
      <w:r w:rsidRPr="0086627E">
        <w:t>(</w:t>
      </w:r>
      <w:r>
        <w:t>f</w:t>
      </w:r>
      <w:r w:rsidRPr="0086627E">
        <w:t>)</w:t>
      </w:r>
      <w:r w:rsidRPr="0086627E">
        <w:tab/>
      </w:r>
      <w:r>
        <w:t>Calculate</w:t>
      </w:r>
      <w:r w:rsidRPr="0086627E">
        <w:t xml:space="preserve"> Market Suspension Black Start Service in accordance with Section 6.6.8.1, Black Start Hourly Standby Fee Payment; </w:t>
      </w:r>
    </w:p>
    <w:p w14:paraId="1E45F5B4" w14:textId="77777777" w:rsidR="00424F6A" w:rsidRPr="0086627E" w:rsidRDefault="00424F6A" w:rsidP="00424F6A">
      <w:pPr>
        <w:spacing w:after="240"/>
        <w:ind w:left="1440" w:hanging="720"/>
      </w:pPr>
      <w:r w:rsidRPr="0086627E">
        <w:t>(</w:t>
      </w:r>
      <w:r>
        <w:t>g</w:t>
      </w:r>
      <w:r w:rsidRPr="0086627E">
        <w:t>)</w:t>
      </w:r>
      <w:r w:rsidRPr="0086627E">
        <w:tab/>
        <w:t>Allocate costs in accordance with Section 25.5.5; and</w:t>
      </w:r>
    </w:p>
    <w:p w14:paraId="7CEFBB80" w14:textId="77777777" w:rsidR="00424F6A" w:rsidRPr="0086627E" w:rsidRDefault="00424F6A" w:rsidP="00424F6A">
      <w:pPr>
        <w:spacing w:after="240"/>
        <w:ind w:left="1440" w:hanging="720"/>
      </w:pPr>
      <w:r w:rsidRPr="0086627E">
        <w:rPr>
          <w:iCs/>
        </w:rPr>
        <w:t>(</w:t>
      </w:r>
      <w:r>
        <w:rPr>
          <w:iCs/>
        </w:rPr>
        <w:t>h</w:t>
      </w:r>
      <w:r w:rsidRPr="0086627E">
        <w:rPr>
          <w:iCs/>
        </w:rPr>
        <w:t>)</w:t>
      </w:r>
      <w:r w:rsidRPr="0086627E">
        <w:rPr>
          <w:iCs/>
        </w:rPr>
        <w:tab/>
        <w:t>Assess the ERCOT System Administration Fee for the time period of the Market Suspension in accordance with Section 9.16.1, ERCOT System Administration Fee, using the best available Load data.</w:t>
      </w:r>
    </w:p>
    <w:p w14:paraId="13F917C9" w14:textId="77777777" w:rsidR="00424F6A" w:rsidRPr="0086627E" w:rsidRDefault="00424F6A" w:rsidP="00424F6A">
      <w:pPr>
        <w:spacing w:after="240"/>
        <w:ind w:left="720" w:hanging="720"/>
      </w:pPr>
      <w:r w:rsidRPr="0086627E">
        <w:t>(7)</w:t>
      </w:r>
      <w:r w:rsidRPr="0086627E">
        <w:tab/>
        <w:t>ERCOT shall provide Notice no less than two Business Days prior to issuing any reconciliation Settlement for the impacted period.</w:t>
      </w:r>
    </w:p>
    <w:p w14:paraId="56123E47" w14:textId="77777777" w:rsidR="00424F6A" w:rsidRPr="0086627E" w:rsidRDefault="00424F6A" w:rsidP="00424F6A">
      <w:pPr>
        <w:spacing w:after="240"/>
        <w:ind w:left="720" w:hanging="720"/>
      </w:pPr>
      <w:r w:rsidRPr="0086627E">
        <w:t>(8)</w:t>
      </w:r>
      <w:r w:rsidRPr="0086627E">
        <w:tab/>
        <w:t>ERCOT shall resume other Settlement activities that were suspended as a result of, or in relation to, the Market Suspension as soon as practicable following the Market Restart, including, but not limited to, pending Congestion Revenue Right (CRR), Day-Ahead Market (DAM) and RTM</w:t>
      </w:r>
      <w:r w:rsidRPr="0086627E" w:rsidDel="00000276">
        <w:t xml:space="preserve"> </w:t>
      </w:r>
      <w:r w:rsidRPr="0086627E">
        <w:t>Settlement for Operating Days prior to the Market Suspension.</w:t>
      </w:r>
    </w:p>
    <w:p w14:paraId="14EC15D8" w14:textId="77777777" w:rsidR="00424F6A" w:rsidRPr="0086627E" w:rsidRDefault="00424F6A" w:rsidP="00424F6A">
      <w:pPr>
        <w:keepNext/>
        <w:tabs>
          <w:tab w:val="left" w:pos="1080"/>
        </w:tabs>
        <w:spacing w:before="240" w:after="240"/>
        <w:outlineLvl w:val="2"/>
        <w:rPr>
          <w:b/>
          <w:bCs/>
          <w:i/>
        </w:rPr>
      </w:pPr>
      <w:bookmarkStart w:id="22" w:name="_Toc493250757"/>
      <w:bookmarkStart w:id="23" w:name="_Toc181495"/>
      <w:bookmarkStart w:id="24" w:name="_Toc181593"/>
      <w:bookmarkEnd w:id="21"/>
      <w:r w:rsidRPr="0086627E">
        <w:rPr>
          <w:b/>
          <w:bCs/>
          <w:i/>
        </w:rPr>
        <w:lastRenderedPageBreak/>
        <w:t>25.5.2</w:t>
      </w:r>
      <w:r w:rsidRPr="0086627E">
        <w:rPr>
          <w:b/>
          <w:bCs/>
          <w:i/>
        </w:rPr>
        <w:tab/>
        <w:t>Market Suspension Make-Whole Payment</w:t>
      </w:r>
      <w:bookmarkEnd w:id="22"/>
      <w:bookmarkEnd w:id="23"/>
      <w:bookmarkEnd w:id="24"/>
    </w:p>
    <w:p w14:paraId="400EB019" w14:textId="77777777" w:rsidR="00424F6A" w:rsidRPr="0086627E" w:rsidRDefault="00424F6A" w:rsidP="00E774AE">
      <w:pPr>
        <w:spacing w:after="240"/>
        <w:ind w:left="720" w:hanging="720"/>
      </w:pPr>
      <w:r w:rsidRPr="0086627E">
        <w:t>(1)</w:t>
      </w:r>
      <w:r w:rsidRPr="0086627E">
        <w:tab/>
        <w:t>To compensate QSEs representing Generation Resources for providing energy during a Market Suspension, ERCOT shall calculate a Market Suspension Make-Whole Payment for the Operating Day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E774AE" w:rsidRPr="00DE2E54" w14:paraId="6A65E29F" w14:textId="77777777" w:rsidTr="00253557">
        <w:tc>
          <w:tcPr>
            <w:tcW w:w="9576" w:type="dxa"/>
            <w:shd w:val="clear" w:color="auto" w:fill="E0E0E0"/>
          </w:tcPr>
          <w:p w14:paraId="0E868481" w14:textId="77777777" w:rsidR="00E774AE" w:rsidRPr="00DE2E54" w:rsidRDefault="00E774AE" w:rsidP="00253557">
            <w:pPr>
              <w:spacing w:before="120" w:after="240"/>
              <w:rPr>
                <w:b/>
                <w:i/>
                <w:iCs/>
              </w:rPr>
            </w:pPr>
            <w:r>
              <w:rPr>
                <w:b/>
                <w:i/>
                <w:iCs/>
              </w:rPr>
              <w:t>[NPRR1029</w:t>
            </w:r>
            <w:r w:rsidRPr="00DE2E54">
              <w:rPr>
                <w:b/>
                <w:i/>
                <w:iCs/>
              </w:rPr>
              <w:t>:  Replace paragraph (1) above with the following upon system implementation:]</w:t>
            </w:r>
          </w:p>
          <w:p w14:paraId="5995FF09" w14:textId="77777777" w:rsidR="00E774AE" w:rsidRPr="00E774AE" w:rsidRDefault="00E774AE" w:rsidP="00E774AE">
            <w:pPr>
              <w:spacing w:after="240"/>
              <w:ind w:left="720" w:hanging="720"/>
            </w:pPr>
            <w:r w:rsidRPr="003C2A11">
              <w:t>(1)</w:t>
            </w:r>
            <w:r w:rsidRPr="003C2A11">
              <w:tab/>
              <w:t xml:space="preserve">To compensate QSEs representing Generation Resources </w:t>
            </w:r>
            <w:r>
              <w:t xml:space="preserve">or Energy Storage Resources (ESRs) </w:t>
            </w:r>
            <w:r w:rsidRPr="003C2A11">
              <w:t>for providing energy during a Market Suspension, ERCOT shall calculate a Market Suspension Make-Whole Payment for the Operating Day as follows:</w:t>
            </w:r>
          </w:p>
        </w:tc>
      </w:tr>
    </w:tbl>
    <w:p w14:paraId="61B3CC3F" w14:textId="77777777" w:rsidR="00424F6A" w:rsidRPr="0086627E" w:rsidRDefault="00424F6A" w:rsidP="0003274B">
      <w:pPr>
        <w:spacing w:before="240" w:after="240"/>
        <w:ind w:left="2880" w:hanging="2160"/>
        <w:rPr>
          <w:i/>
          <w:vertAlign w:val="subscript"/>
        </w:rPr>
      </w:pPr>
      <w:r w:rsidRPr="0086627E">
        <w:t xml:space="preserve">MSMWAMT </w:t>
      </w:r>
      <w:r w:rsidRPr="0086627E">
        <w:rPr>
          <w:i/>
          <w:vertAlign w:val="subscript"/>
        </w:rPr>
        <w:t>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sidRPr="0086627E">
        <w:t xml:space="preserve">  =  (-1) * (MSSUC</w:t>
      </w:r>
      <w:r w:rsidR="0016529C">
        <w:t xml:space="preserve"> </w:t>
      </w:r>
      <w:r w:rsidRPr="0086627E">
        <w:rPr>
          <w:i/>
          <w:vertAlign w:val="subscript"/>
        </w:rPr>
        <w:t>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sidRPr="0086627E">
        <w:t xml:space="preserve"> + MSOC </w:t>
      </w:r>
      <w:r w:rsidRPr="0086627E">
        <w:rPr>
          <w:i/>
          <w:vertAlign w:val="subscript"/>
        </w:rPr>
        <w:t>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sidRPr="0086627E">
        <w:t xml:space="preserve"> + MS</w:t>
      </w:r>
      <w:r>
        <w:t>SU</w:t>
      </w:r>
      <w:r w:rsidRPr="0086627E">
        <w:t>CADJ</w:t>
      </w:r>
      <w:r w:rsidRPr="0086627E">
        <w:rPr>
          <w:i/>
          <w:vertAlign w:val="subscript"/>
        </w:rPr>
        <w:t xml:space="preserve"> 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Pr>
          <w:i/>
          <w:vertAlign w:val="subscript"/>
        </w:rPr>
        <w:t xml:space="preserve"> </w:t>
      </w:r>
      <w:r>
        <w:t>+ MSOC</w:t>
      </w:r>
      <w:r w:rsidRPr="0086627E">
        <w:t>ADJ</w:t>
      </w:r>
      <w:r w:rsidRPr="0086627E">
        <w:rPr>
          <w:i/>
          <w:vertAlign w:val="subscript"/>
        </w:rPr>
        <w:t xml:space="preserve"> 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sidRPr="0086627E">
        <w:t>)</w:t>
      </w:r>
    </w:p>
    <w:p w14:paraId="49AF6899" w14:textId="77777777" w:rsidR="00424F6A" w:rsidRPr="0086627E" w:rsidRDefault="00424F6A" w:rsidP="00424F6A">
      <w:pPr>
        <w:spacing w:after="240"/>
        <w:ind w:left="720"/>
      </w:pPr>
      <w:r w:rsidRPr="0086627E">
        <w:t xml:space="preserve">Where, </w:t>
      </w:r>
    </w:p>
    <w:p w14:paraId="694C9C02" w14:textId="77777777" w:rsidR="00424F6A" w:rsidRPr="0086627E" w:rsidRDefault="00424F6A" w:rsidP="00424F6A">
      <w:pPr>
        <w:spacing w:after="240"/>
        <w:ind w:left="720"/>
      </w:pPr>
      <w:r w:rsidRPr="0086627E">
        <w:t>The startup cost (MSSUC) is calculated as follows:</w:t>
      </w:r>
    </w:p>
    <w:p w14:paraId="3B09DE2E" w14:textId="77777777" w:rsidR="00424F6A" w:rsidRPr="0086627E" w:rsidRDefault="00424F6A" w:rsidP="00424F6A">
      <w:pPr>
        <w:tabs>
          <w:tab w:val="left" w:pos="1440"/>
          <w:tab w:val="left" w:pos="3420"/>
        </w:tabs>
        <w:spacing w:before="240" w:after="240"/>
        <w:ind w:left="3420" w:hanging="2700"/>
        <w:rPr>
          <w:bCs/>
        </w:rPr>
      </w:pPr>
      <w:r w:rsidRPr="0086627E">
        <w:rPr>
          <w:b/>
          <w:bCs/>
        </w:rPr>
        <w:tab/>
      </w:r>
      <w:r w:rsidRPr="0086627E">
        <w:rPr>
          <w:bCs/>
        </w:rPr>
        <w:t>For Black Start Resources:</w:t>
      </w:r>
    </w:p>
    <w:p w14:paraId="049D624E" w14:textId="77777777" w:rsidR="00424F6A" w:rsidRPr="0086627E" w:rsidRDefault="00424F6A" w:rsidP="00424F6A">
      <w:pPr>
        <w:ind w:left="1440" w:firstLine="720"/>
      </w:pPr>
      <w:r w:rsidRPr="0086627E">
        <w:t xml:space="preserve">MSSUC </w:t>
      </w:r>
      <w:r w:rsidRPr="0086627E">
        <w:rPr>
          <w:i/>
          <w:vertAlign w:val="subscript"/>
        </w:rPr>
        <w:t>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sidRPr="0086627E">
        <w:t xml:space="preserve"> =   $0.00</w:t>
      </w:r>
    </w:p>
    <w:p w14:paraId="24D10AC7" w14:textId="77777777" w:rsidR="00424F6A" w:rsidRPr="0086627E" w:rsidRDefault="00424F6A" w:rsidP="00424F6A">
      <w:pPr>
        <w:ind w:left="720"/>
      </w:pPr>
      <w:r w:rsidRPr="0086627E">
        <w:tab/>
      </w:r>
    </w:p>
    <w:p w14:paraId="02972FDD" w14:textId="77777777" w:rsidR="00424F6A" w:rsidRPr="0086627E" w:rsidRDefault="00424F6A" w:rsidP="00424F6A">
      <w:pPr>
        <w:spacing w:after="240"/>
        <w:ind w:left="720" w:firstLine="720"/>
      </w:pPr>
      <w:r w:rsidRPr="0086627E">
        <w:t xml:space="preserve">For Combined Cycle Trains: </w:t>
      </w:r>
    </w:p>
    <w:p w14:paraId="7D13F445" w14:textId="27C0B7CC" w:rsidR="00424F6A" w:rsidRPr="0086627E" w:rsidRDefault="00424F6A" w:rsidP="00424F6A">
      <w:pPr>
        <w:ind w:left="1440" w:firstLine="720"/>
      </w:pPr>
      <w:r w:rsidRPr="0086627E">
        <w:t>MSSUC</w:t>
      </w:r>
      <w:r w:rsidRPr="0086627E">
        <w:rPr>
          <w:bCs/>
        </w:rPr>
        <w:t xml:space="preserve">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d</w:t>
      </w:r>
      <w:r w:rsidRPr="0086627E">
        <w:rPr>
          <w:bCs/>
        </w:rPr>
        <w:t xml:space="preserve"> = </w:t>
      </w:r>
      <w:r w:rsidR="00F617A5">
        <w:rPr>
          <w:noProof/>
          <w:position w:val="-20"/>
        </w:rPr>
        <w:drawing>
          <wp:inline distT="0" distB="0" distL="0" distR="0" wp14:anchorId="46BFABC7" wp14:editId="57530A58">
            <wp:extent cx="182880" cy="27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rPr>
          <w:bCs/>
        </w:rPr>
        <w:t xml:space="preserve">MSSUPR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vertAlign w:val="subscript"/>
        </w:rPr>
        <w:t>s</w:t>
      </w:r>
      <w:r w:rsidRPr="0086627E">
        <w:rPr>
          <w:bCs/>
        </w:rPr>
        <w:t xml:space="preserve"> + </w:t>
      </w:r>
      <w:r w:rsidR="00F617A5">
        <w:rPr>
          <w:noProof/>
          <w:position w:val="-20"/>
        </w:rPr>
        <w:drawing>
          <wp:inline distT="0" distB="0" distL="0" distR="0" wp14:anchorId="422DCAFB" wp14:editId="4F880BF0">
            <wp:extent cx="182880" cy="27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t xml:space="preserve">(MAX (0, MSSUPR </w:t>
      </w:r>
      <w:r w:rsidRPr="0086627E">
        <w:rPr>
          <w:vertAlign w:val="subscript"/>
        </w:rPr>
        <w:t>afterCCGR</w:t>
      </w:r>
      <w:r w:rsidRPr="0086627E">
        <w:t xml:space="preserve"> – </w:t>
      </w:r>
    </w:p>
    <w:p w14:paraId="018EE3BF" w14:textId="77777777" w:rsidR="00424F6A" w:rsidRPr="0086627E" w:rsidRDefault="00424F6A" w:rsidP="0016529C">
      <w:pPr>
        <w:spacing w:after="240"/>
        <w:ind w:left="3690"/>
      </w:pPr>
      <w:r w:rsidRPr="0086627E">
        <w:t xml:space="preserve">MSSUPR </w:t>
      </w:r>
      <w:r w:rsidRPr="0086627E">
        <w:rPr>
          <w:vertAlign w:val="subscript"/>
        </w:rPr>
        <w:t>beforeCCGR</w:t>
      </w:r>
      <w:r w:rsidRPr="0086627E">
        <w:t xml:space="preserve">)) </w:t>
      </w:r>
    </w:p>
    <w:p w14:paraId="61C3D759" w14:textId="77777777" w:rsidR="00424F6A" w:rsidRPr="0086627E" w:rsidRDefault="00424F6A" w:rsidP="00424F6A">
      <w:pPr>
        <w:spacing w:after="240"/>
        <w:ind w:left="720" w:firstLine="720"/>
      </w:pPr>
      <w:r w:rsidRPr="0086627E">
        <w:t xml:space="preserve">For all other Resources:  </w:t>
      </w:r>
    </w:p>
    <w:p w14:paraId="31295DAE" w14:textId="39DA0E90" w:rsidR="00424F6A" w:rsidRPr="0086627E" w:rsidRDefault="00424F6A" w:rsidP="00424F6A">
      <w:pPr>
        <w:spacing w:after="240"/>
        <w:ind w:left="1440" w:firstLine="720"/>
      </w:pPr>
      <w:r w:rsidRPr="0086627E">
        <w:t xml:space="preserve">MSSUC </w:t>
      </w:r>
      <w:r w:rsidRPr="0086627E">
        <w:rPr>
          <w:i/>
          <w:vertAlign w:val="subscript"/>
        </w:rPr>
        <w:t>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d</w:t>
      </w:r>
      <w:r w:rsidRPr="0086627E">
        <w:t xml:space="preserve"> =  </w:t>
      </w:r>
      <w:r w:rsidR="00F617A5">
        <w:rPr>
          <w:noProof/>
          <w:position w:val="-20"/>
        </w:rPr>
        <w:drawing>
          <wp:inline distT="0" distB="0" distL="0" distR="0" wp14:anchorId="71D0E948" wp14:editId="0A5D56DD">
            <wp:extent cx="182880" cy="270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t xml:space="preserve"> MSSUPR</w:t>
      </w:r>
      <w:r w:rsidRPr="0086627E">
        <w:rPr>
          <w:i/>
          <w:vertAlign w:val="subscript"/>
        </w:rPr>
        <w:t xml:space="preserve"> q,</w:t>
      </w:r>
      <w:r w:rsidR="0016529C">
        <w:rPr>
          <w:i/>
          <w:vertAlign w:val="subscript"/>
        </w:rPr>
        <w:t xml:space="preserve"> </w:t>
      </w:r>
      <w:r w:rsidRPr="0086627E">
        <w:rPr>
          <w:i/>
          <w:vertAlign w:val="subscript"/>
        </w:rPr>
        <w:t>r,</w:t>
      </w:r>
      <w:r w:rsidR="0016529C">
        <w:rPr>
          <w:i/>
          <w:vertAlign w:val="subscript"/>
        </w:rPr>
        <w:t xml:space="preserve"> </w:t>
      </w:r>
      <w:r w:rsidRPr="0086627E">
        <w:rPr>
          <w:i/>
          <w:vertAlign w:val="subscript"/>
        </w:rPr>
        <w:t>s</w:t>
      </w:r>
    </w:p>
    <w:p w14:paraId="1AFBB42E" w14:textId="77777777" w:rsidR="00424F6A" w:rsidRPr="0086627E" w:rsidRDefault="00424F6A" w:rsidP="00424F6A">
      <w:pPr>
        <w:spacing w:after="240"/>
        <w:ind w:left="1440" w:hanging="720"/>
      </w:pPr>
      <w:r w:rsidRPr="0086627E">
        <w:t>The startup price (MSSUPR) and operating cost (MSOC) are calculated as follows:</w:t>
      </w:r>
    </w:p>
    <w:p w14:paraId="453C05A1" w14:textId="77777777" w:rsidR="00424F6A" w:rsidRPr="0086627E" w:rsidRDefault="00424F6A" w:rsidP="00424F6A">
      <w:pPr>
        <w:spacing w:after="240"/>
        <w:ind w:left="1440" w:hanging="720"/>
        <w:rPr>
          <w:iCs/>
        </w:rPr>
      </w:pPr>
      <w:r w:rsidRPr="0086627E">
        <w:rPr>
          <w:iCs/>
        </w:rPr>
        <w:t>If ERCOT has approved verifiable costs for the Generation Resource:</w:t>
      </w:r>
    </w:p>
    <w:p w14:paraId="6BAE2387" w14:textId="77777777" w:rsidR="00002C72" w:rsidRDefault="00002C72" w:rsidP="00002C72">
      <w:pPr>
        <w:spacing w:after="240"/>
        <w:ind w:left="1440" w:hanging="720"/>
        <w:rPr>
          <w:iCs/>
        </w:rPr>
      </w:pPr>
      <w:r>
        <w:rPr>
          <w:iCs/>
        </w:rPr>
        <w:t>For Firm Fuel Supply Resources (FFSRs) starting with a reserved fuel</w:t>
      </w:r>
    </w:p>
    <w:p w14:paraId="1295DEC4" w14:textId="77777777" w:rsidR="00002C72" w:rsidRDefault="00002C72" w:rsidP="00002C72">
      <w:pPr>
        <w:tabs>
          <w:tab w:val="left" w:pos="2340"/>
          <w:tab w:val="left" w:pos="3420"/>
        </w:tabs>
        <w:spacing w:after="240"/>
        <w:ind w:left="3420" w:hanging="1980"/>
        <w:rPr>
          <w:bCs/>
          <w:i/>
          <w:vertAlign w:val="subscript"/>
        </w:rPr>
      </w:pPr>
      <w:r w:rsidRPr="0086627E">
        <w:rPr>
          <w:bCs/>
        </w:rPr>
        <w:t xml:space="preserve">MSSUPR </w:t>
      </w:r>
      <w:r w:rsidRPr="0086627E">
        <w:rPr>
          <w:bCs/>
          <w:i/>
          <w:vertAlign w:val="subscript"/>
        </w:rPr>
        <w:t>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s</w:t>
      </w:r>
      <w:r w:rsidRPr="0086627E">
        <w:rPr>
          <w:bCs/>
          <w:iCs/>
        </w:rPr>
        <w:t xml:space="preserve"> = </w:t>
      </w:r>
      <w:r w:rsidRPr="0086627E">
        <w:rPr>
          <w:bCs/>
        </w:rPr>
        <w:t>RVOMS</w:t>
      </w:r>
      <w:r w:rsidRPr="0086627E">
        <w:rPr>
          <w:bCs/>
          <w:i/>
          <w:vertAlign w:val="subscript"/>
        </w:rPr>
        <w:t xml:space="preserve"> 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s</w:t>
      </w:r>
    </w:p>
    <w:p w14:paraId="1A8FCE43" w14:textId="77777777" w:rsidR="00002C72" w:rsidRPr="0086627E" w:rsidRDefault="00002C72" w:rsidP="00002C72">
      <w:pPr>
        <w:tabs>
          <w:tab w:val="left" w:pos="2340"/>
          <w:tab w:val="left" w:pos="3420"/>
        </w:tabs>
        <w:spacing w:after="240"/>
        <w:ind w:left="3420" w:hanging="1980"/>
        <w:rPr>
          <w:bCs/>
          <w:i/>
          <w:vertAlign w:val="subscript"/>
        </w:rPr>
      </w:pPr>
      <w:r w:rsidRPr="0086627E">
        <w:rPr>
          <w:bCs/>
        </w:rPr>
        <w:t xml:space="preserve">MSOC </w:t>
      </w:r>
      <w:r w:rsidRPr="0086627E">
        <w:rPr>
          <w:bCs/>
          <w:i/>
          <w:vertAlign w:val="subscript"/>
        </w:rPr>
        <w:t>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d</w:t>
      </w:r>
      <w:r w:rsidRPr="0086627E">
        <w:rPr>
          <w:bCs/>
        </w:rPr>
        <w:t xml:space="preserve"> = </w:t>
      </w:r>
      <w:r>
        <w:rPr>
          <w:noProof/>
          <w:position w:val="-20"/>
        </w:rPr>
        <w:drawing>
          <wp:inline distT="0" distB="0" distL="0" distR="0" wp14:anchorId="0B0E2401" wp14:editId="38880165">
            <wp:extent cx="182880" cy="270510"/>
            <wp:effectExtent l="0" t="0" r="0" b="0"/>
            <wp:docPr id="3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rPr>
          <w:bCs/>
        </w:rPr>
        <w:t>(ROM</w:t>
      </w:r>
      <w:r w:rsidRPr="0086627E">
        <w:rPr>
          <w:bCs/>
          <w:i/>
          <w:vertAlign w:val="subscript"/>
        </w:rPr>
        <w:t xml:space="preserve"> q,</w:t>
      </w:r>
      <w:r>
        <w:rPr>
          <w:bCs/>
          <w:i/>
          <w:vertAlign w:val="subscript"/>
        </w:rPr>
        <w:t xml:space="preserve"> </w:t>
      </w:r>
      <w:r w:rsidRPr="0086627E">
        <w:rPr>
          <w:bCs/>
          <w:i/>
          <w:vertAlign w:val="subscript"/>
        </w:rPr>
        <w:t>r</w:t>
      </w:r>
      <w:r w:rsidRPr="0086627E">
        <w:rPr>
          <w:bCs/>
        </w:rPr>
        <w:t xml:space="preserve">) * MSGEN </w:t>
      </w:r>
      <w:r w:rsidRPr="0086627E">
        <w:rPr>
          <w:bCs/>
          <w:i/>
          <w:vertAlign w:val="subscript"/>
        </w:rPr>
        <w:t>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i</w:t>
      </w:r>
    </w:p>
    <w:p w14:paraId="19E897A4" w14:textId="77777777" w:rsidR="00002C72" w:rsidRPr="0086627E" w:rsidRDefault="00002C72" w:rsidP="00002C72">
      <w:pPr>
        <w:spacing w:after="240"/>
        <w:ind w:left="1440" w:hanging="720"/>
        <w:rPr>
          <w:iCs/>
        </w:rPr>
      </w:pPr>
      <w:r>
        <w:rPr>
          <w:iCs/>
        </w:rPr>
        <w:t xml:space="preserve">Otherwise, </w:t>
      </w:r>
    </w:p>
    <w:p w14:paraId="2AB0BED1" w14:textId="77777777" w:rsidR="00424F6A" w:rsidRPr="0086627E" w:rsidRDefault="00424F6A" w:rsidP="00424F6A">
      <w:pPr>
        <w:tabs>
          <w:tab w:val="left" w:pos="2340"/>
          <w:tab w:val="left" w:pos="3420"/>
        </w:tabs>
        <w:spacing w:after="240"/>
        <w:ind w:left="3420" w:hanging="1980"/>
        <w:rPr>
          <w:bCs/>
        </w:rPr>
      </w:pPr>
      <w:r w:rsidRPr="0086627E">
        <w:rPr>
          <w:bCs/>
        </w:rPr>
        <w:lastRenderedPageBreak/>
        <w:t xml:space="preserve">MSSUPR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s</w:t>
      </w:r>
      <w:r w:rsidRPr="0086627E">
        <w:rPr>
          <w:bCs/>
          <w:iCs/>
        </w:rPr>
        <w:t xml:space="preserve"> = RABCFCRS</w:t>
      </w:r>
      <w:r w:rsidRPr="0086627E">
        <w:rPr>
          <w:bCs/>
          <w:i/>
          <w:vertAlign w:val="subscript"/>
        </w:rPr>
        <w:t xml:space="preserve"> 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 xml:space="preserve">s </w:t>
      </w:r>
      <w:r w:rsidRPr="0086627E">
        <w:rPr>
          <w:bCs/>
        </w:rPr>
        <w:t>* (MSAVGFP</w:t>
      </w:r>
      <w:r w:rsidR="0016529C">
        <w:rPr>
          <w:bCs/>
        </w:rPr>
        <w:t xml:space="preserve"> </w:t>
      </w:r>
      <w:r w:rsidRPr="0086627E">
        <w:rPr>
          <w:bCs/>
        </w:rPr>
        <w:t>+ FA</w:t>
      </w:r>
      <w:r w:rsidRPr="0086627E">
        <w:rPr>
          <w:bCs/>
          <w:i/>
          <w:vertAlign w:val="subscript"/>
        </w:rPr>
        <w:t xml:space="preserve"> q,</w:t>
      </w:r>
      <w:r w:rsidR="0016529C">
        <w:rPr>
          <w:bCs/>
          <w:i/>
          <w:vertAlign w:val="subscript"/>
        </w:rPr>
        <w:t xml:space="preserve"> </w:t>
      </w:r>
      <w:r w:rsidRPr="0086627E">
        <w:rPr>
          <w:bCs/>
          <w:i/>
          <w:vertAlign w:val="subscript"/>
        </w:rPr>
        <w:t>r</w:t>
      </w:r>
      <w:r w:rsidRPr="0086627E">
        <w:rPr>
          <w:bCs/>
        </w:rPr>
        <w:t>) + RVOMS</w:t>
      </w:r>
      <w:r w:rsidRPr="0086627E">
        <w:rPr>
          <w:bCs/>
          <w:i/>
          <w:vertAlign w:val="subscript"/>
        </w:rPr>
        <w:t xml:space="preserve"> 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s</w:t>
      </w:r>
    </w:p>
    <w:p w14:paraId="59951CC9" w14:textId="30D2A363" w:rsidR="00424F6A" w:rsidRPr="0086627E" w:rsidRDefault="00424F6A" w:rsidP="00424F6A">
      <w:pPr>
        <w:tabs>
          <w:tab w:val="left" w:pos="2340"/>
          <w:tab w:val="left" w:pos="3420"/>
        </w:tabs>
        <w:spacing w:after="240"/>
        <w:ind w:left="3420" w:hanging="1980"/>
        <w:rPr>
          <w:bCs/>
          <w:i/>
          <w:vertAlign w:val="subscript"/>
        </w:rPr>
      </w:pPr>
      <w:r w:rsidRPr="0086627E">
        <w:rPr>
          <w:bCs/>
        </w:rPr>
        <w:t xml:space="preserve">MSOC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d</w:t>
      </w:r>
      <w:r w:rsidRPr="0086627E">
        <w:rPr>
          <w:bCs/>
        </w:rPr>
        <w:t xml:space="preserve"> = </w:t>
      </w:r>
      <w:r w:rsidR="00F617A5">
        <w:rPr>
          <w:noProof/>
          <w:position w:val="-20"/>
        </w:rPr>
        <w:drawing>
          <wp:inline distT="0" distB="0" distL="0" distR="0" wp14:anchorId="769250C9" wp14:editId="2601DEF2">
            <wp:extent cx="182880" cy="27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rPr>
          <w:bCs/>
        </w:rPr>
        <w:t>(</w:t>
      </w:r>
      <w:r w:rsidRPr="0086627E">
        <w:rPr>
          <w:bCs/>
          <w:lang w:val="pt-BR"/>
        </w:rPr>
        <w:t xml:space="preserve">AHR </w:t>
      </w:r>
      <w:r w:rsidRPr="0086627E">
        <w:rPr>
          <w:bCs/>
          <w:i/>
          <w:vertAlign w:val="subscript"/>
          <w:lang w:val="es-ES"/>
        </w:rPr>
        <w:t>q, r,</w:t>
      </w:r>
      <w:r w:rsidR="0016529C">
        <w:rPr>
          <w:bCs/>
          <w:i/>
          <w:vertAlign w:val="subscript"/>
          <w:lang w:val="es-ES"/>
        </w:rPr>
        <w:t xml:space="preserve"> </w:t>
      </w:r>
      <w:r w:rsidRPr="0086627E">
        <w:rPr>
          <w:bCs/>
          <w:i/>
          <w:vertAlign w:val="subscript"/>
          <w:lang w:val="es-ES"/>
        </w:rPr>
        <w:t xml:space="preserve">i </w:t>
      </w:r>
      <w:r w:rsidRPr="0086627E">
        <w:rPr>
          <w:bCs/>
        </w:rPr>
        <w:t>* (MSAVGFP + FA</w:t>
      </w:r>
      <w:r w:rsidRPr="0086627E">
        <w:rPr>
          <w:bCs/>
          <w:i/>
          <w:vertAlign w:val="subscript"/>
        </w:rPr>
        <w:t xml:space="preserve"> q,</w:t>
      </w:r>
      <w:r w:rsidR="0016529C">
        <w:rPr>
          <w:bCs/>
          <w:i/>
          <w:vertAlign w:val="subscript"/>
        </w:rPr>
        <w:t xml:space="preserve"> </w:t>
      </w:r>
      <w:r w:rsidRPr="0086627E">
        <w:rPr>
          <w:bCs/>
          <w:i/>
          <w:vertAlign w:val="subscript"/>
        </w:rPr>
        <w:t>r</w:t>
      </w:r>
      <w:r w:rsidRPr="0086627E">
        <w:rPr>
          <w:bCs/>
        </w:rPr>
        <w:t>) + ROM</w:t>
      </w:r>
      <w:r w:rsidRPr="0086627E">
        <w:rPr>
          <w:bCs/>
          <w:i/>
          <w:vertAlign w:val="subscript"/>
        </w:rPr>
        <w:t xml:space="preserve"> q,</w:t>
      </w:r>
      <w:r w:rsidR="0016529C">
        <w:rPr>
          <w:bCs/>
          <w:i/>
          <w:vertAlign w:val="subscript"/>
        </w:rPr>
        <w:t xml:space="preserve"> </w:t>
      </w:r>
      <w:r w:rsidRPr="0086627E">
        <w:rPr>
          <w:bCs/>
          <w:i/>
          <w:vertAlign w:val="subscript"/>
        </w:rPr>
        <w:t>r</w:t>
      </w:r>
      <w:r w:rsidRPr="0086627E">
        <w:rPr>
          <w:bCs/>
        </w:rPr>
        <w:t xml:space="preserve">) * MSGEN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i</w:t>
      </w:r>
    </w:p>
    <w:p w14:paraId="50F755F9" w14:textId="77777777" w:rsidR="00002C72" w:rsidRDefault="00002C72" w:rsidP="00002C72">
      <w:pPr>
        <w:spacing w:after="240"/>
        <w:ind w:left="1440" w:hanging="720"/>
        <w:rPr>
          <w:iCs/>
        </w:rPr>
      </w:pPr>
      <w:r w:rsidRPr="0086627E">
        <w:rPr>
          <w:iCs/>
        </w:rPr>
        <w:t xml:space="preserve">If ERCOT has </w:t>
      </w:r>
      <w:r>
        <w:rPr>
          <w:iCs/>
        </w:rPr>
        <w:t xml:space="preserve">not </w:t>
      </w:r>
      <w:r w:rsidRPr="0086627E">
        <w:rPr>
          <w:iCs/>
        </w:rPr>
        <w:t>approved verifiable costs for the Generation Resource:</w:t>
      </w:r>
    </w:p>
    <w:p w14:paraId="3BAA09E0" w14:textId="77777777" w:rsidR="00002C72" w:rsidRDefault="00002C72" w:rsidP="00002C72">
      <w:pPr>
        <w:spacing w:after="240"/>
        <w:ind w:left="1440" w:hanging="720"/>
        <w:rPr>
          <w:iCs/>
        </w:rPr>
      </w:pPr>
      <w:r>
        <w:rPr>
          <w:iCs/>
        </w:rPr>
        <w:t>For FFSRs starting with a reserved fuel</w:t>
      </w:r>
    </w:p>
    <w:p w14:paraId="6D22355A" w14:textId="77777777" w:rsidR="00002C72" w:rsidRPr="0086627E" w:rsidRDefault="00002C72" w:rsidP="00002C72">
      <w:pPr>
        <w:tabs>
          <w:tab w:val="left" w:pos="2340"/>
          <w:tab w:val="left" w:pos="3420"/>
        </w:tabs>
        <w:spacing w:after="240"/>
        <w:ind w:left="3420" w:hanging="1980"/>
        <w:rPr>
          <w:bCs/>
          <w:iCs/>
        </w:rPr>
      </w:pPr>
      <w:r w:rsidRPr="0086627E">
        <w:rPr>
          <w:bCs/>
        </w:rPr>
        <w:t xml:space="preserve">MSSUPR </w:t>
      </w:r>
      <w:r w:rsidRPr="0086627E">
        <w:rPr>
          <w:bCs/>
          <w:i/>
          <w:vertAlign w:val="subscript"/>
        </w:rPr>
        <w:t>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s</w:t>
      </w:r>
      <w:r w:rsidRPr="0086627E">
        <w:rPr>
          <w:bCs/>
        </w:rPr>
        <w:t xml:space="preserve"> = RCGSC</w:t>
      </w:r>
    </w:p>
    <w:p w14:paraId="5465AEB0" w14:textId="77777777" w:rsidR="00002C72" w:rsidRPr="0086627E" w:rsidRDefault="00002C72" w:rsidP="00002C72">
      <w:pPr>
        <w:tabs>
          <w:tab w:val="left" w:pos="2340"/>
          <w:tab w:val="left" w:pos="3420"/>
        </w:tabs>
        <w:spacing w:after="240"/>
        <w:ind w:left="3420" w:hanging="1980"/>
        <w:rPr>
          <w:bCs/>
          <w:i/>
          <w:vertAlign w:val="subscript"/>
        </w:rPr>
      </w:pPr>
      <w:r w:rsidRPr="0086627E">
        <w:rPr>
          <w:bCs/>
        </w:rPr>
        <w:t xml:space="preserve">MSOC </w:t>
      </w:r>
      <w:r w:rsidRPr="0086627E">
        <w:rPr>
          <w:bCs/>
          <w:i/>
          <w:vertAlign w:val="subscript"/>
        </w:rPr>
        <w:t>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d</w:t>
      </w:r>
      <w:r w:rsidRPr="0086627E">
        <w:rPr>
          <w:bCs/>
        </w:rPr>
        <w:t xml:space="preserve"> = </w:t>
      </w:r>
      <w:r>
        <w:rPr>
          <w:noProof/>
          <w:position w:val="-20"/>
        </w:rPr>
        <w:drawing>
          <wp:inline distT="0" distB="0" distL="0" distR="0" wp14:anchorId="5BEB6C7A" wp14:editId="71AD7CA7">
            <wp:extent cx="182880" cy="270510"/>
            <wp:effectExtent l="0" t="0" r="0" b="0"/>
            <wp:docPr id="3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rPr>
          <w:bCs/>
        </w:rPr>
        <w:t>(STOM</w:t>
      </w:r>
      <w:r>
        <w:rPr>
          <w:bCs/>
        </w:rPr>
        <w:t xml:space="preserve"> </w:t>
      </w:r>
      <w:r w:rsidRPr="0086627E">
        <w:rPr>
          <w:bCs/>
          <w:i/>
          <w:vertAlign w:val="subscript"/>
        </w:rPr>
        <w:t>rc</w:t>
      </w:r>
      <w:r w:rsidRPr="0086627E">
        <w:rPr>
          <w:bCs/>
        </w:rPr>
        <w:t xml:space="preserve">) * MSGEN </w:t>
      </w:r>
      <w:r w:rsidRPr="0086627E">
        <w:rPr>
          <w:bCs/>
          <w:i/>
          <w:vertAlign w:val="subscript"/>
        </w:rPr>
        <w:t>q,</w:t>
      </w:r>
      <w:r>
        <w:rPr>
          <w:bCs/>
          <w:i/>
          <w:vertAlign w:val="subscript"/>
        </w:rPr>
        <w:t xml:space="preserve"> </w:t>
      </w:r>
      <w:r w:rsidRPr="0086627E">
        <w:rPr>
          <w:bCs/>
          <w:i/>
          <w:vertAlign w:val="subscript"/>
        </w:rPr>
        <w:t>r,</w:t>
      </w:r>
      <w:r>
        <w:rPr>
          <w:bCs/>
          <w:i/>
          <w:vertAlign w:val="subscript"/>
        </w:rPr>
        <w:t xml:space="preserve"> </w:t>
      </w:r>
      <w:r w:rsidRPr="0086627E">
        <w:rPr>
          <w:bCs/>
          <w:i/>
          <w:vertAlign w:val="subscript"/>
        </w:rPr>
        <w:t>i</w:t>
      </w:r>
    </w:p>
    <w:p w14:paraId="487E2216" w14:textId="77777777" w:rsidR="00424F6A" w:rsidRPr="0086627E" w:rsidRDefault="00424F6A" w:rsidP="00424F6A">
      <w:pPr>
        <w:tabs>
          <w:tab w:val="left" w:pos="2340"/>
          <w:tab w:val="left" w:pos="3420"/>
        </w:tabs>
        <w:spacing w:after="240"/>
        <w:ind w:left="720"/>
        <w:rPr>
          <w:bCs/>
          <w:iCs/>
        </w:rPr>
      </w:pPr>
      <w:r w:rsidRPr="0086627E">
        <w:rPr>
          <w:bCs/>
          <w:iCs/>
        </w:rPr>
        <w:t xml:space="preserve">Otherwise, </w:t>
      </w:r>
    </w:p>
    <w:p w14:paraId="29EE8261" w14:textId="77777777" w:rsidR="00424F6A" w:rsidRPr="0086627E" w:rsidRDefault="00424F6A" w:rsidP="00424F6A">
      <w:pPr>
        <w:tabs>
          <w:tab w:val="left" w:pos="2340"/>
          <w:tab w:val="left" w:pos="3420"/>
        </w:tabs>
        <w:spacing w:after="240"/>
        <w:ind w:left="3420" w:hanging="1980"/>
        <w:rPr>
          <w:bCs/>
          <w:iCs/>
        </w:rPr>
      </w:pPr>
      <w:r w:rsidRPr="0086627E">
        <w:rPr>
          <w:bCs/>
        </w:rPr>
        <w:t xml:space="preserve">MSSUPR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s</w:t>
      </w:r>
      <w:r w:rsidRPr="0086627E">
        <w:rPr>
          <w:bCs/>
        </w:rPr>
        <w:t xml:space="preserve"> = RCGSC</w:t>
      </w:r>
    </w:p>
    <w:p w14:paraId="3E0C9BA7" w14:textId="409C7164" w:rsidR="00424F6A" w:rsidRPr="0086627E" w:rsidRDefault="00424F6A" w:rsidP="00424F6A">
      <w:pPr>
        <w:tabs>
          <w:tab w:val="left" w:pos="2340"/>
          <w:tab w:val="left" w:pos="3420"/>
        </w:tabs>
        <w:spacing w:after="240"/>
        <w:ind w:left="3420" w:hanging="1980"/>
        <w:rPr>
          <w:bCs/>
          <w:i/>
          <w:vertAlign w:val="subscript"/>
        </w:rPr>
      </w:pPr>
      <w:r w:rsidRPr="0086627E">
        <w:rPr>
          <w:bCs/>
        </w:rPr>
        <w:t xml:space="preserve">MSOC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d</w:t>
      </w:r>
      <w:r w:rsidRPr="0086627E">
        <w:rPr>
          <w:bCs/>
        </w:rPr>
        <w:t xml:space="preserve"> = </w:t>
      </w:r>
      <w:r w:rsidR="00F617A5">
        <w:rPr>
          <w:noProof/>
          <w:position w:val="-20"/>
        </w:rPr>
        <w:drawing>
          <wp:inline distT="0" distB="0" distL="0" distR="0" wp14:anchorId="663222EE" wp14:editId="118BF0AA">
            <wp:extent cx="182880" cy="270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 cy="270510"/>
                    </a:xfrm>
                    <a:prstGeom prst="rect">
                      <a:avLst/>
                    </a:prstGeom>
                    <a:noFill/>
                    <a:ln>
                      <a:noFill/>
                    </a:ln>
                  </pic:spPr>
                </pic:pic>
              </a:graphicData>
            </a:graphic>
          </wp:inline>
        </w:drawing>
      </w:r>
      <w:r w:rsidRPr="0086627E">
        <w:rPr>
          <w:bCs/>
        </w:rPr>
        <w:t>(PA</w:t>
      </w:r>
      <w:r w:rsidRPr="0086627E">
        <w:rPr>
          <w:bCs/>
          <w:lang w:val="pt-BR"/>
        </w:rPr>
        <w:t>HR</w:t>
      </w:r>
      <w:r w:rsidR="0016529C">
        <w:rPr>
          <w:bCs/>
          <w:lang w:val="pt-BR"/>
        </w:rPr>
        <w:t xml:space="preserve"> </w:t>
      </w:r>
      <w:r w:rsidRPr="0086627E">
        <w:rPr>
          <w:bCs/>
          <w:i/>
          <w:vertAlign w:val="subscript"/>
        </w:rPr>
        <w:t xml:space="preserve">r, </w:t>
      </w:r>
      <w:r w:rsidRPr="0086627E">
        <w:rPr>
          <w:bCs/>
          <w:i/>
          <w:vertAlign w:val="subscript"/>
          <w:lang w:val="es-ES"/>
        </w:rPr>
        <w:t xml:space="preserve">i </w:t>
      </w:r>
      <w:r w:rsidRPr="0086627E">
        <w:rPr>
          <w:bCs/>
        </w:rPr>
        <w:t>* (MSAVGFP</w:t>
      </w:r>
      <w:r w:rsidR="0016529C">
        <w:rPr>
          <w:bCs/>
        </w:rPr>
        <w:t xml:space="preserve"> </w:t>
      </w:r>
      <w:r w:rsidRPr="0086627E">
        <w:rPr>
          <w:bCs/>
        </w:rPr>
        <w:t>+ PFA</w:t>
      </w:r>
      <w:r w:rsidR="0016529C">
        <w:rPr>
          <w:bCs/>
        </w:rPr>
        <w:t xml:space="preserve"> </w:t>
      </w:r>
      <w:r w:rsidRPr="0086627E">
        <w:rPr>
          <w:bCs/>
          <w:i/>
          <w:vertAlign w:val="subscript"/>
        </w:rPr>
        <w:t>rc</w:t>
      </w:r>
      <w:r w:rsidRPr="0086627E">
        <w:rPr>
          <w:bCs/>
        </w:rPr>
        <w:t>) + STOM</w:t>
      </w:r>
      <w:r w:rsidR="0016529C">
        <w:rPr>
          <w:bCs/>
        </w:rPr>
        <w:t xml:space="preserve"> </w:t>
      </w:r>
      <w:r w:rsidRPr="0086627E">
        <w:rPr>
          <w:bCs/>
          <w:i/>
          <w:vertAlign w:val="subscript"/>
        </w:rPr>
        <w:t>rc</w:t>
      </w:r>
      <w:r w:rsidRPr="0086627E">
        <w:rPr>
          <w:bCs/>
        </w:rPr>
        <w:t xml:space="preserve">) * MSGEN </w:t>
      </w:r>
      <w:r w:rsidRPr="0086627E">
        <w:rPr>
          <w:bCs/>
          <w:i/>
          <w:vertAlign w:val="subscript"/>
        </w:rPr>
        <w:t>q,</w:t>
      </w:r>
      <w:r w:rsidR="0016529C">
        <w:rPr>
          <w:bCs/>
          <w:i/>
          <w:vertAlign w:val="subscript"/>
        </w:rPr>
        <w:t xml:space="preserve"> </w:t>
      </w:r>
      <w:r w:rsidRPr="0086627E">
        <w:rPr>
          <w:bCs/>
          <w:i/>
          <w:vertAlign w:val="subscript"/>
        </w:rPr>
        <w:t>r,</w:t>
      </w:r>
      <w:r w:rsidR="0016529C">
        <w:rPr>
          <w:bCs/>
          <w:i/>
          <w:vertAlign w:val="subscript"/>
        </w:rPr>
        <w:t xml:space="preserve"> </w:t>
      </w:r>
      <w:r w:rsidRPr="0086627E">
        <w:rPr>
          <w:bCs/>
          <w:i/>
          <w:vertAlign w:val="subscript"/>
        </w:rPr>
        <w:t>i</w:t>
      </w:r>
    </w:p>
    <w:p w14:paraId="6B07572D" w14:textId="77777777" w:rsidR="00424F6A" w:rsidRPr="0086627E" w:rsidRDefault="00424F6A" w:rsidP="0033130E">
      <w:pPr>
        <w:tabs>
          <w:tab w:val="left" w:pos="1440"/>
          <w:tab w:val="left" w:pos="3420"/>
        </w:tabs>
        <w:spacing w:after="240"/>
        <w:ind w:left="3420" w:hanging="2700"/>
        <w:rPr>
          <w:bCs/>
        </w:rPr>
      </w:pPr>
      <w:r w:rsidRPr="0086627E">
        <w:rPr>
          <w:bCs/>
        </w:rPr>
        <w:t xml:space="preserve">Where, </w:t>
      </w:r>
    </w:p>
    <w:p w14:paraId="13A85296" w14:textId="77777777" w:rsidR="00424F6A" w:rsidRPr="0086627E" w:rsidRDefault="00424F6A" w:rsidP="0016529C">
      <w:pPr>
        <w:spacing w:after="240"/>
        <w:ind w:left="1440"/>
        <w:rPr>
          <w:bCs/>
          <w:iCs/>
        </w:rPr>
      </w:pPr>
      <w:r w:rsidRPr="0086627E">
        <w:rPr>
          <w:iCs/>
        </w:rPr>
        <w:t>MSAVGFP = MSAVGFIP for Generation Resources that indicate in the Resource Registration process or the verifiable cost process to start on natural gas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E774AE" w:rsidRPr="00DE2E54" w14:paraId="5377D447" w14:textId="77777777" w:rsidTr="00253557">
        <w:tc>
          <w:tcPr>
            <w:tcW w:w="9576" w:type="dxa"/>
            <w:shd w:val="clear" w:color="auto" w:fill="E0E0E0"/>
          </w:tcPr>
          <w:p w14:paraId="3B74F412" w14:textId="77777777" w:rsidR="00E774AE" w:rsidRPr="00DE2E54" w:rsidRDefault="00E774AE" w:rsidP="00253557">
            <w:pPr>
              <w:spacing w:before="120" w:after="240"/>
              <w:rPr>
                <w:b/>
                <w:i/>
                <w:iCs/>
              </w:rPr>
            </w:pPr>
            <w:r>
              <w:rPr>
                <w:b/>
                <w:i/>
                <w:iCs/>
              </w:rPr>
              <w:t>[NPRR1029</w:t>
            </w:r>
            <w:r w:rsidRPr="00DE2E54">
              <w:rPr>
                <w:b/>
                <w:i/>
                <w:iCs/>
              </w:rPr>
              <w:t xml:space="preserve">:  Replace </w:t>
            </w:r>
            <w:r w:rsidR="005B1CA7">
              <w:rPr>
                <w:b/>
                <w:i/>
                <w:iCs/>
              </w:rPr>
              <w:t>the formula for “MSAVGP”</w:t>
            </w:r>
            <w:r w:rsidRPr="00DE2E54">
              <w:rPr>
                <w:b/>
                <w:i/>
                <w:iCs/>
              </w:rPr>
              <w:t xml:space="preserve"> above with the following upon system implementation:]</w:t>
            </w:r>
          </w:p>
          <w:p w14:paraId="10C43D7E" w14:textId="77777777" w:rsidR="00E774AE" w:rsidRPr="005B1CA7" w:rsidRDefault="005B1CA7" w:rsidP="005B1CA7">
            <w:pPr>
              <w:spacing w:after="240"/>
              <w:ind w:left="1440"/>
              <w:rPr>
                <w:bCs/>
                <w:iCs/>
              </w:rPr>
            </w:pPr>
            <w:r w:rsidRPr="003C2A11">
              <w:rPr>
                <w:iCs/>
              </w:rPr>
              <w:t>MSAVGFP = MSAVGFIP for Generation Resources that indicate in the Resource Registration process or the verifiable cost process to start on natural gas</w:t>
            </w:r>
            <w:r>
              <w:rPr>
                <w:iCs/>
              </w:rPr>
              <w:t xml:space="preserve">.  For ESRs, the </w:t>
            </w:r>
            <w:r w:rsidRPr="002855C3">
              <w:rPr>
                <w:iCs/>
              </w:rPr>
              <w:t>MSAVGFIP</w:t>
            </w:r>
            <w:r>
              <w:rPr>
                <w:iCs/>
              </w:rPr>
              <w:t xml:space="preserve"> shall be set to zero.</w:t>
            </w:r>
          </w:p>
        </w:tc>
      </w:tr>
    </w:tbl>
    <w:p w14:paraId="371788E7" w14:textId="77777777" w:rsidR="00424F6A" w:rsidRPr="0086627E" w:rsidRDefault="00424F6A" w:rsidP="00E774AE">
      <w:pPr>
        <w:spacing w:before="240" w:after="240"/>
        <w:ind w:firstLine="720"/>
        <w:rPr>
          <w:iCs/>
        </w:rPr>
      </w:pPr>
      <w:r w:rsidRPr="0086627E">
        <w:rPr>
          <w:iCs/>
        </w:rPr>
        <w:t xml:space="preserve">Or, </w:t>
      </w:r>
    </w:p>
    <w:p w14:paraId="1CEBC8FB" w14:textId="77777777" w:rsidR="00424F6A" w:rsidRPr="0086627E" w:rsidRDefault="00424F6A" w:rsidP="0016529C">
      <w:pPr>
        <w:spacing w:after="240"/>
        <w:ind w:left="1440"/>
        <w:rPr>
          <w:iCs/>
        </w:rPr>
      </w:pPr>
      <w:r w:rsidRPr="0086627E">
        <w:rPr>
          <w:iCs/>
        </w:rPr>
        <w:t>MSAVGFP = MSAVGFOP for Generation Resources that indicate in the Resource Registration process or through the verifiable cost process to start on fuel oil</w:t>
      </w:r>
    </w:p>
    <w:p w14:paraId="1C8A0E77" w14:textId="77777777" w:rsidR="00424F6A" w:rsidRPr="0086627E" w:rsidRDefault="00424F6A" w:rsidP="00424F6A">
      <w:r w:rsidRPr="0086627E">
        <w:t>The above variables are defined as follows:</w:t>
      </w:r>
    </w:p>
    <w:tbl>
      <w:tblPr>
        <w:tblW w:w="500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86"/>
        <w:gridCol w:w="1135"/>
        <w:gridCol w:w="6331"/>
      </w:tblGrid>
      <w:tr w:rsidR="00424F6A" w:rsidRPr="0086627E" w14:paraId="3A79200D" w14:textId="77777777" w:rsidTr="00424F6A">
        <w:trPr>
          <w:cantSplit/>
          <w:trHeight w:val="359"/>
          <w:tblHeader/>
        </w:trPr>
        <w:tc>
          <w:tcPr>
            <w:tcW w:w="1008" w:type="pct"/>
            <w:tcBorders>
              <w:top w:val="single" w:sz="4" w:space="0" w:color="auto"/>
              <w:left w:val="single" w:sz="4" w:space="0" w:color="auto"/>
              <w:bottom w:val="single" w:sz="6" w:space="0" w:color="auto"/>
              <w:right w:val="single" w:sz="6" w:space="0" w:color="auto"/>
            </w:tcBorders>
            <w:hideMark/>
          </w:tcPr>
          <w:p w14:paraId="7759B76E" w14:textId="77777777" w:rsidR="00424F6A" w:rsidRPr="0086627E" w:rsidRDefault="00424F6A" w:rsidP="00424F6A">
            <w:pPr>
              <w:spacing w:after="240"/>
              <w:rPr>
                <w:b/>
                <w:iCs/>
                <w:sz w:val="20"/>
              </w:rPr>
            </w:pPr>
            <w:r w:rsidRPr="0086627E">
              <w:rPr>
                <w:b/>
                <w:iCs/>
                <w:sz w:val="20"/>
              </w:rPr>
              <w:t>Variable</w:t>
            </w:r>
          </w:p>
        </w:tc>
        <w:tc>
          <w:tcPr>
            <w:tcW w:w="607" w:type="pct"/>
            <w:tcBorders>
              <w:top w:val="single" w:sz="4" w:space="0" w:color="auto"/>
              <w:left w:val="single" w:sz="6" w:space="0" w:color="auto"/>
              <w:bottom w:val="single" w:sz="6" w:space="0" w:color="auto"/>
              <w:right w:val="single" w:sz="6" w:space="0" w:color="auto"/>
            </w:tcBorders>
            <w:hideMark/>
          </w:tcPr>
          <w:p w14:paraId="47DEECC0" w14:textId="77777777" w:rsidR="00424F6A" w:rsidRPr="0086627E" w:rsidRDefault="00424F6A" w:rsidP="00424F6A">
            <w:pPr>
              <w:spacing w:after="240"/>
              <w:jc w:val="center"/>
              <w:rPr>
                <w:b/>
                <w:iCs/>
                <w:sz w:val="20"/>
              </w:rPr>
            </w:pPr>
            <w:r w:rsidRPr="0086627E">
              <w:rPr>
                <w:b/>
                <w:iCs/>
                <w:sz w:val="20"/>
              </w:rPr>
              <w:t>Unit</w:t>
            </w:r>
          </w:p>
        </w:tc>
        <w:tc>
          <w:tcPr>
            <w:tcW w:w="3385" w:type="pct"/>
            <w:tcBorders>
              <w:top w:val="single" w:sz="4" w:space="0" w:color="auto"/>
              <w:left w:val="single" w:sz="6" w:space="0" w:color="auto"/>
              <w:bottom w:val="single" w:sz="6" w:space="0" w:color="auto"/>
              <w:right w:val="single" w:sz="4" w:space="0" w:color="auto"/>
            </w:tcBorders>
            <w:hideMark/>
          </w:tcPr>
          <w:p w14:paraId="4E2D49E8" w14:textId="77777777" w:rsidR="00424F6A" w:rsidRPr="0086627E" w:rsidRDefault="00424F6A" w:rsidP="00424F6A">
            <w:pPr>
              <w:spacing w:after="240"/>
              <w:rPr>
                <w:b/>
                <w:iCs/>
                <w:sz w:val="20"/>
              </w:rPr>
            </w:pPr>
            <w:r w:rsidRPr="0086627E">
              <w:rPr>
                <w:b/>
                <w:iCs/>
                <w:sz w:val="20"/>
              </w:rPr>
              <w:t>Definition</w:t>
            </w:r>
          </w:p>
        </w:tc>
      </w:tr>
      <w:tr w:rsidR="00424F6A" w:rsidRPr="0086627E" w14:paraId="65F8F5E0"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53CF533C" w14:textId="77777777" w:rsidR="00424F6A" w:rsidRPr="0086627E" w:rsidRDefault="00424F6A" w:rsidP="00424F6A">
            <w:pPr>
              <w:spacing w:after="60"/>
              <w:rPr>
                <w:iCs/>
                <w:sz w:val="20"/>
              </w:rPr>
            </w:pPr>
            <w:r w:rsidRPr="0086627E">
              <w:rPr>
                <w:iCs/>
                <w:sz w:val="20"/>
              </w:rPr>
              <w:t xml:space="preserve">MSMWAMT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d</w:t>
            </w:r>
            <w:r w:rsidRPr="0086627E">
              <w:rPr>
                <w:b/>
                <w:iCs/>
                <w:sz w:val="20"/>
              </w:rPr>
              <w:t xml:space="preserve">  </w:t>
            </w:r>
          </w:p>
        </w:tc>
        <w:tc>
          <w:tcPr>
            <w:tcW w:w="607" w:type="pct"/>
            <w:tcBorders>
              <w:top w:val="single" w:sz="6" w:space="0" w:color="auto"/>
              <w:left w:val="single" w:sz="6" w:space="0" w:color="auto"/>
              <w:bottom w:val="single" w:sz="6" w:space="0" w:color="auto"/>
              <w:right w:val="single" w:sz="6" w:space="0" w:color="auto"/>
            </w:tcBorders>
            <w:hideMark/>
          </w:tcPr>
          <w:p w14:paraId="53B90DB2" w14:textId="77777777" w:rsidR="00424F6A" w:rsidRPr="0086627E" w:rsidRDefault="00424F6A" w:rsidP="00424F6A">
            <w:pPr>
              <w:spacing w:after="60"/>
              <w:rPr>
                <w:iCs/>
                <w:sz w:val="20"/>
              </w:rPr>
            </w:pPr>
            <w:r w:rsidRPr="0086627E">
              <w:rPr>
                <w:iCs/>
                <w:sz w:val="20"/>
              </w:rPr>
              <w:t>$</w:t>
            </w:r>
          </w:p>
        </w:tc>
        <w:tc>
          <w:tcPr>
            <w:tcW w:w="3385" w:type="pct"/>
            <w:tcBorders>
              <w:top w:val="single" w:sz="6" w:space="0" w:color="auto"/>
              <w:left w:val="single" w:sz="6" w:space="0" w:color="auto"/>
              <w:bottom w:val="single" w:sz="6" w:space="0" w:color="auto"/>
              <w:right w:val="single" w:sz="4" w:space="0" w:color="auto"/>
            </w:tcBorders>
            <w:hideMark/>
          </w:tcPr>
          <w:p w14:paraId="7D4F4AE4" w14:textId="77777777" w:rsidR="00424F6A" w:rsidRPr="0086627E" w:rsidRDefault="00424F6A" w:rsidP="00424F6A">
            <w:pPr>
              <w:spacing w:after="60"/>
              <w:rPr>
                <w:iCs/>
                <w:sz w:val="20"/>
              </w:rPr>
            </w:pPr>
            <w:r w:rsidRPr="0086627E">
              <w:rPr>
                <w:i/>
                <w:iCs/>
                <w:sz w:val="20"/>
              </w:rPr>
              <w:t>Market Suspension Make-Whole Payment</w:t>
            </w:r>
            <w:r>
              <w:rPr>
                <w:i/>
                <w:iCs/>
                <w:sz w:val="20"/>
              </w:rPr>
              <w:t xml:space="preserve"> </w:t>
            </w:r>
            <w:r w:rsidRPr="00067BD8">
              <w:rPr>
                <w:i/>
                <w:iCs/>
                <w:sz w:val="20"/>
              </w:rPr>
              <w:t>–</w:t>
            </w:r>
            <w:r>
              <w:rPr>
                <w:iCs/>
                <w:sz w:val="20"/>
              </w:rPr>
              <w:t xml:space="preserve"> </w:t>
            </w:r>
            <w:r w:rsidRPr="0086627E">
              <w:rPr>
                <w:iCs/>
                <w:sz w:val="20"/>
              </w:rPr>
              <w:t>The Market Suspension</w:t>
            </w:r>
            <w:r w:rsidRPr="0086627E">
              <w:rPr>
                <w:i/>
                <w:iCs/>
                <w:sz w:val="20"/>
              </w:rPr>
              <w:t xml:space="preserve"> </w:t>
            </w:r>
            <w:r w:rsidRPr="0086627E">
              <w:rPr>
                <w:iCs/>
                <w:sz w:val="20"/>
              </w:rPr>
              <w:t xml:space="preserve">Make-Whole Payment to the QSE </w:t>
            </w:r>
            <w:r w:rsidRPr="0086627E">
              <w:rPr>
                <w:i/>
                <w:iCs/>
                <w:sz w:val="20"/>
              </w:rPr>
              <w:t>q,</w:t>
            </w:r>
            <w:r w:rsidRPr="0086627E">
              <w:rPr>
                <w:iCs/>
                <w:sz w:val="20"/>
              </w:rPr>
              <w:t xml:space="preserve"> for Resource </w:t>
            </w:r>
            <w:r w:rsidRPr="0086627E">
              <w:rPr>
                <w:i/>
                <w:iCs/>
                <w:sz w:val="20"/>
              </w:rPr>
              <w:t>r</w:t>
            </w:r>
            <w:r w:rsidRPr="0086627E">
              <w:rPr>
                <w:iCs/>
                <w:sz w:val="20"/>
              </w:rPr>
              <w:t xml:space="preserve">, for the Operating Day </w:t>
            </w:r>
            <w:r w:rsidRPr="0086627E">
              <w:rPr>
                <w:i/>
                <w:iCs/>
                <w:sz w:val="20"/>
              </w:rPr>
              <w:t>d</w:t>
            </w:r>
            <w:r w:rsidRPr="0086627E">
              <w:rPr>
                <w:iCs/>
                <w:sz w:val="20"/>
              </w:rPr>
              <w:t xml:space="preserve">.  Where for a Combined Cycle Train, the Resource </w:t>
            </w:r>
            <w:r w:rsidRPr="0086627E">
              <w:rPr>
                <w:i/>
                <w:iCs/>
                <w:sz w:val="20"/>
              </w:rPr>
              <w:t xml:space="preserve">r </w:t>
            </w:r>
            <w:r w:rsidRPr="0086627E">
              <w:rPr>
                <w:iCs/>
                <w:sz w:val="20"/>
              </w:rPr>
              <w:t>is the Combined Cycle Train.</w:t>
            </w:r>
          </w:p>
        </w:tc>
      </w:tr>
      <w:tr w:rsidR="00424F6A" w:rsidRPr="0086627E" w14:paraId="005AD59F" w14:textId="77777777" w:rsidTr="00424F6A">
        <w:trPr>
          <w:cantSplit/>
        </w:trPr>
        <w:tc>
          <w:tcPr>
            <w:tcW w:w="1008" w:type="pct"/>
            <w:tcBorders>
              <w:top w:val="single" w:sz="6" w:space="0" w:color="auto"/>
              <w:left w:val="single" w:sz="4" w:space="0" w:color="auto"/>
              <w:bottom w:val="single" w:sz="6" w:space="0" w:color="auto"/>
              <w:right w:val="single" w:sz="6" w:space="0" w:color="auto"/>
            </w:tcBorders>
          </w:tcPr>
          <w:p w14:paraId="1AFD85B1" w14:textId="77777777" w:rsidR="00424F6A" w:rsidRPr="0086627E" w:rsidRDefault="00424F6A" w:rsidP="00424F6A">
            <w:pPr>
              <w:spacing w:after="60"/>
              <w:rPr>
                <w:iCs/>
                <w:sz w:val="20"/>
              </w:rPr>
            </w:pPr>
            <w:r w:rsidRPr="0086627E">
              <w:rPr>
                <w:sz w:val="20"/>
              </w:rPr>
              <w:lastRenderedPageBreak/>
              <w:t>MS</w:t>
            </w:r>
            <w:r>
              <w:rPr>
                <w:sz w:val="20"/>
              </w:rPr>
              <w:t>SU</w:t>
            </w:r>
            <w:r w:rsidRPr="0086627E">
              <w:rPr>
                <w:sz w:val="20"/>
              </w:rPr>
              <w:t xml:space="preserve">CADJ </w:t>
            </w:r>
            <w:r w:rsidRPr="0086627E">
              <w:rPr>
                <w:i/>
                <w:sz w:val="20"/>
                <w:vertAlign w:val="subscript"/>
              </w:rPr>
              <w:t>q,</w:t>
            </w:r>
            <w:r w:rsidR="0016529C">
              <w:rPr>
                <w:i/>
                <w:sz w:val="20"/>
                <w:vertAlign w:val="subscript"/>
              </w:rPr>
              <w:t xml:space="preserve"> </w:t>
            </w:r>
            <w:r w:rsidRPr="0086627E">
              <w:rPr>
                <w:i/>
                <w:sz w:val="20"/>
                <w:vertAlign w:val="subscript"/>
              </w:rPr>
              <w:t>r,</w:t>
            </w:r>
            <w:r w:rsidR="0016529C">
              <w:rPr>
                <w:i/>
                <w:sz w:val="20"/>
                <w:vertAlign w:val="subscript"/>
              </w:rPr>
              <w:t xml:space="preserve"> </w:t>
            </w:r>
            <w:r w:rsidRPr="0086627E">
              <w:rPr>
                <w:i/>
                <w:sz w:val="20"/>
                <w:vertAlign w:val="subscript"/>
              </w:rPr>
              <w:t>d</w:t>
            </w:r>
            <w:r w:rsidRPr="0086627E">
              <w:rPr>
                <w:b/>
                <w:sz w:val="20"/>
              </w:rPr>
              <w:t xml:space="preserve">  </w:t>
            </w:r>
          </w:p>
        </w:tc>
        <w:tc>
          <w:tcPr>
            <w:tcW w:w="607" w:type="pct"/>
            <w:tcBorders>
              <w:top w:val="single" w:sz="6" w:space="0" w:color="auto"/>
              <w:left w:val="single" w:sz="6" w:space="0" w:color="auto"/>
              <w:bottom w:val="single" w:sz="6" w:space="0" w:color="auto"/>
              <w:right w:val="single" w:sz="6" w:space="0" w:color="auto"/>
            </w:tcBorders>
          </w:tcPr>
          <w:p w14:paraId="0AFE9FAF" w14:textId="77777777" w:rsidR="00424F6A" w:rsidRPr="0086627E" w:rsidRDefault="00424F6A" w:rsidP="00424F6A">
            <w:pPr>
              <w:spacing w:after="60"/>
              <w:rPr>
                <w:iCs/>
                <w:sz w:val="20"/>
              </w:rPr>
            </w:pPr>
            <w:r w:rsidRPr="0086627E">
              <w:rPr>
                <w:sz w:val="20"/>
              </w:rPr>
              <w:t>$</w:t>
            </w:r>
          </w:p>
        </w:tc>
        <w:tc>
          <w:tcPr>
            <w:tcW w:w="3385" w:type="pct"/>
            <w:tcBorders>
              <w:top w:val="single" w:sz="6" w:space="0" w:color="auto"/>
              <w:left w:val="single" w:sz="6" w:space="0" w:color="auto"/>
              <w:bottom w:val="single" w:sz="6" w:space="0" w:color="auto"/>
              <w:right w:val="single" w:sz="4" w:space="0" w:color="auto"/>
            </w:tcBorders>
          </w:tcPr>
          <w:p w14:paraId="6540C1E2" w14:textId="77777777" w:rsidR="00424F6A" w:rsidRPr="0086627E" w:rsidRDefault="00424F6A" w:rsidP="00424F6A">
            <w:pPr>
              <w:spacing w:after="60"/>
              <w:rPr>
                <w:i/>
                <w:iCs/>
                <w:sz w:val="20"/>
              </w:rPr>
            </w:pPr>
            <w:r w:rsidRPr="0086627E">
              <w:rPr>
                <w:i/>
                <w:sz w:val="20"/>
              </w:rPr>
              <w:t xml:space="preserve">Market Suspension </w:t>
            </w:r>
            <w:r>
              <w:rPr>
                <w:i/>
                <w:sz w:val="20"/>
              </w:rPr>
              <w:t>Startup</w:t>
            </w:r>
            <w:r w:rsidRPr="0086627E">
              <w:rPr>
                <w:i/>
                <w:sz w:val="20"/>
              </w:rPr>
              <w:t xml:space="preserve"> Costs Adjustment</w:t>
            </w:r>
            <w:r>
              <w:rPr>
                <w:i/>
                <w:iCs/>
                <w:sz w:val="20"/>
              </w:rPr>
              <w:t xml:space="preserve"> </w:t>
            </w:r>
            <w:r w:rsidRPr="00067BD8">
              <w:rPr>
                <w:i/>
                <w:iCs/>
                <w:sz w:val="20"/>
              </w:rPr>
              <w:t>–</w:t>
            </w:r>
            <w:r>
              <w:rPr>
                <w:iCs/>
                <w:sz w:val="20"/>
              </w:rPr>
              <w:t xml:space="preserve"> </w:t>
            </w:r>
            <w:r w:rsidRPr="0086627E">
              <w:rPr>
                <w:sz w:val="20"/>
              </w:rPr>
              <w:t>Adjustment to the Market Suspension</w:t>
            </w:r>
            <w:r w:rsidRPr="0086627E">
              <w:rPr>
                <w:i/>
                <w:sz w:val="20"/>
              </w:rPr>
              <w:t xml:space="preserve"> </w:t>
            </w:r>
            <w:r w:rsidRPr="0086627E">
              <w:rPr>
                <w:sz w:val="20"/>
              </w:rPr>
              <w:t xml:space="preserve">Make-Whole Payment to pay or charge the QSE </w:t>
            </w:r>
            <w:r w:rsidRPr="0086627E">
              <w:rPr>
                <w:i/>
                <w:sz w:val="20"/>
              </w:rPr>
              <w:t>q</w:t>
            </w:r>
            <w:r w:rsidRPr="0086627E">
              <w:rPr>
                <w:sz w:val="20"/>
              </w:rPr>
              <w:t xml:space="preserve"> for actual costs </w:t>
            </w:r>
            <w:r>
              <w:rPr>
                <w:sz w:val="20"/>
              </w:rPr>
              <w:t>related to starting up</w:t>
            </w:r>
            <w:r w:rsidRPr="0086627E">
              <w:rPr>
                <w:sz w:val="20"/>
              </w:rPr>
              <w:t xml:space="preserve"> Resource </w:t>
            </w:r>
            <w:r w:rsidRPr="0086627E">
              <w:rPr>
                <w:i/>
                <w:sz w:val="20"/>
              </w:rPr>
              <w:t>r</w:t>
            </w:r>
            <w:r w:rsidRPr="0086627E">
              <w:rPr>
                <w:sz w:val="20"/>
              </w:rPr>
              <w:t xml:space="preserve">, for the Operating Day </w:t>
            </w:r>
            <w:r w:rsidRPr="0086627E">
              <w:rPr>
                <w:i/>
                <w:sz w:val="20"/>
              </w:rPr>
              <w:t>d</w:t>
            </w:r>
            <w:r w:rsidRPr="0086627E">
              <w:rPr>
                <w:sz w:val="20"/>
              </w:rPr>
              <w:t xml:space="preserve">.  Where for a Combined Cycle Train, the Resource </w:t>
            </w:r>
            <w:r w:rsidRPr="0086627E">
              <w:rPr>
                <w:i/>
                <w:sz w:val="20"/>
              </w:rPr>
              <w:t xml:space="preserve">r </w:t>
            </w:r>
            <w:r w:rsidRPr="0086627E">
              <w:rPr>
                <w:sz w:val="20"/>
              </w:rPr>
              <w:t>is the Combined Cycle Train.</w:t>
            </w:r>
          </w:p>
        </w:tc>
      </w:tr>
      <w:tr w:rsidR="00424F6A" w:rsidRPr="0086627E" w14:paraId="629897F1" w14:textId="77777777" w:rsidTr="00424F6A">
        <w:trPr>
          <w:cantSplit/>
        </w:trPr>
        <w:tc>
          <w:tcPr>
            <w:tcW w:w="1008" w:type="pct"/>
            <w:tcBorders>
              <w:top w:val="single" w:sz="6" w:space="0" w:color="auto"/>
              <w:left w:val="single" w:sz="4" w:space="0" w:color="auto"/>
              <w:bottom w:val="single" w:sz="6" w:space="0" w:color="auto"/>
              <w:right w:val="single" w:sz="6" w:space="0" w:color="auto"/>
            </w:tcBorders>
          </w:tcPr>
          <w:p w14:paraId="37C1D20F" w14:textId="77777777" w:rsidR="00424F6A" w:rsidRPr="0086627E" w:rsidRDefault="00424F6A" w:rsidP="00424F6A">
            <w:pPr>
              <w:spacing w:after="60"/>
              <w:rPr>
                <w:sz w:val="20"/>
              </w:rPr>
            </w:pPr>
            <w:r>
              <w:rPr>
                <w:sz w:val="20"/>
              </w:rPr>
              <w:t>MSOC</w:t>
            </w:r>
            <w:r w:rsidRPr="0086627E">
              <w:rPr>
                <w:sz w:val="20"/>
              </w:rPr>
              <w:t xml:space="preserve">ADJ </w:t>
            </w:r>
            <w:r w:rsidRPr="0086627E">
              <w:rPr>
                <w:i/>
                <w:sz w:val="20"/>
                <w:vertAlign w:val="subscript"/>
              </w:rPr>
              <w:t>q,</w:t>
            </w:r>
            <w:r w:rsidR="0016529C">
              <w:rPr>
                <w:i/>
                <w:sz w:val="20"/>
                <w:vertAlign w:val="subscript"/>
              </w:rPr>
              <w:t xml:space="preserve"> </w:t>
            </w:r>
            <w:r w:rsidRPr="0086627E">
              <w:rPr>
                <w:i/>
                <w:sz w:val="20"/>
                <w:vertAlign w:val="subscript"/>
              </w:rPr>
              <w:t>r,</w:t>
            </w:r>
            <w:r w:rsidR="0016529C">
              <w:rPr>
                <w:i/>
                <w:sz w:val="20"/>
                <w:vertAlign w:val="subscript"/>
              </w:rPr>
              <w:t xml:space="preserve"> </w:t>
            </w:r>
            <w:r w:rsidRPr="0086627E">
              <w:rPr>
                <w:i/>
                <w:sz w:val="20"/>
                <w:vertAlign w:val="subscript"/>
              </w:rPr>
              <w:t>d</w:t>
            </w:r>
            <w:r w:rsidRPr="0086627E">
              <w:rPr>
                <w:b/>
                <w:sz w:val="20"/>
              </w:rPr>
              <w:t xml:space="preserve">  </w:t>
            </w:r>
          </w:p>
        </w:tc>
        <w:tc>
          <w:tcPr>
            <w:tcW w:w="607" w:type="pct"/>
            <w:tcBorders>
              <w:top w:val="single" w:sz="6" w:space="0" w:color="auto"/>
              <w:left w:val="single" w:sz="6" w:space="0" w:color="auto"/>
              <w:bottom w:val="single" w:sz="6" w:space="0" w:color="auto"/>
              <w:right w:val="single" w:sz="6" w:space="0" w:color="auto"/>
            </w:tcBorders>
          </w:tcPr>
          <w:p w14:paraId="21A4641E" w14:textId="77777777" w:rsidR="00424F6A" w:rsidRPr="0086627E" w:rsidRDefault="00424F6A" w:rsidP="00424F6A">
            <w:pPr>
              <w:spacing w:after="60"/>
              <w:rPr>
                <w:sz w:val="20"/>
              </w:rPr>
            </w:pPr>
            <w:r w:rsidRPr="0086627E">
              <w:rPr>
                <w:sz w:val="20"/>
              </w:rPr>
              <w:t>$</w:t>
            </w:r>
          </w:p>
        </w:tc>
        <w:tc>
          <w:tcPr>
            <w:tcW w:w="3385" w:type="pct"/>
            <w:tcBorders>
              <w:top w:val="single" w:sz="6" w:space="0" w:color="auto"/>
              <w:left w:val="single" w:sz="6" w:space="0" w:color="auto"/>
              <w:bottom w:val="single" w:sz="6" w:space="0" w:color="auto"/>
              <w:right w:val="single" w:sz="4" w:space="0" w:color="auto"/>
            </w:tcBorders>
          </w:tcPr>
          <w:p w14:paraId="3AA18C85" w14:textId="77777777" w:rsidR="00424F6A" w:rsidRPr="0086627E" w:rsidRDefault="00424F6A" w:rsidP="00424F6A">
            <w:pPr>
              <w:spacing w:after="60"/>
              <w:rPr>
                <w:i/>
                <w:sz w:val="20"/>
              </w:rPr>
            </w:pPr>
            <w:r w:rsidRPr="0086627E">
              <w:rPr>
                <w:i/>
                <w:sz w:val="20"/>
              </w:rPr>
              <w:t xml:space="preserve">Market Suspension </w:t>
            </w:r>
            <w:r>
              <w:rPr>
                <w:i/>
                <w:sz w:val="20"/>
              </w:rPr>
              <w:t>Operating</w:t>
            </w:r>
            <w:r w:rsidRPr="0086627E">
              <w:rPr>
                <w:i/>
                <w:sz w:val="20"/>
              </w:rPr>
              <w:t xml:space="preserve"> Costs Adjustment</w:t>
            </w:r>
            <w:r>
              <w:rPr>
                <w:i/>
                <w:sz w:val="20"/>
              </w:rPr>
              <w:t xml:space="preserve"> </w:t>
            </w:r>
            <w:r w:rsidRPr="00067BD8">
              <w:rPr>
                <w:i/>
                <w:iCs/>
                <w:sz w:val="20"/>
              </w:rPr>
              <w:t>–</w:t>
            </w:r>
            <w:r w:rsidRPr="0086627E">
              <w:rPr>
                <w:sz w:val="20"/>
              </w:rPr>
              <w:t xml:space="preserve"> Adjustment to the Market Suspension</w:t>
            </w:r>
            <w:r w:rsidRPr="0086627E">
              <w:rPr>
                <w:i/>
                <w:sz w:val="20"/>
              </w:rPr>
              <w:t xml:space="preserve"> </w:t>
            </w:r>
            <w:r w:rsidRPr="0086627E">
              <w:rPr>
                <w:sz w:val="20"/>
              </w:rPr>
              <w:t xml:space="preserve">Make-Whole Payment to pay or charge the QSE </w:t>
            </w:r>
            <w:r w:rsidRPr="0086627E">
              <w:rPr>
                <w:i/>
                <w:sz w:val="20"/>
              </w:rPr>
              <w:t>q</w:t>
            </w:r>
            <w:r w:rsidRPr="0086627E">
              <w:rPr>
                <w:sz w:val="20"/>
              </w:rPr>
              <w:t xml:space="preserve"> for actual costs</w:t>
            </w:r>
            <w:r>
              <w:rPr>
                <w:sz w:val="20"/>
              </w:rPr>
              <w:t xml:space="preserve"> for operating</w:t>
            </w:r>
            <w:r w:rsidRPr="0086627E">
              <w:rPr>
                <w:sz w:val="20"/>
              </w:rPr>
              <w:t xml:space="preserve"> Resource </w:t>
            </w:r>
            <w:r w:rsidRPr="0086627E">
              <w:rPr>
                <w:i/>
                <w:sz w:val="20"/>
              </w:rPr>
              <w:t>r</w:t>
            </w:r>
            <w:r w:rsidRPr="0086627E">
              <w:rPr>
                <w:sz w:val="20"/>
              </w:rPr>
              <w:t xml:space="preserve">, for the Operating Day </w:t>
            </w:r>
            <w:r w:rsidRPr="0086627E">
              <w:rPr>
                <w:i/>
                <w:sz w:val="20"/>
              </w:rPr>
              <w:t>d</w:t>
            </w:r>
            <w:r w:rsidRPr="0086627E">
              <w:rPr>
                <w:sz w:val="20"/>
              </w:rPr>
              <w:t xml:space="preserve">.  Where for a Combined Cycle Train, the Resource </w:t>
            </w:r>
            <w:r w:rsidRPr="0086627E">
              <w:rPr>
                <w:i/>
                <w:sz w:val="20"/>
              </w:rPr>
              <w:t xml:space="preserve">r </w:t>
            </w:r>
            <w:r w:rsidRPr="0086627E">
              <w:rPr>
                <w:sz w:val="20"/>
              </w:rPr>
              <w:t>is the Combined Cycle Train.</w:t>
            </w:r>
          </w:p>
        </w:tc>
      </w:tr>
      <w:tr w:rsidR="00424F6A" w:rsidRPr="0086627E" w14:paraId="29954A49"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1309D949" w14:textId="77777777" w:rsidR="00424F6A" w:rsidRPr="0086627E" w:rsidRDefault="00424F6A" w:rsidP="00424F6A">
            <w:pPr>
              <w:spacing w:after="60"/>
              <w:rPr>
                <w:iCs/>
                <w:sz w:val="20"/>
              </w:rPr>
            </w:pPr>
            <w:r w:rsidRPr="0086627E">
              <w:rPr>
                <w:iCs/>
                <w:sz w:val="20"/>
              </w:rPr>
              <w:t xml:space="preserve">MSSUC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d</w:t>
            </w:r>
            <w:r w:rsidRPr="0086627E">
              <w:rPr>
                <w:iCs/>
                <w:sz w:val="20"/>
              </w:rPr>
              <w:t xml:space="preserve">    </w:t>
            </w:r>
          </w:p>
        </w:tc>
        <w:tc>
          <w:tcPr>
            <w:tcW w:w="607" w:type="pct"/>
            <w:tcBorders>
              <w:top w:val="single" w:sz="6" w:space="0" w:color="auto"/>
              <w:left w:val="single" w:sz="6" w:space="0" w:color="auto"/>
              <w:bottom w:val="single" w:sz="6" w:space="0" w:color="auto"/>
              <w:right w:val="single" w:sz="6" w:space="0" w:color="auto"/>
            </w:tcBorders>
            <w:hideMark/>
          </w:tcPr>
          <w:p w14:paraId="7BE18C19" w14:textId="77777777" w:rsidR="00424F6A" w:rsidRPr="0086627E" w:rsidRDefault="00424F6A" w:rsidP="00424F6A">
            <w:pPr>
              <w:spacing w:after="60"/>
              <w:rPr>
                <w:iCs/>
                <w:sz w:val="20"/>
              </w:rPr>
            </w:pPr>
            <w:r w:rsidRPr="0086627E">
              <w:rPr>
                <w:iCs/>
                <w:sz w:val="20"/>
              </w:rPr>
              <w:t>$</w:t>
            </w:r>
          </w:p>
        </w:tc>
        <w:tc>
          <w:tcPr>
            <w:tcW w:w="3385" w:type="pct"/>
            <w:tcBorders>
              <w:top w:val="single" w:sz="6" w:space="0" w:color="auto"/>
              <w:left w:val="single" w:sz="6" w:space="0" w:color="auto"/>
              <w:bottom w:val="single" w:sz="6" w:space="0" w:color="auto"/>
              <w:right w:val="single" w:sz="4" w:space="0" w:color="auto"/>
            </w:tcBorders>
            <w:hideMark/>
          </w:tcPr>
          <w:p w14:paraId="16C89F55" w14:textId="77777777" w:rsidR="00424F6A" w:rsidRPr="0086627E" w:rsidRDefault="00424F6A" w:rsidP="00424F6A">
            <w:pPr>
              <w:spacing w:after="60"/>
              <w:rPr>
                <w:iCs/>
                <w:sz w:val="20"/>
              </w:rPr>
            </w:pPr>
            <w:r w:rsidRPr="0086627E">
              <w:rPr>
                <w:i/>
                <w:iCs/>
                <w:sz w:val="20"/>
              </w:rPr>
              <w:t>Market Suspension Start</w:t>
            </w:r>
            <w:r>
              <w:rPr>
                <w:i/>
                <w:iCs/>
                <w:sz w:val="20"/>
              </w:rPr>
              <w:t>u</w:t>
            </w:r>
            <w:r w:rsidRPr="0086627E">
              <w:rPr>
                <w:i/>
                <w:iCs/>
                <w:sz w:val="20"/>
              </w:rPr>
              <w:t xml:space="preserve">p Cost </w:t>
            </w:r>
            <w:r w:rsidRPr="00067BD8">
              <w:rPr>
                <w:i/>
                <w:iCs/>
                <w:sz w:val="20"/>
              </w:rPr>
              <w:t>–</w:t>
            </w:r>
            <w:r w:rsidRPr="0086627E">
              <w:rPr>
                <w:sz w:val="20"/>
              </w:rPr>
              <w:t xml:space="preserve"> </w:t>
            </w:r>
            <w:r w:rsidRPr="0086627E">
              <w:rPr>
                <w:iCs/>
                <w:sz w:val="20"/>
              </w:rPr>
              <w:t xml:space="preserve">The Startup Costs for Resource </w:t>
            </w:r>
            <w:r w:rsidRPr="0086627E">
              <w:rPr>
                <w:i/>
                <w:iCs/>
                <w:sz w:val="20"/>
              </w:rPr>
              <w:t xml:space="preserve">r </w:t>
            </w:r>
            <w:r w:rsidRPr="0086627E">
              <w:rPr>
                <w:iCs/>
                <w:sz w:val="20"/>
              </w:rPr>
              <w:t>represented by QSE</w:t>
            </w:r>
            <w:r w:rsidRPr="0086627E">
              <w:rPr>
                <w:i/>
                <w:iCs/>
                <w:sz w:val="20"/>
              </w:rPr>
              <w:t xml:space="preserve"> q </w:t>
            </w:r>
            <w:r w:rsidRPr="0086627E">
              <w:rPr>
                <w:iCs/>
                <w:sz w:val="20"/>
              </w:rPr>
              <w:t xml:space="preserve">during restart hours, for the Operating Day </w:t>
            </w:r>
            <w:r w:rsidRPr="0086627E">
              <w:rPr>
                <w:i/>
                <w:iCs/>
                <w:sz w:val="20"/>
              </w:rPr>
              <w:t>d</w:t>
            </w:r>
            <w:r w:rsidRPr="0086627E">
              <w:rPr>
                <w:iCs/>
                <w:sz w:val="20"/>
              </w:rPr>
              <w:t xml:space="preserve">.  Where for a Combined Cycle Train, the Resource </w:t>
            </w:r>
            <w:r w:rsidRPr="0086627E">
              <w:rPr>
                <w:i/>
                <w:iCs/>
                <w:sz w:val="20"/>
              </w:rPr>
              <w:t xml:space="preserve">r </w:t>
            </w:r>
            <w:r w:rsidRPr="0086627E">
              <w:rPr>
                <w:iCs/>
                <w:sz w:val="20"/>
              </w:rPr>
              <w:t>is the Combined Cycle Train.</w:t>
            </w:r>
          </w:p>
        </w:tc>
      </w:tr>
      <w:tr w:rsidR="00424F6A" w:rsidRPr="0086627E" w14:paraId="27EE47E8"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5F4F9428" w14:textId="77777777" w:rsidR="00424F6A" w:rsidRPr="0086627E" w:rsidRDefault="00424F6A" w:rsidP="00424F6A">
            <w:pPr>
              <w:spacing w:after="60"/>
              <w:rPr>
                <w:iCs/>
                <w:sz w:val="20"/>
              </w:rPr>
            </w:pPr>
            <w:r w:rsidRPr="0086627E">
              <w:rPr>
                <w:iCs/>
                <w:sz w:val="20"/>
              </w:rPr>
              <w:t xml:space="preserve">MSSUPR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s</w:t>
            </w:r>
          </w:p>
        </w:tc>
        <w:tc>
          <w:tcPr>
            <w:tcW w:w="607" w:type="pct"/>
            <w:tcBorders>
              <w:top w:val="single" w:sz="6" w:space="0" w:color="auto"/>
              <w:left w:val="single" w:sz="6" w:space="0" w:color="auto"/>
              <w:bottom w:val="single" w:sz="6" w:space="0" w:color="auto"/>
              <w:right w:val="single" w:sz="6" w:space="0" w:color="auto"/>
            </w:tcBorders>
            <w:hideMark/>
          </w:tcPr>
          <w:p w14:paraId="0AF3A0DF" w14:textId="77777777" w:rsidR="00424F6A" w:rsidRPr="0086627E" w:rsidRDefault="00424F6A" w:rsidP="00424F6A">
            <w:pPr>
              <w:spacing w:after="60"/>
              <w:rPr>
                <w:iCs/>
                <w:sz w:val="20"/>
              </w:rPr>
            </w:pPr>
            <w:r w:rsidRPr="0086627E">
              <w:rPr>
                <w:iCs/>
                <w:sz w:val="20"/>
              </w:rPr>
              <w:t>$</w:t>
            </w:r>
          </w:p>
        </w:tc>
        <w:tc>
          <w:tcPr>
            <w:tcW w:w="3385" w:type="pct"/>
            <w:tcBorders>
              <w:top w:val="single" w:sz="6" w:space="0" w:color="auto"/>
              <w:left w:val="single" w:sz="6" w:space="0" w:color="auto"/>
              <w:bottom w:val="single" w:sz="6" w:space="0" w:color="auto"/>
              <w:right w:val="single" w:sz="4" w:space="0" w:color="auto"/>
            </w:tcBorders>
            <w:hideMark/>
          </w:tcPr>
          <w:p w14:paraId="3F6F326D" w14:textId="77777777" w:rsidR="00424F6A" w:rsidRPr="0086627E" w:rsidRDefault="00424F6A" w:rsidP="00424F6A">
            <w:pPr>
              <w:spacing w:after="60"/>
              <w:rPr>
                <w:i/>
                <w:iCs/>
                <w:sz w:val="20"/>
              </w:rPr>
            </w:pPr>
            <w:r w:rsidRPr="0086627E">
              <w:rPr>
                <w:i/>
                <w:iCs/>
                <w:sz w:val="20"/>
              </w:rPr>
              <w:t>Market Suspension Startup Price per Start</w:t>
            </w:r>
            <w:r>
              <w:rPr>
                <w:i/>
                <w:sz w:val="20"/>
              </w:rPr>
              <w:t xml:space="preserve"> </w:t>
            </w:r>
            <w:r w:rsidRPr="00067BD8">
              <w:rPr>
                <w:i/>
                <w:iCs/>
                <w:sz w:val="20"/>
              </w:rPr>
              <w:t>–</w:t>
            </w:r>
            <w:r w:rsidRPr="0086627E">
              <w:rPr>
                <w:sz w:val="20"/>
              </w:rPr>
              <w:t xml:space="preserve"> </w:t>
            </w:r>
            <w:r w:rsidRPr="0086627E">
              <w:rPr>
                <w:iCs/>
                <w:sz w:val="20"/>
              </w:rPr>
              <w:t>The Market</w:t>
            </w:r>
            <w:r w:rsidRPr="0086627E">
              <w:rPr>
                <w:i/>
                <w:iCs/>
                <w:sz w:val="20"/>
              </w:rPr>
              <w:t xml:space="preserve"> </w:t>
            </w:r>
            <w:r w:rsidRPr="0086627E">
              <w:rPr>
                <w:iCs/>
                <w:sz w:val="20"/>
              </w:rPr>
              <w:t>Suspension</w:t>
            </w:r>
            <w:r w:rsidRPr="0086627E">
              <w:rPr>
                <w:i/>
                <w:iCs/>
                <w:sz w:val="20"/>
              </w:rPr>
              <w:t xml:space="preserve"> </w:t>
            </w:r>
            <w:r w:rsidRPr="0086627E">
              <w:rPr>
                <w:iCs/>
                <w:sz w:val="20"/>
              </w:rPr>
              <w:t xml:space="preserve">Settlement price for Resource </w:t>
            </w:r>
            <w:r w:rsidRPr="0086627E">
              <w:rPr>
                <w:i/>
                <w:iCs/>
                <w:sz w:val="20"/>
              </w:rPr>
              <w:t xml:space="preserve">r </w:t>
            </w:r>
            <w:r w:rsidRPr="0086627E">
              <w:rPr>
                <w:iCs/>
                <w:sz w:val="20"/>
              </w:rPr>
              <w:t>represented by QSE</w:t>
            </w:r>
            <w:r w:rsidRPr="0086627E">
              <w:rPr>
                <w:i/>
                <w:iCs/>
                <w:sz w:val="20"/>
              </w:rPr>
              <w:t xml:space="preserve"> q </w:t>
            </w:r>
            <w:r w:rsidRPr="0086627E">
              <w:rPr>
                <w:iCs/>
                <w:sz w:val="20"/>
              </w:rPr>
              <w:t xml:space="preserve">for the start </w:t>
            </w:r>
            <w:r w:rsidRPr="0086627E">
              <w:rPr>
                <w:i/>
                <w:iCs/>
                <w:sz w:val="20"/>
              </w:rPr>
              <w:t>s</w:t>
            </w:r>
            <w:r w:rsidRPr="0086627E">
              <w:rPr>
                <w:iCs/>
                <w:sz w:val="20"/>
              </w:rPr>
              <w:t xml:space="preserve">.  Where for a Combined Cycle Train, the Resource </w:t>
            </w:r>
            <w:r w:rsidRPr="0086627E">
              <w:rPr>
                <w:i/>
                <w:iCs/>
                <w:sz w:val="20"/>
              </w:rPr>
              <w:t xml:space="preserve">r </w:t>
            </w:r>
            <w:r w:rsidRPr="0086627E">
              <w:rPr>
                <w:iCs/>
                <w:sz w:val="20"/>
              </w:rPr>
              <w:t>is a Combined Cycle Generation Resource within the Combined Cycle Train.</w:t>
            </w:r>
          </w:p>
        </w:tc>
      </w:tr>
      <w:tr w:rsidR="00424F6A" w:rsidRPr="0086627E" w14:paraId="76E566A8"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7B494D9E" w14:textId="77777777" w:rsidR="00424F6A" w:rsidRPr="0086627E" w:rsidRDefault="00424F6A" w:rsidP="00424F6A">
            <w:pPr>
              <w:spacing w:after="60"/>
              <w:rPr>
                <w:iCs/>
                <w:sz w:val="20"/>
              </w:rPr>
            </w:pPr>
            <w:r w:rsidRPr="0086627E">
              <w:rPr>
                <w:sz w:val="20"/>
              </w:rPr>
              <w:t>RABCFCRS</w:t>
            </w:r>
            <w:r w:rsidRPr="0086627E">
              <w:rPr>
                <w:i/>
                <w:iCs/>
                <w:sz w:val="20"/>
                <w:vertAlign w:val="subscript"/>
              </w:rPr>
              <w:t xml:space="preserve"> 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s</w:t>
            </w:r>
          </w:p>
        </w:tc>
        <w:tc>
          <w:tcPr>
            <w:tcW w:w="607" w:type="pct"/>
            <w:tcBorders>
              <w:top w:val="single" w:sz="6" w:space="0" w:color="auto"/>
              <w:left w:val="single" w:sz="6" w:space="0" w:color="auto"/>
              <w:bottom w:val="single" w:sz="6" w:space="0" w:color="auto"/>
              <w:right w:val="single" w:sz="6" w:space="0" w:color="auto"/>
            </w:tcBorders>
            <w:hideMark/>
          </w:tcPr>
          <w:p w14:paraId="4633AB65" w14:textId="77777777" w:rsidR="00424F6A" w:rsidRPr="0086627E" w:rsidRDefault="00424F6A" w:rsidP="00424F6A">
            <w:pPr>
              <w:spacing w:after="60"/>
              <w:rPr>
                <w:iCs/>
                <w:sz w:val="20"/>
              </w:rPr>
            </w:pPr>
            <w:r w:rsidRPr="0086627E">
              <w:rPr>
                <w:iCs/>
                <w:sz w:val="20"/>
              </w:rPr>
              <w:t>MMBtu</w:t>
            </w:r>
            <w:r w:rsidR="00E774AE">
              <w:rPr>
                <w:iCs/>
                <w:sz w:val="20"/>
              </w:rPr>
              <w:t xml:space="preserve"> / start</w:t>
            </w:r>
          </w:p>
        </w:tc>
        <w:tc>
          <w:tcPr>
            <w:tcW w:w="3385" w:type="pct"/>
            <w:tcBorders>
              <w:top w:val="single" w:sz="6" w:space="0" w:color="auto"/>
              <w:left w:val="single" w:sz="6" w:space="0" w:color="auto"/>
              <w:bottom w:val="single" w:sz="6" w:space="0" w:color="auto"/>
              <w:right w:val="single" w:sz="4" w:space="0" w:color="auto"/>
            </w:tcBorders>
            <w:hideMark/>
          </w:tcPr>
          <w:p w14:paraId="47432B6A" w14:textId="77777777" w:rsidR="00424F6A" w:rsidRPr="0086627E" w:rsidRDefault="00424F6A" w:rsidP="00424F6A">
            <w:pPr>
              <w:spacing w:after="60"/>
              <w:rPr>
                <w:i/>
                <w:iCs/>
                <w:sz w:val="20"/>
              </w:rPr>
            </w:pPr>
            <w:r w:rsidRPr="0086627E">
              <w:rPr>
                <w:i/>
                <w:iCs/>
                <w:sz w:val="20"/>
              </w:rPr>
              <w:t xml:space="preserve">Raw Actual Breaker Close Fuel Consumption Rate per Start – </w:t>
            </w:r>
            <w:r w:rsidRPr="0086627E">
              <w:rPr>
                <w:iCs/>
                <w:sz w:val="20"/>
              </w:rPr>
              <w:t xml:space="preserve">The raw actual verifiable fuel consumption rate, from first fire to breaker close, for the Resource </w:t>
            </w:r>
            <w:r w:rsidRPr="0086627E">
              <w:rPr>
                <w:i/>
                <w:iCs/>
                <w:sz w:val="20"/>
              </w:rPr>
              <w:t xml:space="preserve">r </w:t>
            </w:r>
            <w:r w:rsidRPr="0086627E">
              <w:rPr>
                <w:iCs/>
                <w:sz w:val="20"/>
              </w:rPr>
              <w:t>represented by QSE</w:t>
            </w:r>
            <w:r w:rsidRPr="0086627E">
              <w:rPr>
                <w:i/>
                <w:iCs/>
                <w:sz w:val="20"/>
              </w:rPr>
              <w:t xml:space="preserve"> q</w:t>
            </w:r>
            <w:r w:rsidRPr="0086627E">
              <w:rPr>
                <w:iCs/>
                <w:sz w:val="20"/>
              </w:rPr>
              <w:t xml:space="preserve">, per start </w:t>
            </w:r>
            <w:r w:rsidRPr="0086627E">
              <w:rPr>
                <w:i/>
                <w:iCs/>
                <w:sz w:val="20"/>
              </w:rPr>
              <w:t>s,</w:t>
            </w:r>
            <w:r w:rsidRPr="0086627E">
              <w:rPr>
                <w:iCs/>
                <w:sz w:val="20"/>
              </w:rPr>
              <w:t xml:space="preserve"> for the warmth state, as submitted through the verifiable cost process.  Where for a Combined Cycle Train, the Resource </w:t>
            </w:r>
            <w:r w:rsidRPr="0086627E">
              <w:rPr>
                <w:i/>
                <w:iCs/>
                <w:sz w:val="20"/>
              </w:rPr>
              <w:t xml:space="preserve">r </w:t>
            </w:r>
            <w:r w:rsidRPr="0086627E">
              <w:rPr>
                <w:iCs/>
                <w:sz w:val="20"/>
              </w:rPr>
              <w:t>is a Combined Cycle Generation Resource within the Combined Cycle Train.</w:t>
            </w:r>
          </w:p>
        </w:tc>
      </w:tr>
      <w:tr w:rsidR="00424F6A" w:rsidRPr="0086627E" w14:paraId="401A23F8"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59A04379" w14:textId="77777777" w:rsidR="00424F6A" w:rsidRPr="0086627E" w:rsidRDefault="00424F6A" w:rsidP="00424F6A">
            <w:pPr>
              <w:spacing w:after="60"/>
              <w:rPr>
                <w:iCs/>
                <w:sz w:val="20"/>
              </w:rPr>
            </w:pPr>
            <w:r w:rsidRPr="0086627E">
              <w:rPr>
                <w:iCs/>
                <w:sz w:val="20"/>
              </w:rPr>
              <w:t xml:space="preserve">MSOC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d</w:t>
            </w:r>
            <w:r w:rsidRPr="0086627E">
              <w:rPr>
                <w:iCs/>
                <w:sz w:val="20"/>
              </w:rPr>
              <w:t xml:space="preserve">  </w:t>
            </w:r>
          </w:p>
        </w:tc>
        <w:tc>
          <w:tcPr>
            <w:tcW w:w="607" w:type="pct"/>
            <w:tcBorders>
              <w:top w:val="single" w:sz="6" w:space="0" w:color="auto"/>
              <w:left w:val="single" w:sz="6" w:space="0" w:color="auto"/>
              <w:bottom w:val="single" w:sz="6" w:space="0" w:color="auto"/>
              <w:right w:val="single" w:sz="6" w:space="0" w:color="auto"/>
            </w:tcBorders>
            <w:hideMark/>
          </w:tcPr>
          <w:p w14:paraId="74497051" w14:textId="77777777" w:rsidR="00424F6A" w:rsidRPr="0086627E" w:rsidRDefault="00424F6A" w:rsidP="00424F6A">
            <w:pPr>
              <w:spacing w:after="60"/>
              <w:rPr>
                <w:iCs/>
                <w:sz w:val="20"/>
              </w:rPr>
            </w:pPr>
            <w:r w:rsidRPr="0086627E">
              <w:rPr>
                <w:iCs/>
                <w:sz w:val="20"/>
              </w:rPr>
              <w:t>$</w:t>
            </w:r>
          </w:p>
        </w:tc>
        <w:tc>
          <w:tcPr>
            <w:tcW w:w="3385" w:type="pct"/>
            <w:tcBorders>
              <w:top w:val="single" w:sz="6" w:space="0" w:color="auto"/>
              <w:left w:val="single" w:sz="6" w:space="0" w:color="auto"/>
              <w:bottom w:val="single" w:sz="6" w:space="0" w:color="auto"/>
              <w:right w:val="single" w:sz="4" w:space="0" w:color="auto"/>
            </w:tcBorders>
            <w:hideMark/>
          </w:tcPr>
          <w:p w14:paraId="4066BAD4" w14:textId="77777777" w:rsidR="00424F6A" w:rsidRPr="0086627E" w:rsidRDefault="00424F6A" w:rsidP="00424F6A">
            <w:pPr>
              <w:spacing w:after="60"/>
              <w:rPr>
                <w:iCs/>
                <w:sz w:val="20"/>
              </w:rPr>
            </w:pPr>
            <w:r w:rsidRPr="0086627E">
              <w:rPr>
                <w:i/>
                <w:iCs/>
                <w:sz w:val="20"/>
              </w:rPr>
              <w:t>Market Suspension Operating Cost</w:t>
            </w:r>
            <w:r w:rsidRPr="0086627E">
              <w:rPr>
                <w:iCs/>
                <w:sz w:val="20"/>
              </w:rPr>
              <w:t xml:space="preserve"> </w:t>
            </w:r>
            <w:r w:rsidRPr="00067BD8">
              <w:rPr>
                <w:i/>
                <w:iCs/>
                <w:sz w:val="20"/>
              </w:rPr>
              <w:t>–</w:t>
            </w:r>
            <w:r w:rsidRPr="0086627E">
              <w:rPr>
                <w:sz w:val="20"/>
              </w:rPr>
              <w:t xml:space="preserve"> </w:t>
            </w:r>
            <w:r w:rsidRPr="0086627E">
              <w:rPr>
                <w:iCs/>
                <w:sz w:val="20"/>
              </w:rPr>
              <w:t>The Market</w:t>
            </w:r>
            <w:r w:rsidRPr="0086627E">
              <w:rPr>
                <w:i/>
                <w:iCs/>
                <w:sz w:val="20"/>
              </w:rPr>
              <w:t xml:space="preserve"> </w:t>
            </w:r>
            <w:r w:rsidRPr="0086627E">
              <w:rPr>
                <w:iCs/>
                <w:sz w:val="20"/>
              </w:rPr>
              <w:t>Suspension</w:t>
            </w:r>
            <w:r w:rsidRPr="0086627E">
              <w:rPr>
                <w:i/>
                <w:iCs/>
                <w:sz w:val="20"/>
              </w:rPr>
              <w:t xml:space="preserve"> </w:t>
            </w:r>
            <w:r w:rsidRPr="0086627E">
              <w:rPr>
                <w:iCs/>
                <w:sz w:val="20"/>
              </w:rPr>
              <w:t xml:space="preserve">operating cost for Resource </w:t>
            </w:r>
            <w:r w:rsidRPr="0086627E">
              <w:rPr>
                <w:i/>
                <w:iCs/>
                <w:sz w:val="20"/>
              </w:rPr>
              <w:t xml:space="preserve">r </w:t>
            </w:r>
            <w:r w:rsidRPr="0086627E">
              <w:rPr>
                <w:iCs/>
                <w:sz w:val="20"/>
              </w:rPr>
              <w:t>represented by QSE</w:t>
            </w:r>
            <w:r w:rsidRPr="0086627E">
              <w:rPr>
                <w:i/>
                <w:iCs/>
                <w:sz w:val="20"/>
              </w:rPr>
              <w:t xml:space="preserve"> q</w:t>
            </w:r>
            <w:r w:rsidRPr="0086627E">
              <w:rPr>
                <w:iCs/>
                <w:sz w:val="20"/>
              </w:rPr>
              <w:t xml:space="preserve"> for operations after breaker close for the Operating Day </w:t>
            </w:r>
            <w:r w:rsidRPr="0086627E">
              <w:rPr>
                <w:i/>
                <w:iCs/>
                <w:sz w:val="20"/>
              </w:rPr>
              <w:t>d</w:t>
            </w:r>
            <w:r w:rsidRPr="0086627E">
              <w:rPr>
                <w:iCs/>
                <w:sz w:val="20"/>
              </w:rPr>
              <w:t xml:space="preserve">.  Where for a Combined Cycle Train, the Resource </w:t>
            </w:r>
            <w:r w:rsidRPr="0086627E">
              <w:rPr>
                <w:i/>
                <w:iCs/>
                <w:sz w:val="20"/>
              </w:rPr>
              <w:t>r</w:t>
            </w:r>
            <w:r w:rsidRPr="0086627E">
              <w:rPr>
                <w:iCs/>
                <w:sz w:val="20"/>
              </w:rPr>
              <w:t xml:space="preserve"> is a Combined Cycle Generation Resource within the Combined Cycle Train.</w:t>
            </w:r>
          </w:p>
        </w:tc>
      </w:tr>
      <w:tr w:rsidR="00424F6A" w:rsidRPr="0086627E" w14:paraId="1C2D9B07" w14:textId="77777777" w:rsidTr="00424F6A">
        <w:trPr>
          <w:cantSplit/>
          <w:trHeight w:val="1434"/>
        </w:trPr>
        <w:tc>
          <w:tcPr>
            <w:tcW w:w="1008" w:type="pct"/>
            <w:tcBorders>
              <w:top w:val="single" w:sz="6" w:space="0" w:color="auto"/>
              <w:left w:val="single" w:sz="4" w:space="0" w:color="auto"/>
              <w:bottom w:val="single" w:sz="6" w:space="0" w:color="auto"/>
              <w:right w:val="single" w:sz="6" w:space="0" w:color="auto"/>
            </w:tcBorders>
          </w:tcPr>
          <w:p w14:paraId="45E2A979" w14:textId="77777777" w:rsidR="00424F6A" w:rsidRPr="0086627E" w:rsidRDefault="00424F6A" w:rsidP="00424F6A">
            <w:pPr>
              <w:spacing w:after="60"/>
              <w:rPr>
                <w:iCs/>
                <w:sz w:val="20"/>
              </w:rPr>
            </w:pPr>
            <w:r w:rsidRPr="0086627E">
              <w:rPr>
                <w:iCs/>
                <w:sz w:val="20"/>
              </w:rPr>
              <w:t xml:space="preserve">RVOMS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s</w:t>
            </w:r>
          </w:p>
        </w:tc>
        <w:tc>
          <w:tcPr>
            <w:tcW w:w="607" w:type="pct"/>
            <w:tcBorders>
              <w:top w:val="single" w:sz="6" w:space="0" w:color="auto"/>
              <w:left w:val="single" w:sz="6" w:space="0" w:color="auto"/>
              <w:bottom w:val="single" w:sz="6" w:space="0" w:color="auto"/>
              <w:right w:val="single" w:sz="6" w:space="0" w:color="auto"/>
            </w:tcBorders>
            <w:hideMark/>
          </w:tcPr>
          <w:p w14:paraId="238C72A2" w14:textId="77777777" w:rsidR="00424F6A" w:rsidRPr="0086627E" w:rsidRDefault="00424F6A" w:rsidP="00424F6A">
            <w:pPr>
              <w:spacing w:after="60"/>
              <w:rPr>
                <w:iCs/>
                <w:sz w:val="20"/>
              </w:rPr>
            </w:pPr>
            <w:r w:rsidRPr="0086627E">
              <w:rPr>
                <w:iCs/>
                <w:sz w:val="20"/>
              </w:rPr>
              <w:t>$/start</w:t>
            </w:r>
          </w:p>
        </w:tc>
        <w:tc>
          <w:tcPr>
            <w:tcW w:w="3385" w:type="pct"/>
            <w:tcBorders>
              <w:top w:val="single" w:sz="6" w:space="0" w:color="auto"/>
              <w:left w:val="single" w:sz="6" w:space="0" w:color="auto"/>
              <w:bottom w:val="single" w:sz="6" w:space="0" w:color="auto"/>
              <w:right w:val="single" w:sz="4" w:space="0" w:color="auto"/>
            </w:tcBorders>
            <w:hideMark/>
          </w:tcPr>
          <w:p w14:paraId="5E166500" w14:textId="77777777" w:rsidR="00424F6A" w:rsidRPr="0086627E" w:rsidRDefault="00424F6A" w:rsidP="00424F6A">
            <w:pPr>
              <w:spacing w:after="60"/>
              <w:rPr>
                <w:iCs/>
                <w:sz w:val="20"/>
              </w:rPr>
            </w:pPr>
            <w:r w:rsidRPr="0086627E">
              <w:rPr>
                <w:i/>
                <w:iCs/>
                <w:sz w:val="20"/>
              </w:rPr>
              <w:t xml:space="preserve">Raw Verifiable Operations and Maintenance Cost per Start – </w:t>
            </w:r>
            <w:r w:rsidRPr="0086627E">
              <w:rPr>
                <w:iCs/>
                <w:sz w:val="20"/>
              </w:rPr>
              <w:t xml:space="preserve">The raw verifiable Operations and Maintenance (O&amp;M) cost for the Resource </w:t>
            </w:r>
            <w:r w:rsidRPr="0086627E">
              <w:rPr>
                <w:i/>
                <w:iCs/>
                <w:sz w:val="20"/>
              </w:rPr>
              <w:t xml:space="preserve">r </w:t>
            </w:r>
            <w:r w:rsidRPr="0086627E">
              <w:rPr>
                <w:iCs/>
                <w:sz w:val="20"/>
              </w:rPr>
              <w:t>represented by QSE</w:t>
            </w:r>
            <w:r w:rsidRPr="0086627E">
              <w:rPr>
                <w:i/>
                <w:iCs/>
                <w:sz w:val="20"/>
              </w:rPr>
              <w:t xml:space="preserve"> q</w:t>
            </w:r>
            <w:r w:rsidRPr="0086627E">
              <w:rPr>
                <w:iCs/>
                <w:sz w:val="20"/>
              </w:rPr>
              <w:t xml:space="preserve">, per start </w:t>
            </w:r>
            <w:r w:rsidRPr="0086627E">
              <w:rPr>
                <w:i/>
                <w:iCs/>
                <w:sz w:val="20"/>
              </w:rPr>
              <w:t xml:space="preserve">s, </w:t>
            </w:r>
            <w:r w:rsidRPr="0086627E">
              <w:rPr>
                <w:iCs/>
                <w:sz w:val="20"/>
              </w:rPr>
              <w:t>for the warmth state, as submitted through the verifiable cost process</w:t>
            </w:r>
            <w:r w:rsidRPr="0086627E">
              <w:rPr>
                <w:i/>
                <w:iCs/>
                <w:sz w:val="20"/>
              </w:rPr>
              <w:t>.</w:t>
            </w:r>
            <w:r>
              <w:rPr>
                <w:i/>
                <w:iCs/>
                <w:sz w:val="20"/>
              </w:rPr>
              <w:t xml:space="preserve"> </w:t>
            </w:r>
            <w:r w:rsidRPr="0086627E" w:rsidDel="005A51D9">
              <w:rPr>
                <w:iCs/>
                <w:sz w:val="20"/>
              </w:rPr>
              <w:t xml:space="preserve"> </w:t>
            </w:r>
            <w:r w:rsidRPr="0086627E">
              <w:rPr>
                <w:iCs/>
                <w:sz w:val="20"/>
              </w:rPr>
              <w:t xml:space="preserve">Where for a Combined Cycle Train, the Resource </w:t>
            </w:r>
            <w:r w:rsidRPr="0086627E">
              <w:rPr>
                <w:i/>
                <w:iCs/>
                <w:sz w:val="20"/>
              </w:rPr>
              <w:t>r</w:t>
            </w:r>
            <w:r w:rsidRPr="0086627E">
              <w:rPr>
                <w:iCs/>
                <w:sz w:val="20"/>
              </w:rPr>
              <w:t xml:space="preserve"> is a Combined Cycle Generation Resource within the Combined Cycle Train.  </w:t>
            </w:r>
          </w:p>
        </w:tc>
      </w:tr>
      <w:tr w:rsidR="00424F6A" w:rsidRPr="0086627E" w14:paraId="7A74E0ED"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1CA10FD8" w14:textId="77777777" w:rsidR="00424F6A" w:rsidRPr="0086627E" w:rsidRDefault="00424F6A" w:rsidP="00424F6A">
            <w:pPr>
              <w:spacing w:after="60"/>
              <w:rPr>
                <w:iCs/>
                <w:sz w:val="20"/>
              </w:rPr>
            </w:pPr>
            <w:r w:rsidRPr="0086627E">
              <w:rPr>
                <w:iCs/>
                <w:sz w:val="20"/>
              </w:rPr>
              <w:t xml:space="preserve">ROM </w:t>
            </w:r>
            <w:r w:rsidRPr="0086627E">
              <w:rPr>
                <w:i/>
                <w:iCs/>
                <w:sz w:val="20"/>
                <w:vertAlign w:val="subscript"/>
              </w:rPr>
              <w:t>q,</w:t>
            </w:r>
            <w:r w:rsidR="0016529C">
              <w:rPr>
                <w:i/>
                <w:iCs/>
                <w:sz w:val="20"/>
                <w:vertAlign w:val="subscript"/>
              </w:rPr>
              <w:t xml:space="preserve"> </w:t>
            </w:r>
            <w:r w:rsidRPr="0086627E">
              <w:rPr>
                <w:i/>
                <w:iCs/>
                <w:sz w:val="20"/>
                <w:vertAlign w:val="subscript"/>
              </w:rPr>
              <w:t>r</w:t>
            </w:r>
          </w:p>
        </w:tc>
        <w:tc>
          <w:tcPr>
            <w:tcW w:w="607" w:type="pct"/>
            <w:tcBorders>
              <w:top w:val="single" w:sz="6" w:space="0" w:color="auto"/>
              <w:left w:val="single" w:sz="6" w:space="0" w:color="auto"/>
              <w:bottom w:val="single" w:sz="6" w:space="0" w:color="auto"/>
              <w:right w:val="single" w:sz="6" w:space="0" w:color="auto"/>
            </w:tcBorders>
            <w:hideMark/>
          </w:tcPr>
          <w:p w14:paraId="69E9A310" w14:textId="77777777" w:rsidR="00424F6A" w:rsidRPr="0086627E" w:rsidRDefault="00424F6A" w:rsidP="00424F6A">
            <w:pPr>
              <w:spacing w:after="60"/>
              <w:rPr>
                <w:iCs/>
                <w:sz w:val="20"/>
              </w:rPr>
            </w:pPr>
            <w:r w:rsidRPr="0086627E">
              <w:rPr>
                <w:iCs/>
                <w:sz w:val="20"/>
              </w:rPr>
              <w:t>$/MWh</w:t>
            </w:r>
          </w:p>
        </w:tc>
        <w:tc>
          <w:tcPr>
            <w:tcW w:w="3385" w:type="pct"/>
            <w:tcBorders>
              <w:top w:val="single" w:sz="6" w:space="0" w:color="auto"/>
              <w:left w:val="single" w:sz="6" w:space="0" w:color="auto"/>
              <w:bottom w:val="single" w:sz="6" w:space="0" w:color="auto"/>
              <w:right w:val="single" w:sz="4" w:space="0" w:color="auto"/>
            </w:tcBorders>
            <w:hideMark/>
          </w:tcPr>
          <w:p w14:paraId="43219599" w14:textId="77777777" w:rsidR="00424F6A" w:rsidRPr="0086627E" w:rsidRDefault="00424F6A" w:rsidP="00424F6A">
            <w:pPr>
              <w:spacing w:after="60"/>
              <w:rPr>
                <w:i/>
                <w:iCs/>
                <w:sz w:val="20"/>
              </w:rPr>
            </w:pPr>
            <w:r w:rsidRPr="0086627E">
              <w:rPr>
                <w:i/>
                <w:iCs/>
                <w:sz w:val="20"/>
              </w:rPr>
              <w:t>Raw Verifiable Operations and Maintenance Cost Above LSL</w:t>
            </w:r>
            <w:r>
              <w:rPr>
                <w:i/>
                <w:iCs/>
                <w:sz w:val="20"/>
              </w:rPr>
              <w:t xml:space="preserve"> </w:t>
            </w:r>
            <w:r w:rsidRPr="0086627E">
              <w:rPr>
                <w:i/>
                <w:iCs/>
                <w:sz w:val="20"/>
              </w:rPr>
              <w:t xml:space="preserve">– </w:t>
            </w:r>
            <w:r w:rsidRPr="0086627E">
              <w:rPr>
                <w:iCs/>
                <w:sz w:val="20"/>
              </w:rPr>
              <w:t xml:space="preserve">The raw verifiable O&amp;M cost for the Resource </w:t>
            </w:r>
            <w:r w:rsidRPr="0086627E">
              <w:rPr>
                <w:i/>
                <w:iCs/>
                <w:sz w:val="20"/>
              </w:rPr>
              <w:t xml:space="preserve">r </w:t>
            </w:r>
            <w:r w:rsidRPr="0086627E">
              <w:rPr>
                <w:iCs/>
                <w:sz w:val="20"/>
              </w:rPr>
              <w:t>represented by QSE</w:t>
            </w:r>
            <w:r w:rsidRPr="0086627E">
              <w:rPr>
                <w:i/>
                <w:iCs/>
                <w:sz w:val="20"/>
              </w:rPr>
              <w:t xml:space="preserve"> q</w:t>
            </w:r>
            <w:r w:rsidRPr="0086627E">
              <w:rPr>
                <w:iCs/>
                <w:sz w:val="20"/>
              </w:rPr>
              <w:t xml:space="preserve"> for operations above Low Sustained Limit (LSL).  Where for a Combined Cycle Train, the Resource </w:t>
            </w:r>
            <w:r w:rsidRPr="0086627E">
              <w:rPr>
                <w:i/>
                <w:iCs/>
                <w:sz w:val="20"/>
              </w:rPr>
              <w:t>r</w:t>
            </w:r>
            <w:r w:rsidRPr="0086627E">
              <w:rPr>
                <w:iCs/>
                <w:sz w:val="20"/>
              </w:rPr>
              <w:t xml:space="preserve"> is a Combined Cycle Generation Resource within the Combined Cycle Train.</w:t>
            </w:r>
          </w:p>
        </w:tc>
      </w:tr>
      <w:tr w:rsidR="00424F6A" w:rsidRPr="0086627E" w14:paraId="317E0FC8"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70E5D5D6" w14:textId="77777777" w:rsidR="00424F6A" w:rsidRPr="0086627E" w:rsidRDefault="00424F6A" w:rsidP="00424F6A">
            <w:pPr>
              <w:spacing w:after="60"/>
              <w:rPr>
                <w:iCs/>
                <w:sz w:val="20"/>
              </w:rPr>
            </w:pPr>
            <w:r w:rsidRPr="0086627E">
              <w:rPr>
                <w:iCs/>
                <w:sz w:val="20"/>
              </w:rPr>
              <w:t xml:space="preserve">STOM </w:t>
            </w:r>
            <w:r w:rsidRPr="0086627E">
              <w:rPr>
                <w:i/>
                <w:iCs/>
                <w:sz w:val="20"/>
                <w:vertAlign w:val="subscript"/>
              </w:rPr>
              <w:t>rc</w:t>
            </w:r>
            <w:r w:rsidRPr="0086627E">
              <w:rPr>
                <w:iCs/>
                <w:sz w:val="20"/>
                <w:vertAlign w:val="subscript"/>
              </w:rPr>
              <w:t xml:space="preserve"> </w:t>
            </w:r>
          </w:p>
        </w:tc>
        <w:tc>
          <w:tcPr>
            <w:tcW w:w="607" w:type="pct"/>
            <w:tcBorders>
              <w:top w:val="single" w:sz="6" w:space="0" w:color="auto"/>
              <w:left w:val="single" w:sz="6" w:space="0" w:color="auto"/>
              <w:bottom w:val="single" w:sz="6" w:space="0" w:color="auto"/>
              <w:right w:val="single" w:sz="6" w:space="0" w:color="auto"/>
            </w:tcBorders>
            <w:hideMark/>
          </w:tcPr>
          <w:p w14:paraId="3C4968C1" w14:textId="77777777" w:rsidR="00424F6A" w:rsidRPr="0086627E" w:rsidRDefault="00424F6A" w:rsidP="00424F6A">
            <w:pPr>
              <w:spacing w:after="60"/>
              <w:rPr>
                <w:iCs/>
                <w:sz w:val="20"/>
              </w:rPr>
            </w:pPr>
            <w:r w:rsidRPr="0086627E">
              <w:rPr>
                <w:iCs/>
                <w:sz w:val="20"/>
              </w:rPr>
              <w:t>$/MWh</w:t>
            </w:r>
          </w:p>
        </w:tc>
        <w:tc>
          <w:tcPr>
            <w:tcW w:w="3385" w:type="pct"/>
            <w:tcBorders>
              <w:top w:val="single" w:sz="6" w:space="0" w:color="auto"/>
              <w:left w:val="single" w:sz="6" w:space="0" w:color="auto"/>
              <w:bottom w:val="single" w:sz="6" w:space="0" w:color="auto"/>
              <w:right w:val="single" w:sz="4" w:space="0" w:color="auto"/>
            </w:tcBorders>
            <w:hideMark/>
          </w:tcPr>
          <w:p w14:paraId="6744913F" w14:textId="77777777" w:rsidR="005B1CA7" w:rsidRPr="0086627E" w:rsidRDefault="00424F6A" w:rsidP="00424F6A">
            <w:pPr>
              <w:spacing w:after="60"/>
              <w:rPr>
                <w:iCs/>
                <w:sz w:val="20"/>
              </w:rPr>
            </w:pPr>
            <w:r w:rsidRPr="0086627E">
              <w:rPr>
                <w:i/>
                <w:iCs/>
                <w:sz w:val="20"/>
              </w:rPr>
              <w:t xml:space="preserve">Standard Operations and Maintenance Cost </w:t>
            </w:r>
            <w:r w:rsidRPr="00067BD8">
              <w:rPr>
                <w:i/>
                <w:iCs/>
                <w:sz w:val="20"/>
              </w:rPr>
              <w:t>–</w:t>
            </w:r>
            <w:r w:rsidRPr="0086627E">
              <w:rPr>
                <w:i/>
                <w:iCs/>
                <w:sz w:val="20"/>
              </w:rPr>
              <w:t xml:space="preserve"> </w:t>
            </w:r>
            <w:r w:rsidRPr="0086627E">
              <w:rPr>
                <w:iCs/>
                <w:sz w:val="20"/>
              </w:rPr>
              <w:t xml:space="preserve">The standard O&amp;M cost for the Resource category </w:t>
            </w:r>
            <w:r w:rsidRPr="0086627E">
              <w:rPr>
                <w:i/>
                <w:iCs/>
                <w:sz w:val="20"/>
              </w:rPr>
              <w:t>rc</w:t>
            </w:r>
            <w:r w:rsidRPr="0086627E">
              <w:rPr>
                <w:iCs/>
                <w:sz w:val="20"/>
              </w:rPr>
              <w:t xml:space="preserve"> for operations above LSL, shall be set to the minimum energy variable O&amp;M costs, as described in paragraph (6)(c) of Section 5.6.1, Verifiable Costs.  </w:t>
            </w:r>
          </w:p>
          <w:tbl>
            <w:tblPr>
              <w:tblW w:w="6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1E0" w:firstRow="1" w:lastRow="1" w:firstColumn="1" w:lastColumn="1" w:noHBand="0" w:noVBand="0"/>
            </w:tblPr>
            <w:tblGrid>
              <w:gridCol w:w="6261"/>
            </w:tblGrid>
            <w:tr w:rsidR="005B1CA7" w:rsidRPr="00DE2E54" w14:paraId="6AA46A49" w14:textId="77777777" w:rsidTr="005B1CA7">
              <w:tc>
                <w:tcPr>
                  <w:tcW w:w="6261" w:type="dxa"/>
                  <w:shd w:val="clear" w:color="auto" w:fill="E0E0E0"/>
                </w:tcPr>
                <w:p w14:paraId="4C85159F" w14:textId="77777777" w:rsidR="005B1CA7" w:rsidRPr="00DE2E54" w:rsidRDefault="005B1CA7" w:rsidP="005B1CA7">
                  <w:pPr>
                    <w:spacing w:before="120" w:after="240"/>
                    <w:rPr>
                      <w:b/>
                      <w:i/>
                      <w:iCs/>
                    </w:rPr>
                  </w:pPr>
                  <w:r>
                    <w:rPr>
                      <w:b/>
                      <w:i/>
                      <w:iCs/>
                    </w:rPr>
                    <w:t>[NPRR1029</w:t>
                  </w:r>
                  <w:r w:rsidRPr="00DE2E54">
                    <w:rPr>
                      <w:b/>
                      <w:i/>
                      <w:iCs/>
                    </w:rPr>
                    <w:t xml:space="preserve">:  Replace </w:t>
                  </w:r>
                  <w:r>
                    <w:rPr>
                      <w:b/>
                      <w:i/>
                      <w:iCs/>
                    </w:rPr>
                    <w:t xml:space="preserve">the definition </w:t>
                  </w:r>
                  <w:r w:rsidRPr="00DE2E54">
                    <w:rPr>
                      <w:b/>
                      <w:i/>
                      <w:iCs/>
                    </w:rPr>
                    <w:t>above with the following upon system implementation:]</w:t>
                  </w:r>
                </w:p>
                <w:p w14:paraId="289B58A5" w14:textId="77777777" w:rsidR="005B1CA7" w:rsidRPr="005B1CA7" w:rsidRDefault="005B1CA7" w:rsidP="005B1CA7">
                  <w:pPr>
                    <w:spacing w:after="60"/>
                    <w:rPr>
                      <w:bCs/>
                      <w:iCs/>
                    </w:rPr>
                  </w:pPr>
                  <w:r w:rsidRPr="003C2A11">
                    <w:rPr>
                      <w:i/>
                      <w:iCs/>
                      <w:sz w:val="20"/>
                    </w:rPr>
                    <w:t xml:space="preserve">Standard Operations and Maintenance Cost – </w:t>
                  </w:r>
                  <w:r w:rsidRPr="003C2A11">
                    <w:rPr>
                      <w:iCs/>
                      <w:sz w:val="20"/>
                    </w:rPr>
                    <w:t xml:space="preserve">The standard O&amp;M cost for the Resource category </w:t>
                  </w:r>
                  <w:r w:rsidRPr="003C2A11">
                    <w:rPr>
                      <w:i/>
                      <w:iCs/>
                      <w:sz w:val="20"/>
                    </w:rPr>
                    <w:t>rc</w:t>
                  </w:r>
                  <w:r w:rsidRPr="003C2A11">
                    <w:rPr>
                      <w:iCs/>
                      <w:sz w:val="20"/>
                    </w:rPr>
                    <w:t xml:space="preserve"> for operations above LSL, shall be set to the minimum energy variable O&amp;M costs, as described in paragraph (6)(c) of Section 5.6.1, Verifiable Costs.  </w:t>
                  </w:r>
                  <w:r>
                    <w:rPr>
                      <w:iCs/>
                      <w:sz w:val="20"/>
                    </w:rPr>
                    <w:t>For an ESR, STOM shall be set at $0.3/MWh and for a DC-Coupled Resource, the value shall be set at $4.40/MWh.</w:t>
                  </w:r>
                </w:p>
              </w:tc>
            </w:tr>
          </w:tbl>
          <w:p w14:paraId="408E6323" w14:textId="77777777" w:rsidR="00424F6A" w:rsidRPr="0086627E" w:rsidRDefault="00424F6A" w:rsidP="00424F6A">
            <w:pPr>
              <w:spacing w:after="60"/>
              <w:rPr>
                <w:iCs/>
                <w:sz w:val="20"/>
              </w:rPr>
            </w:pPr>
          </w:p>
        </w:tc>
      </w:tr>
      <w:tr w:rsidR="00424F6A" w:rsidRPr="0086627E" w14:paraId="5D23A9CF"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4C302BDF" w14:textId="77777777" w:rsidR="00424F6A" w:rsidRPr="0086627E" w:rsidRDefault="00424F6A" w:rsidP="00424F6A">
            <w:pPr>
              <w:spacing w:after="60"/>
              <w:rPr>
                <w:i/>
                <w:iCs/>
                <w:sz w:val="20"/>
              </w:rPr>
            </w:pPr>
            <w:r w:rsidRPr="0086627E">
              <w:rPr>
                <w:iCs/>
                <w:sz w:val="20"/>
              </w:rPr>
              <w:lastRenderedPageBreak/>
              <w:t>MSAVGFP</w:t>
            </w:r>
          </w:p>
        </w:tc>
        <w:tc>
          <w:tcPr>
            <w:tcW w:w="607" w:type="pct"/>
            <w:tcBorders>
              <w:top w:val="single" w:sz="6" w:space="0" w:color="auto"/>
              <w:left w:val="single" w:sz="6" w:space="0" w:color="auto"/>
              <w:bottom w:val="single" w:sz="6" w:space="0" w:color="auto"/>
              <w:right w:val="single" w:sz="6" w:space="0" w:color="auto"/>
            </w:tcBorders>
            <w:hideMark/>
          </w:tcPr>
          <w:p w14:paraId="6F0FD709" w14:textId="77777777" w:rsidR="00424F6A" w:rsidRPr="0086627E" w:rsidRDefault="00424F6A" w:rsidP="00424F6A">
            <w:pPr>
              <w:spacing w:after="60"/>
              <w:rPr>
                <w:iCs/>
                <w:sz w:val="20"/>
              </w:rPr>
            </w:pPr>
            <w:r w:rsidRPr="0086627E">
              <w:rPr>
                <w:iCs/>
                <w:sz w:val="20"/>
              </w:rPr>
              <w:t>$/MMBtu</w:t>
            </w:r>
          </w:p>
        </w:tc>
        <w:tc>
          <w:tcPr>
            <w:tcW w:w="3385" w:type="pct"/>
            <w:tcBorders>
              <w:top w:val="single" w:sz="6" w:space="0" w:color="auto"/>
              <w:left w:val="single" w:sz="6" w:space="0" w:color="auto"/>
              <w:bottom w:val="single" w:sz="6" w:space="0" w:color="auto"/>
              <w:right w:val="single" w:sz="4" w:space="0" w:color="auto"/>
            </w:tcBorders>
            <w:hideMark/>
          </w:tcPr>
          <w:p w14:paraId="4DB969FB" w14:textId="77777777" w:rsidR="00424F6A" w:rsidRPr="0086627E" w:rsidRDefault="00424F6A" w:rsidP="00424F6A">
            <w:pPr>
              <w:spacing w:after="60"/>
              <w:rPr>
                <w:iCs/>
                <w:sz w:val="20"/>
              </w:rPr>
            </w:pPr>
            <w:r w:rsidRPr="0086627E">
              <w:rPr>
                <w:i/>
                <w:iCs/>
                <w:sz w:val="20"/>
              </w:rPr>
              <w:t>Market Suspension Average Fuel Price</w:t>
            </w:r>
            <w:r w:rsidRPr="0086627E">
              <w:rPr>
                <w:iCs/>
                <w:sz w:val="20"/>
              </w:rPr>
              <w:t xml:space="preserve"> </w:t>
            </w:r>
            <w:r w:rsidRPr="00067BD8">
              <w:rPr>
                <w:i/>
                <w:iCs/>
                <w:sz w:val="20"/>
              </w:rPr>
              <w:t>–</w:t>
            </w:r>
            <w:r w:rsidRPr="0086627E">
              <w:rPr>
                <w:iCs/>
                <w:sz w:val="20"/>
              </w:rPr>
              <w:t xml:space="preserve"> The Market Suspension</w:t>
            </w:r>
            <w:r w:rsidRPr="0086627E">
              <w:rPr>
                <w:i/>
                <w:iCs/>
                <w:sz w:val="20"/>
              </w:rPr>
              <w:t xml:space="preserve"> </w:t>
            </w:r>
            <w:r w:rsidRPr="0086627E">
              <w:rPr>
                <w:iCs/>
                <w:sz w:val="20"/>
              </w:rPr>
              <w:t>average fuel price calculated based on MSAVGFIP or MSAVGFOP.</w:t>
            </w:r>
          </w:p>
        </w:tc>
      </w:tr>
      <w:tr w:rsidR="00424F6A" w:rsidRPr="0086627E" w14:paraId="5587E57E"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3C364C0E" w14:textId="77777777" w:rsidR="00424F6A" w:rsidRPr="0086627E" w:rsidRDefault="00424F6A" w:rsidP="00424F6A">
            <w:pPr>
              <w:spacing w:after="60"/>
              <w:rPr>
                <w:iCs/>
                <w:sz w:val="20"/>
              </w:rPr>
            </w:pPr>
            <w:r w:rsidRPr="0086627E">
              <w:rPr>
                <w:iCs/>
                <w:sz w:val="20"/>
              </w:rPr>
              <w:t>MSAVGFIP</w:t>
            </w:r>
          </w:p>
        </w:tc>
        <w:tc>
          <w:tcPr>
            <w:tcW w:w="607" w:type="pct"/>
            <w:tcBorders>
              <w:top w:val="single" w:sz="6" w:space="0" w:color="auto"/>
              <w:left w:val="single" w:sz="6" w:space="0" w:color="auto"/>
              <w:bottom w:val="single" w:sz="6" w:space="0" w:color="auto"/>
              <w:right w:val="single" w:sz="6" w:space="0" w:color="auto"/>
            </w:tcBorders>
            <w:hideMark/>
          </w:tcPr>
          <w:p w14:paraId="0A109778" w14:textId="77777777" w:rsidR="00424F6A" w:rsidRPr="0086627E" w:rsidRDefault="00424F6A" w:rsidP="00424F6A">
            <w:pPr>
              <w:spacing w:after="60"/>
              <w:rPr>
                <w:iCs/>
                <w:sz w:val="20"/>
              </w:rPr>
            </w:pPr>
            <w:r w:rsidRPr="0086627E">
              <w:rPr>
                <w:iCs/>
                <w:sz w:val="20"/>
              </w:rPr>
              <w:t>$/MMBtu</w:t>
            </w:r>
          </w:p>
        </w:tc>
        <w:tc>
          <w:tcPr>
            <w:tcW w:w="3385" w:type="pct"/>
            <w:tcBorders>
              <w:top w:val="single" w:sz="6" w:space="0" w:color="auto"/>
              <w:left w:val="single" w:sz="6" w:space="0" w:color="auto"/>
              <w:bottom w:val="single" w:sz="6" w:space="0" w:color="auto"/>
              <w:right w:val="single" w:sz="4" w:space="0" w:color="auto"/>
            </w:tcBorders>
            <w:hideMark/>
          </w:tcPr>
          <w:p w14:paraId="398F9D07" w14:textId="77777777" w:rsidR="00424F6A" w:rsidRPr="0086627E" w:rsidRDefault="00424F6A" w:rsidP="00424F6A">
            <w:pPr>
              <w:spacing w:after="60"/>
              <w:rPr>
                <w:iCs/>
                <w:sz w:val="20"/>
              </w:rPr>
            </w:pPr>
            <w:r w:rsidRPr="0086627E">
              <w:rPr>
                <w:i/>
                <w:iCs/>
                <w:sz w:val="20"/>
              </w:rPr>
              <w:t>Market Suspension Average Fuel Index Price</w:t>
            </w:r>
            <w:r w:rsidRPr="0086627E">
              <w:rPr>
                <w:iCs/>
                <w:sz w:val="20"/>
              </w:rPr>
              <w:t xml:space="preserve"> </w:t>
            </w:r>
            <w:r w:rsidRPr="00067BD8">
              <w:rPr>
                <w:i/>
                <w:iCs/>
                <w:sz w:val="20"/>
              </w:rPr>
              <w:t>–</w:t>
            </w:r>
            <w:r w:rsidRPr="0086627E">
              <w:rPr>
                <w:iCs/>
                <w:sz w:val="20"/>
              </w:rPr>
              <w:t xml:space="preserve"> The Market Suspension</w:t>
            </w:r>
            <w:r w:rsidRPr="0086627E">
              <w:rPr>
                <w:i/>
                <w:iCs/>
                <w:sz w:val="20"/>
              </w:rPr>
              <w:t xml:space="preserve"> </w:t>
            </w:r>
            <w:r w:rsidRPr="0086627E">
              <w:rPr>
                <w:iCs/>
                <w:sz w:val="20"/>
              </w:rPr>
              <w:t>average Fuel Index Price (FIP) calculated as the average price of FIP for the 15 days prior to the Market Suspension</w:t>
            </w:r>
            <w:r w:rsidRPr="0086627E">
              <w:rPr>
                <w:i/>
                <w:iCs/>
                <w:sz w:val="20"/>
              </w:rPr>
              <w:t xml:space="preserve"> </w:t>
            </w:r>
            <w:r w:rsidRPr="0086627E">
              <w:rPr>
                <w:iCs/>
                <w:sz w:val="20"/>
              </w:rPr>
              <w:t xml:space="preserve">event, calculated on a daily rolling basis for Operating Days the index price is available to ERCOT. </w:t>
            </w:r>
          </w:p>
        </w:tc>
      </w:tr>
      <w:tr w:rsidR="00424F6A" w:rsidRPr="0086627E" w14:paraId="07F01F01"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597BE558" w14:textId="77777777" w:rsidR="00424F6A" w:rsidRPr="0086627E" w:rsidRDefault="00424F6A" w:rsidP="00424F6A">
            <w:pPr>
              <w:spacing w:after="60"/>
              <w:rPr>
                <w:iCs/>
                <w:sz w:val="20"/>
              </w:rPr>
            </w:pPr>
            <w:r w:rsidRPr="0086627E">
              <w:rPr>
                <w:iCs/>
                <w:sz w:val="20"/>
              </w:rPr>
              <w:t>MSAVGFOP</w:t>
            </w:r>
          </w:p>
        </w:tc>
        <w:tc>
          <w:tcPr>
            <w:tcW w:w="607" w:type="pct"/>
            <w:tcBorders>
              <w:top w:val="single" w:sz="6" w:space="0" w:color="auto"/>
              <w:left w:val="single" w:sz="6" w:space="0" w:color="auto"/>
              <w:bottom w:val="single" w:sz="6" w:space="0" w:color="auto"/>
              <w:right w:val="single" w:sz="6" w:space="0" w:color="auto"/>
            </w:tcBorders>
            <w:hideMark/>
          </w:tcPr>
          <w:p w14:paraId="011A4141" w14:textId="77777777" w:rsidR="00424F6A" w:rsidRPr="0086627E" w:rsidRDefault="00424F6A" w:rsidP="00424F6A">
            <w:pPr>
              <w:spacing w:after="60"/>
              <w:rPr>
                <w:iCs/>
                <w:sz w:val="20"/>
              </w:rPr>
            </w:pPr>
            <w:r w:rsidRPr="0086627E">
              <w:rPr>
                <w:iCs/>
                <w:sz w:val="20"/>
              </w:rPr>
              <w:t>$/MMBtu</w:t>
            </w:r>
          </w:p>
        </w:tc>
        <w:tc>
          <w:tcPr>
            <w:tcW w:w="3385" w:type="pct"/>
            <w:tcBorders>
              <w:top w:val="single" w:sz="6" w:space="0" w:color="auto"/>
              <w:left w:val="single" w:sz="6" w:space="0" w:color="auto"/>
              <w:bottom w:val="single" w:sz="6" w:space="0" w:color="auto"/>
              <w:right w:val="single" w:sz="4" w:space="0" w:color="auto"/>
            </w:tcBorders>
            <w:hideMark/>
          </w:tcPr>
          <w:p w14:paraId="67461DBF" w14:textId="77777777" w:rsidR="00424F6A" w:rsidRPr="0086627E" w:rsidRDefault="00424F6A" w:rsidP="00424F6A">
            <w:pPr>
              <w:spacing w:after="60"/>
              <w:rPr>
                <w:iCs/>
                <w:sz w:val="20"/>
              </w:rPr>
            </w:pPr>
            <w:r w:rsidRPr="0086627E">
              <w:rPr>
                <w:i/>
                <w:iCs/>
                <w:sz w:val="20"/>
              </w:rPr>
              <w:t>Market Suspension Average Fuel Oil Price</w:t>
            </w:r>
            <w:r w:rsidRPr="0086627E">
              <w:rPr>
                <w:iCs/>
                <w:sz w:val="20"/>
              </w:rPr>
              <w:t xml:space="preserve"> </w:t>
            </w:r>
            <w:r w:rsidRPr="00067BD8">
              <w:rPr>
                <w:i/>
                <w:iCs/>
                <w:sz w:val="20"/>
              </w:rPr>
              <w:t>–</w:t>
            </w:r>
            <w:r w:rsidRPr="0086627E">
              <w:rPr>
                <w:iCs/>
                <w:sz w:val="20"/>
              </w:rPr>
              <w:t xml:space="preserve"> The Market Suspension average Fuel Oil Price (FOP) calculated as the average price of FOP for the 15 days prior to the Market Suspension</w:t>
            </w:r>
            <w:r w:rsidRPr="0086627E">
              <w:rPr>
                <w:i/>
                <w:iCs/>
                <w:sz w:val="20"/>
              </w:rPr>
              <w:t xml:space="preserve"> </w:t>
            </w:r>
            <w:r w:rsidRPr="0086627E">
              <w:rPr>
                <w:iCs/>
                <w:sz w:val="20"/>
              </w:rPr>
              <w:t xml:space="preserve">event, calculated on a daily rolling basis for Operating Days the index price is available to ERCOT.  </w:t>
            </w:r>
          </w:p>
        </w:tc>
      </w:tr>
      <w:tr w:rsidR="00424F6A" w:rsidRPr="0086627E" w14:paraId="6A4A72D7"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21E2168C" w14:textId="77777777" w:rsidR="00424F6A" w:rsidRPr="0086627E" w:rsidRDefault="00424F6A" w:rsidP="00424F6A">
            <w:pPr>
              <w:spacing w:after="60"/>
              <w:rPr>
                <w:iCs/>
                <w:sz w:val="20"/>
              </w:rPr>
            </w:pPr>
            <w:r w:rsidRPr="0086627E">
              <w:rPr>
                <w:iCs/>
                <w:sz w:val="20"/>
              </w:rPr>
              <w:t>RCGSC</w:t>
            </w:r>
          </w:p>
        </w:tc>
        <w:tc>
          <w:tcPr>
            <w:tcW w:w="607" w:type="pct"/>
            <w:tcBorders>
              <w:top w:val="single" w:sz="6" w:space="0" w:color="auto"/>
              <w:left w:val="single" w:sz="6" w:space="0" w:color="auto"/>
              <w:bottom w:val="single" w:sz="6" w:space="0" w:color="auto"/>
              <w:right w:val="single" w:sz="6" w:space="0" w:color="auto"/>
            </w:tcBorders>
            <w:hideMark/>
          </w:tcPr>
          <w:p w14:paraId="7987C0A3" w14:textId="77777777" w:rsidR="00424F6A" w:rsidRPr="0086627E" w:rsidRDefault="00424F6A" w:rsidP="00424F6A">
            <w:pPr>
              <w:spacing w:after="60"/>
              <w:rPr>
                <w:iCs/>
                <w:sz w:val="20"/>
              </w:rPr>
            </w:pPr>
            <w:r w:rsidRPr="0086627E">
              <w:rPr>
                <w:iCs/>
                <w:sz w:val="20"/>
              </w:rPr>
              <w:t>$/start</w:t>
            </w:r>
          </w:p>
        </w:tc>
        <w:tc>
          <w:tcPr>
            <w:tcW w:w="3385" w:type="pct"/>
            <w:tcBorders>
              <w:top w:val="single" w:sz="6" w:space="0" w:color="auto"/>
              <w:left w:val="single" w:sz="6" w:space="0" w:color="auto"/>
              <w:bottom w:val="single" w:sz="6" w:space="0" w:color="auto"/>
              <w:right w:val="single" w:sz="4" w:space="0" w:color="auto"/>
            </w:tcBorders>
            <w:hideMark/>
          </w:tcPr>
          <w:p w14:paraId="67F62DDD" w14:textId="77777777" w:rsidR="00424F6A" w:rsidRPr="0086627E" w:rsidRDefault="00424F6A" w:rsidP="00424F6A">
            <w:pPr>
              <w:spacing w:after="60"/>
              <w:rPr>
                <w:iCs/>
                <w:sz w:val="20"/>
              </w:rPr>
            </w:pPr>
            <w:r w:rsidRPr="0086627E">
              <w:rPr>
                <w:i/>
                <w:iCs/>
                <w:sz w:val="20"/>
              </w:rPr>
              <w:t>Resource Category Generic Startup Cost</w:t>
            </w:r>
            <w:r>
              <w:rPr>
                <w:i/>
                <w:iCs/>
                <w:sz w:val="20"/>
              </w:rPr>
              <w:t xml:space="preserve"> </w:t>
            </w:r>
            <w:r w:rsidRPr="0086627E">
              <w:rPr>
                <w:i/>
                <w:iCs/>
                <w:sz w:val="20"/>
              </w:rPr>
              <w:t xml:space="preserve">– </w:t>
            </w:r>
            <w:r w:rsidRPr="0086627E">
              <w:rPr>
                <w:iCs/>
                <w:sz w:val="20"/>
              </w:rPr>
              <w:t>The Resource Category Generic Startup Cost cap for the category of the Resource, according to Section 4.4.9.2.3, Startup Offer and Minimum-Energy Offer Generic Caps, for the Operating Day.</w:t>
            </w:r>
          </w:p>
        </w:tc>
      </w:tr>
      <w:tr w:rsidR="00424F6A" w:rsidRPr="0086627E" w14:paraId="285EFDDF"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4524901A" w14:textId="77777777" w:rsidR="00424F6A" w:rsidRPr="0086627E" w:rsidRDefault="00424F6A" w:rsidP="00424F6A">
            <w:pPr>
              <w:spacing w:after="60"/>
              <w:rPr>
                <w:i/>
                <w:iCs/>
                <w:sz w:val="20"/>
              </w:rPr>
            </w:pPr>
            <w:r w:rsidRPr="0086627E">
              <w:rPr>
                <w:iCs/>
                <w:sz w:val="20"/>
              </w:rPr>
              <w:t>FA</w:t>
            </w:r>
            <w:r w:rsidRPr="0086627E">
              <w:rPr>
                <w:i/>
                <w:iCs/>
                <w:sz w:val="20"/>
                <w:vertAlign w:val="subscript"/>
              </w:rPr>
              <w:t xml:space="preserve"> q,</w:t>
            </w:r>
            <w:r w:rsidR="0016529C">
              <w:rPr>
                <w:i/>
                <w:iCs/>
                <w:sz w:val="20"/>
                <w:vertAlign w:val="subscript"/>
              </w:rPr>
              <w:t xml:space="preserve"> </w:t>
            </w:r>
            <w:r w:rsidRPr="0086627E">
              <w:rPr>
                <w:i/>
                <w:iCs/>
                <w:sz w:val="20"/>
                <w:vertAlign w:val="subscript"/>
              </w:rPr>
              <w:t>r</w:t>
            </w:r>
          </w:p>
        </w:tc>
        <w:tc>
          <w:tcPr>
            <w:tcW w:w="607" w:type="pct"/>
            <w:tcBorders>
              <w:top w:val="single" w:sz="6" w:space="0" w:color="auto"/>
              <w:left w:val="single" w:sz="6" w:space="0" w:color="auto"/>
              <w:bottom w:val="single" w:sz="6" w:space="0" w:color="auto"/>
              <w:right w:val="single" w:sz="6" w:space="0" w:color="auto"/>
            </w:tcBorders>
            <w:hideMark/>
          </w:tcPr>
          <w:p w14:paraId="26B901CD" w14:textId="77777777" w:rsidR="00424F6A" w:rsidRPr="0086627E" w:rsidRDefault="00424F6A" w:rsidP="00424F6A">
            <w:pPr>
              <w:spacing w:after="60"/>
              <w:rPr>
                <w:iCs/>
                <w:sz w:val="20"/>
              </w:rPr>
            </w:pPr>
            <w:r w:rsidRPr="0086627E">
              <w:rPr>
                <w:iCs/>
                <w:sz w:val="20"/>
              </w:rPr>
              <w:t>$/MMBtu</w:t>
            </w:r>
          </w:p>
        </w:tc>
        <w:tc>
          <w:tcPr>
            <w:tcW w:w="3385" w:type="pct"/>
            <w:tcBorders>
              <w:top w:val="single" w:sz="6" w:space="0" w:color="auto"/>
              <w:left w:val="single" w:sz="6" w:space="0" w:color="auto"/>
              <w:bottom w:val="single" w:sz="6" w:space="0" w:color="auto"/>
              <w:right w:val="single" w:sz="4" w:space="0" w:color="auto"/>
            </w:tcBorders>
            <w:hideMark/>
          </w:tcPr>
          <w:p w14:paraId="2286CC79" w14:textId="77777777" w:rsidR="00424F6A" w:rsidRPr="0086627E" w:rsidRDefault="00424F6A" w:rsidP="00424F6A">
            <w:pPr>
              <w:spacing w:after="60"/>
              <w:rPr>
                <w:iCs/>
                <w:sz w:val="20"/>
              </w:rPr>
            </w:pPr>
            <w:r w:rsidRPr="0086627E">
              <w:rPr>
                <w:i/>
                <w:iCs/>
                <w:sz w:val="20"/>
              </w:rPr>
              <w:t>Verifiable Average Fuel Adder</w:t>
            </w:r>
            <w:r w:rsidRPr="0086627E">
              <w:rPr>
                <w:iCs/>
                <w:sz w:val="20"/>
              </w:rPr>
              <w:t xml:space="preserve"> </w:t>
            </w:r>
            <w:r w:rsidRPr="0086627E">
              <w:rPr>
                <w:i/>
                <w:iCs/>
                <w:sz w:val="20"/>
              </w:rPr>
              <w:t>–</w:t>
            </w:r>
            <w:r w:rsidRPr="0086627E">
              <w:rPr>
                <w:iCs/>
                <w:sz w:val="20"/>
              </w:rPr>
              <w:t xml:space="preserve"> The verifiable average fuel price adder for the Resource </w:t>
            </w:r>
            <w:r w:rsidRPr="0086627E">
              <w:rPr>
                <w:i/>
                <w:iCs/>
                <w:sz w:val="20"/>
              </w:rPr>
              <w:t xml:space="preserve">r </w:t>
            </w:r>
            <w:r w:rsidRPr="0086627E">
              <w:rPr>
                <w:iCs/>
                <w:sz w:val="20"/>
              </w:rPr>
              <w:t>represented by QSE</w:t>
            </w:r>
            <w:r w:rsidRPr="0086627E">
              <w:rPr>
                <w:i/>
                <w:iCs/>
                <w:sz w:val="20"/>
              </w:rPr>
              <w:t xml:space="preserve"> q</w:t>
            </w:r>
            <w:r w:rsidRPr="0086627E">
              <w:rPr>
                <w:iCs/>
                <w:sz w:val="20"/>
              </w:rPr>
              <w:t xml:space="preserve">.  The fuel adder shall be set to the actual approved verifiable fuel adder or the standard value defined in the Verifiable Cost Manual.  Where for a Combined Cycle Train, the Resource </w:t>
            </w:r>
            <w:r w:rsidRPr="0086627E">
              <w:rPr>
                <w:i/>
                <w:iCs/>
                <w:sz w:val="20"/>
              </w:rPr>
              <w:t xml:space="preserve">r </w:t>
            </w:r>
            <w:r w:rsidRPr="0086627E">
              <w:rPr>
                <w:iCs/>
                <w:sz w:val="20"/>
              </w:rPr>
              <w:t>is a Combined Cycle Generation Resource within the Combined Cycle Train.</w:t>
            </w:r>
          </w:p>
        </w:tc>
      </w:tr>
      <w:tr w:rsidR="00424F6A" w:rsidRPr="0086627E" w14:paraId="62A6BAB8"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5F3E2B87" w14:textId="77777777" w:rsidR="00424F6A" w:rsidRPr="0086627E" w:rsidRDefault="00424F6A" w:rsidP="00424F6A">
            <w:pPr>
              <w:spacing w:after="60"/>
              <w:rPr>
                <w:iCs/>
                <w:sz w:val="20"/>
              </w:rPr>
            </w:pPr>
            <w:r w:rsidRPr="0086627E">
              <w:rPr>
                <w:iCs/>
                <w:sz w:val="20"/>
              </w:rPr>
              <w:t xml:space="preserve">PFA </w:t>
            </w:r>
            <w:r w:rsidRPr="0086627E">
              <w:rPr>
                <w:i/>
                <w:iCs/>
                <w:sz w:val="20"/>
                <w:vertAlign w:val="subscript"/>
              </w:rPr>
              <w:t>rc</w:t>
            </w:r>
          </w:p>
        </w:tc>
        <w:tc>
          <w:tcPr>
            <w:tcW w:w="607" w:type="pct"/>
            <w:tcBorders>
              <w:top w:val="single" w:sz="6" w:space="0" w:color="auto"/>
              <w:left w:val="single" w:sz="6" w:space="0" w:color="auto"/>
              <w:bottom w:val="single" w:sz="6" w:space="0" w:color="auto"/>
              <w:right w:val="single" w:sz="6" w:space="0" w:color="auto"/>
            </w:tcBorders>
            <w:hideMark/>
          </w:tcPr>
          <w:p w14:paraId="6F18B9E0" w14:textId="77777777" w:rsidR="00424F6A" w:rsidRPr="0086627E" w:rsidRDefault="00424F6A" w:rsidP="00424F6A">
            <w:pPr>
              <w:spacing w:after="60"/>
              <w:rPr>
                <w:iCs/>
                <w:sz w:val="20"/>
              </w:rPr>
            </w:pPr>
            <w:r w:rsidRPr="0086627E">
              <w:rPr>
                <w:iCs/>
                <w:sz w:val="20"/>
              </w:rPr>
              <w:t>$/MMBtu</w:t>
            </w:r>
          </w:p>
        </w:tc>
        <w:tc>
          <w:tcPr>
            <w:tcW w:w="3385" w:type="pct"/>
            <w:tcBorders>
              <w:top w:val="single" w:sz="6" w:space="0" w:color="auto"/>
              <w:left w:val="single" w:sz="6" w:space="0" w:color="auto"/>
              <w:bottom w:val="single" w:sz="6" w:space="0" w:color="auto"/>
              <w:right w:val="single" w:sz="4" w:space="0" w:color="auto"/>
            </w:tcBorders>
            <w:hideMark/>
          </w:tcPr>
          <w:p w14:paraId="229FAC6E" w14:textId="77777777" w:rsidR="00424F6A" w:rsidRPr="0086627E" w:rsidRDefault="00424F6A" w:rsidP="00424F6A">
            <w:pPr>
              <w:spacing w:after="60"/>
              <w:rPr>
                <w:iCs/>
                <w:sz w:val="20"/>
              </w:rPr>
            </w:pPr>
            <w:r w:rsidRPr="0086627E">
              <w:rPr>
                <w:i/>
                <w:iCs/>
                <w:sz w:val="20"/>
              </w:rPr>
              <w:t xml:space="preserve">Proxy Fuel Adder – </w:t>
            </w:r>
            <w:r w:rsidRPr="0086627E">
              <w:rPr>
                <w:iCs/>
                <w:sz w:val="20"/>
              </w:rPr>
              <w:t xml:space="preserve">The proxy fuel price adder for the Resource category </w:t>
            </w:r>
            <w:r w:rsidRPr="0086627E">
              <w:rPr>
                <w:i/>
                <w:iCs/>
                <w:sz w:val="20"/>
              </w:rPr>
              <w:t>rc</w:t>
            </w:r>
            <w:r w:rsidRPr="0086627E">
              <w:rPr>
                <w:iCs/>
                <w:sz w:val="20"/>
              </w:rPr>
              <w:t xml:space="preserve">.  For all thermal Generation Resources, the fuel adder shall be set to $0.50/MMBtu; otherwise, the fuel adder shall be set to $0.00/MMBtu. </w:t>
            </w:r>
          </w:p>
        </w:tc>
      </w:tr>
      <w:tr w:rsidR="00424F6A" w:rsidRPr="0086627E" w14:paraId="278BF46A"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31561EFA" w14:textId="77777777" w:rsidR="00424F6A" w:rsidRPr="0086627E" w:rsidRDefault="00424F6A" w:rsidP="00424F6A">
            <w:pPr>
              <w:spacing w:after="60"/>
              <w:rPr>
                <w:i/>
                <w:iCs/>
                <w:sz w:val="20"/>
              </w:rPr>
            </w:pPr>
            <w:r w:rsidRPr="0086627E">
              <w:rPr>
                <w:iCs/>
                <w:sz w:val="20"/>
                <w:lang w:val="pt-BR"/>
              </w:rPr>
              <w:t xml:space="preserve">AHR </w:t>
            </w:r>
            <w:r w:rsidRPr="0086627E">
              <w:rPr>
                <w:i/>
                <w:iCs/>
                <w:sz w:val="20"/>
                <w:vertAlign w:val="subscript"/>
                <w:lang w:val="es-ES"/>
              </w:rPr>
              <w:t>q,</w:t>
            </w:r>
            <w:r w:rsidR="0016529C">
              <w:rPr>
                <w:i/>
                <w:iCs/>
                <w:sz w:val="20"/>
                <w:vertAlign w:val="subscript"/>
                <w:lang w:val="es-ES"/>
              </w:rPr>
              <w:t xml:space="preserve"> </w:t>
            </w:r>
            <w:r w:rsidRPr="0086627E">
              <w:rPr>
                <w:i/>
                <w:iCs/>
                <w:sz w:val="20"/>
                <w:vertAlign w:val="subscript"/>
                <w:lang w:val="es-ES"/>
              </w:rPr>
              <w:t>r,</w:t>
            </w:r>
            <w:r w:rsidR="0016529C">
              <w:rPr>
                <w:i/>
                <w:iCs/>
                <w:sz w:val="20"/>
                <w:vertAlign w:val="subscript"/>
                <w:lang w:val="es-ES"/>
              </w:rPr>
              <w:t xml:space="preserve"> </w:t>
            </w:r>
            <w:r w:rsidRPr="0086627E">
              <w:rPr>
                <w:i/>
                <w:iCs/>
                <w:sz w:val="20"/>
                <w:vertAlign w:val="subscript"/>
                <w:lang w:val="es-ES"/>
              </w:rPr>
              <w:t>i</w:t>
            </w:r>
          </w:p>
        </w:tc>
        <w:tc>
          <w:tcPr>
            <w:tcW w:w="607" w:type="pct"/>
            <w:tcBorders>
              <w:top w:val="single" w:sz="6" w:space="0" w:color="auto"/>
              <w:left w:val="single" w:sz="6" w:space="0" w:color="auto"/>
              <w:bottom w:val="single" w:sz="6" w:space="0" w:color="auto"/>
              <w:right w:val="single" w:sz="6" w:space="0" w:color="auto"/>
            </w:tcBorders>
            <w:hideMark/>
          </w:tcPr>
          <w:p w14:paraId="4FEF3982" w14:textId="77777777" w:rsidR="00424F6A" w:rsidRPr="0086627E" w:rsidRDefault="00424F6A" w:rsidP="00424F6A">
            <w:pPr>
              <w:spacing w:after="60"/>
              <w:rPr>
                <w:iCs/>
                <w:sz w:val="20"/>
              </w:rPr>
            </w:pPr>
            <w:r w:rsidRPr="0086627E">
              <w:rPr>
                <w:iCs/>
                <w:sz w:val="20"/>
              </w:rPr>
              <w:t>MMBtu / MWh</w:t>
            </w:r>
          </w:p>
        </w:tc>
        <w:tc>
          <w:tcPr>
            <w:tcW w:w="3385" w:type="pct"/>
            <w:tcBorders>
              <w:top w:val="single" w:sz="6" w:space="0" w:color="auto"/>
              <w:left w:val="single" w:sz="6" w:space="0" w:color="auto"/>
              <w:bottom w:val="single" w:sz="6" w:space="0" w:color="auto"/>
              <w:right w:val="single" w:sz="4" w:space="0" w:color="auto"/>
            </w:tcBorders>
            <w:hideMark/>
          </w:tcPr>
          <w:p w14:paraId="277DFE27" w14:textId="77777777" w:rsidR="00424F6A" w:rsidRPr="0086627E" w:rsidRDefault="00424F6A" w:rsidP="00424F6A">
            <w:pPr>
              <w:spacing w:after="60"/>
              <w:rPr>
                <w:iCs/>
                <w:sz w:val="20"/>
              </w:rPr>
            </w:pPr>
            <w:r w:rsidRPr="0086627E">
              <w:rPr>
                <w:i/>
                <w:iCs/>
                <w:sz w:val="20"/>
              </w:rPr>
              <w:t>Average Heat Rate per Resource</w:t>
            </w:r>
            <w:r>
              <w:rPr>
                <w:i/>
                <w:iCs/>
                <w:sz w:val="20"/>
              </w:rPr>
              <w:t xml:space="preserve"> </w:t>
            </w:r>
            <w:r w:rsidRPr="0086627E">
              <w:rPr>
                <w:i/>
                <w:iCs/>
                <w:sz w:val="20"/>
              </w:rPr>
              <w:t xml:space="preserve">– </w:t>
            </w:r>
            <w:r w:rsidRPr="0086627E">
              <w:rPr>
                <w:iCs/>
                <w:sz w:val="20"/>
              </w:rPr>
              <w:t xml:space="preserve">The verifiable average heat rate for the Resource </w:t>
            </w:r>
            <w:r w:rsidRPr="0086627E">
              <w:rPr>
                <w:i/>
                <w:iCs/>
                <w:sz w:val="20"/>
              </w:rPr>
              <w:t xml:space="preserve">r </w:t>
            </w:r>
            <w:r w:rsidRPr="0086627E">
              <w:rPr>
                <w:iCs/>
                <w:sz w:val="20"/>
              </w:rPr>
              <w:t>represented by QSE</w:t>
            </w:r>
            <w:r w:rsidRPr="0086627E">
              <w:rPr>
                <w:i/>
                <w:iCs/>
                <w:sz w:val="20"/>
              </w:rPr>
              <w:t xml:space="preserve"> q</w:t>
            </w:r>
            <w:r w:rsidRPr="0086627E">
              <w:rPr>
                <w:iCs/>
                <w:sz w:val="20"/>
              </w:rPr>
              <w:t xml:space="preserve">, for operating levels between LSL and High Sustained Limit (HSL), for the 15-minute Settlement Interval </w:t>
            </w:r>
            <w:r w:rsidRPr="0086627E">
              <w:rPr>
                <w:i/>
                <w:iCs/>
                <w:sz w:val="20"/>
              </w:rPr>
              <w:t>i</w:t>
            </w:r>
            <w:r w:rsidRPr="0086627E">
              <w:rPr>
                <w:iCs/>
                <w:sz w:val="20"/>
              </w:rPr>
              <w:t xml:space="preserve">.  Where for a Combined Cycle Train, the Resource </w:t>
            </w:r>
            <w:r w:rsidRPr="0086627E">
              <w:rPr>
                <w:i/>
                <w:iCs/>
                <w:sz w:val="20"/>
              </w:rPr>
              <w:t>r</w:t>
            </w:r>
            <w:r w:rsidRPr="0086627E">
              <w:rPr>
                <w:iCs/>
                <w:sz w:val="20"/>
              </w:rPr>
              <w:t xml:space="preserve"> is a Combined Cycle Generation Resource within the Combined Cycle Train.</w:t>
            </w:r>
          </w:p>
        </w:tc>
      </w:tr>
      <w:tr w:rsidR="00424F6A" w:rsidRPr="0086627E" w14:paraId="2D7A349F"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3F2C3C9B" w14:textId="77777777" w:rsidR="00424F6A" w:rsidRPr="0086627E" w:rsidRDefault="00424F6A" w:rsidP="00424F6A">
            <w:pPr>
              <w:spacing w:after="60"/>
              <w:rPr>
                <w:iCs/>
                <w:sz w:val="20"/>
                <w:lang w:val="pt-BR"/>
              </w:rPr>
            </w:pPr>
            <w:r w:rsidRPr="0086627E">
              <w:rPr>
                <w:iCs/>
                <w:sz w:val="20"/>
              </w:rPr>
              <w:t>PA</w:t>
            </w:r>
            <w:r w:rsidRPr="0086627E">
              <w:rPr>
                <w:iCs/>
                <w:sz w:val="20"/>
                <w:lang w:val="pt-BR"/>
              </w:rPr>
              <w:t>HR</w:t>
            </w:r>
            <w:r w:rsidR="0016529C">
              <w:rPr>
                <w:iCs/>
                <w:sz w:val="20"/>
                <w:lang w:val="pt-BR"/>
              </w:rPr>
              <w:t xml:space="preserve"> </w:t>
            </w:r>
            <w:r w:rsidRPr="0086627E">
              <w:rPr>
                <w:i/>
                <w:iCs/>
                <w:sz w:val="20"/>
                <w:vertAlign w:val="subscript"/>
              </w:rPr>
              <w:t xml:space="preserve">r, </w:t>
            </w:r>
            <w:r w:rsidRPr="0086627E">
              <w:rPr>
                <w:i/>
                <w:iCs/>
                <w:sz w:val="20"/>
                <w:vertAlign w:val="subscript"/>
                <w:lang w:val="es-ES"/>
              </w:rPr>
              <w:t>i</w:t>
            </w:r>
          </w:p>
        </w:tc>
        <w:tc>
          <w:tcPr>
            <w:tcW w:w="607" w:type="pct"/>
            <w:tcBorders>
              <w:top w:val="single" w:sz="6" w:space="0" w:color="auto"/>
              <w:left w:val="single" w:sz="6" w:space="0" w:color="auto"/>
              <w:bottom w:val="single" w:sz="6" w:space="0" w:color="auto"/>
              <w:right w:val="single" w:sz="6" w:space="0" w:color="auto"/>
            </w:tcBorders>
            <w:hideMark/>
          </w:tcPr>
          <w:p w14:paraId="1F1DE5B2" w14:textId="77777777" w:rsidR="00424F6A" w:rsidRPr="0086627E" w:rsidRDefault="00424F6A" w:rsidP="00424F6A">
            <w:pPr>
              <w:spacing w:after="60"/>
              <w:rPr>
                <w:iCs/>
                <w:sz w:val="20"/>
              </w:rPr>
            </w:pPr>
            <w:r w:rsidRPr="0086627E">
              <w:rPr>
                <w:iCs/>
                <w:sz w:val="20"/>
              </w:rPr>
              <w:t>MMBtu / MWh</w:t>
            </w:r>
          </w:p>
        </w:tc>
        <w:tc>
          <w:tcPr>
            <w:tcW w:w="3385" w:type="pct"/>
            <w:tcBorders>
              <w:top w:val="single" w:sz="6" w:space="0" w:color="auto"/>
              <w:left w:val="single" w:sz="6" w:space="0" w:color="auto"/>
              <w:bottom w:val="single" w:sz="6" w:space="0" w:color="auto"/>
              <w:right w:val="single" w:sz="4" w:space="0" w:color="auto"/>
            </w:tcBorders>
            <w:hideMark/>
          </w:tcPr>
          <w:p w14:paraId="590199E8" w14:textId="77777777" w:rsidR="00424F6A" w:rsidRPr="0086627E" w:rsidRDefault="00424F6A" w:rsidP="00424F6A">
            <w:pPr>
              <w:spacing w:after="60"/>
              <w:rPr>
                <w:i/>
                <w:iCs/>
                <w:sz w:val="20"/>
              </w:rPr>
            </w:pPr>
            <w:r w:rsidRPr="0086627E">
              <w:rPr>
                <w:i/>
                <w:iCs/>
                <w:sz w:val="20"/>
              </w:rPr>
              <w:t>Proxy Average Heat Rate</w:t>
            </w:r>
            <w:r>
              <w:rPr>
                <w:i/>
                <w:iCs/>
                <w:sz w:val="20"/>
              </w:rPr>
              <w:t xml:space="preserve"> </w:t>
            </w:r>
            <w:r w:rsidRPr="0086627E">
              <w:rPr>
                <w:i/>
                <w:iCs/>
                <w:sz w:val="20"/>
              </w:rPr>
              <w:t xml:space="preserve">– </w:t>
            </w:r>
            <w:r w:rsidRPr="0086627E">
              <w:rPr>
                <w:iCs/>
                <w:sz w:val="20"/>
              </w:rPr>
              <w:t xml:space="preserve">The proxy average heat rate for the Resource </w:t>
            </w:r>
            <w:r w:rsidRPr="0086627E">
              <w:rPr>
                <w:i/>
                <w:iCs/>
                <w:sz w:val="20"/>
              </w:rPr>
              <w:t>r</w:t>
            </w:r>
            <w:r w:rsidRPr="0086627E">
              <w:rPr>
                <w:iCs/>
                <w:sz w:val="20"/>
              </w:rPr>
              <w:t xml:space="preserve"> for the 15-minute Settlement Interval </w:t>
            </w:r>
            <w:r w:rsidRPr="0086627E">
              <w:rPr>
                <w:i/>
                <w:iCs/>
                <w:sz w:val="20"/>
              </w:rPr>
              <w:t>i</w:t>
            </w:r>
            <w:r w:rsidRPr="0086627E">
              <w:rPr>
                <w:iCs/>
                <w:sz w:val="20"/>
              </w:rPr>
              <w:t>.</w:t>
            </w:r>
            <w:r>
              <w:rPr>
                <w:iCs/>
                <w:sz w:val="20"/>
              </w:rPr>
              <w:t xml:space="preserve"> </w:t>
            </w:r>
            <w:r w:rsidRPr="0086627E">
              <w:rPr>
                <w:iCs/>
                <w:sz w:val="20"/>
              </w:rPr>
              <w:t xml:space="preserve"> Where for a Combined Cycle Train, the Resource </w:t>
            </w:r>
            <w:r w:rsidRPr="0086627E">
              <w:rPr>
                <w:i/>
                <w:iCs/>
                <w:sz w:val="20"/>
              </w:rPr>
              <w:t xml:space="preserve">r </w:t>
            </w:r>
            <w:r w:rsidRPr="0086627E">
              <w:rPr>
                <w:iCs/>
                <w:sz w:val="20"/>
              </w:rPr>
              <w:t>is a Combined Cycle Generation Resource within the Combined Cycle Train.</w:t>
            </w:r>
          </w:p>
        </w:tc>
      </w:tr>
      <w:tr w:rsidR="00424F6A" w:rsidRPr="0086627E" w14:paraId="4B9A5763"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44417B59" w14:textId="77777777" w:rsidR="00424F6A" w:rsidRPr="0086627E" w:rsidRDefault="00424F6A" w:rsidP="00424F6A">
            <w:pPr>
              <w:spacing w:after="60"/>
              <w:rPr>
                <w:iCs/>
                <w:sz w:val="20"/>
              </w:rPr>
            </w:pPr>
            <w:r w:rsidRPr="0086627E">
              <w:rPr>
                <w:iCs/>
                <w:sz w:val="20"/>
              </w:rPr>
              <w:t xml:space="preserve">MSGEN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i</w:t>
            </w:r>
          </w:p>
        </w:tc>
        <w:tc>
          <w:tcPr>
            <w:tcW w:w="607" w:type="pct"/>
            <w:tcBorders>
              <w:top w:val="single" w:sz="6" w:space="0" w:color="auto"/>
              <w:left w:val="single" w:sz="6" w:space="0" w:color="auto"/>
              <w:bottom w:val="single" w:sz="6" w:space="0" w:color="auto"/>
              <w:right w:val="single" w:sz="6" w:space="0" w:color="auto"/>
            </w:tcBorders>
            <w:hideMark/>
          </w:tcPr>
          <w:p w14:paraId="1F25D907" w14:textId="77777777" w:rsidR="00424F6A" w:rsidRPr="0086627E" w:rsidRDefault="00424F6A" w:rsidP="00424F6A">
            <w:pPr>
              <w:spacing w:after="60"/>
              <w:rPr>
                <w:iCs/>
                <w:sz w:val="20"/>
              </w:rPr>
            </w:pPr>
            <w:r w:rsidRPr="0086627E">
              <w:rPr>
                <w:iCs/>
                <w:sz w:val="20"/>
              </w:rPr>
              <w:t>MWh</w:t>
            </w:r>
          </w:p>
        </w:tc>
        <w:tc>
          <w:tcPr>
            <w:tcW w:w="3385" w:type="pct"/>
            <w:tcBorders>
              <w:top w:val="single" w:sz="6" w:space="0" w:color="auto"/>
              <w:left w:val="single" w:sz="6" w:space="0" w:color="auto"/>
              <w:bottom w:val="single" w:sz="6" w:space="0" w:color="auto"/>
              <w:right w:val="single" w:sz="4" w:space="0" w:color="auto"/>
            </w:tcBorders>
            <w:hideMark/>
          </w:tcPr>
          <w:p w14:paraId="0A03B744" w14:textId="77777777" w:rsidR="00424F6A" w:rsidRPr="0086627E" w:rsidRDefault="00424F6A" w:rsidP="00424F6A">
            <w:pPr>
              <w:spacing w:after="60"/>
              <w:rPr>
                <w:iCs/>
                <w:sz w:val="20"/>
              </w:rPr>
            </w:pPr>
            <w:r w:rsidRPr="0086627E">
              <w:rPr>
                <w:i/>
                <w:iCs/>
                <w:sz w:val="20"/>
              </w:rPr>
              <w:t>Market Suspension Generation per Resource</w:t>
            </w:r>
            <w:r>
              <w:rPr>
                <w:i/>
                <w:iCs/>
                <w:sz w:val="20"/>
              </w:rPr>
              <w:t xml:space="preserve"> </w:t>
            </w:r>
            <w:r w:rsidRPr="0086627E">
              <w:rPr>
                <w:i/>
                <w:iCs/>
                <w:sz w:val="20"/>
              </w:rPr>
              <w:t xml:space="preserve">– </w:t>
            </w:r>
            <w:r w:rsidRPr="0086627E">
              <w:rPr>
                <w:iCs/>
                <w:sz w:val="20"/>
              </w:rPr>
              <w:t xml:space="preserve">The generation for the Resource </w:t>
            </w:r>
            <w:r w:rsidRPr="0086627E">
              <w:rPr>
                <w:i/>
                <w:iCs/>
                <w:sz w:val="20"/>
              </w:rPr>
              <w:t xml:space="preserve">r </w:t>
            </w:r>
            <w:r w:rsidRPr="0086627E">
              <w:rPr>
                <w:iCs/>
                <w:sz w:val="20"/>
              </w:rPr>
              <w:t xml:space="preserve">represented by QSE </w:t>
            </w:r>
            <w:r w:rsidRPr="0086627E">
              <w:rPr>
                <w:i/>
                <w:iCs/>
                <w:sz w:val="20"/>
              </w:rPr>
              <w:t>q</w:t>
            </w:r>
            <w:r w:rsidRPr="0086627E">
              <w:rPr>
                <w:iCs/>
                <w:sz w:val="20"/>
              </w:rPr>
              <w:t xml:space="preserve"> for the 15-minute Settlement Interval </w:t>
            </w:r>
            <w:r w:rsidRPr="0086627E">
              <w:rPr>
                <w:i/>
                <w:iCs/>
                <w:sz w:val="20"/>
              </w:rPr>
              <w:t>i</w:t>
            </w:r>
            <w:r w:rsidRPr="0086627E">
              <w:rPr>
                <w:iCs/>
                <w:sz w:val="20"/>
              </w:rPr>
              <w:t xml:space="preserve">.  </w:t>
            </w:r>
          </w:p>
        </w:tc>
      </w:tr>
      <w:tr w:rsidR="00424F6A" w:rsidRPr="0086627E" w14:paraId="1112E6C0"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7B1746D4" w14:textId="77777777" w:rsidR="00424F6A" w:rsidRPr="0086627E" w:rsidRDefault="00424F6A" w:rsidP="00424F6A">
            <w:pPr>
              <w:spacing w:after="60"/>
              <w:rPr>
                <w:i/>
                <w:iCs/>
                <w:sz w:val="20"/>
              </w:rPr>
            </w:pPr>
            <w:r w:rsidRPr="0086627E">
              <w:rPr>
                <w:i/>
                <w:iCs/>
                <w:sz w:val="20"/>
              </w:rPr>
              <w:t>q</w:t>
            </w:r>
          </w:p>
        </w:tc>
        <w:tc>
          <w:tcPr>
            <w:tcW w:w="607" w:type="pct"/>
            <w:tcBorders>
              <w:top w:val="single" w:sz="6" w:space="0" w:color="auto"/>
              <w:left w:val="single" w:sz="6" w:space="0" w:color="auto"/>
              <w:bottom w:val="single" w:sz="6" w:space="0" w:color="auto"/>
              <w:right w:val="single" w:sz="6" w:space="0" w:color="auto"/>
            </w:tcBorders>
            <w:hideMark/>
          </w:tcPr>
          <w:p w14:paraId="4705395D"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2E76727D" w14:textId="77777777" w:rsidR="00424F6A" w:rsidRPr="0086627E" w:rsidRDefault="00424F6A" w:rsidP="00424F6A">
            <w:pPr>
              <w:spacing w:after="60"/>
              <w:rPr>
                <w:iCs/>
                <w:sz w:val="20"/>
              </w:rPr>
            </w:pPr>
            <w:r w:rsidRPr="0086627E">
              <w:rPr>
                <w:iCs/>
                <w:sz w:val="20"/>
              </w:rPr>
              <w:t>A QSE.</w:t>
            </w:r>
          </w:p>
        </w:tc>
      </w:tr>
      <w:tr w:rsidR="00424F6A" w:rsidRPr="0086627E" w14:paraId="10F1C3CA"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1D2B1637" w14:textId="77777777" w:rsidR="00424F6A" w:rsidRPr="0086627E" w:rsidRDefault="00424F6A" w:rsidP="00424F6A">
            <w:pPr>
              <w:spacing w:after="60"/>
              <w:rPr>
                <w:i/>
                <w:iCs/>
                <w:sz w:val="20"/>
              </w:rPr>
            </w:pPr>
            <w:r w:rsidRPr="0086627E">
              <w:rPr>
                <w:i/>
                <w:iCs/>
                <w:sz w:val="20"/>
              </w:rPr>
              <w:t>r</w:t>
            </w:r>
          </w:p>
        </w:tc>
        <w:tc>
          <w:tcPr>
            <w:tcW w:w="607" w:type="pct"/>
            <w:tcBorders>
              <w:top w:val="single" w:sz="6" w:space="0" w:color="auto"/>
              <w:left w:val="single" w:sz="6" w:space="0" w:color="auto"/>
              <w:bottom w:val="single" w:sz="6" w:space="0" w:color="auto"/>
              <w:right w:val="single" w:sz="6" w:space="0" w:color="auto"/>
            </w:tcBorders>
            <w:hideMark/>
          </w:tcPr>
          <w:p w14:paraId="18FFF3E1"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2E3BC58C" w14:textId="77777777" w:rsidR="005B1CA7" w:rsidRPr="0086627E" w:rsidRDefault="00424F6A" w:rsidP="00424F6A">
            <w:pPr>
              <w:spacing w:after="60"/>
              <w:rPr>
                <w:iCs/>
                <w:sz w:val="20"/>
              </w:rPr>
            </w:pPr>
            <w:r w:rsidRPr="0086627E">
              <w:rPr>
                <w:iCs/>
                <w:sz w:val="20"/>
              </w:rPr>
              <w:t>A Generation Resource.</w:t>
            </w:r>
          </w:p>
          <w:tbl>
            <w:tblPr>
              <w:tblW w:w="6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1E0" w:firstRow="1" w:lastRow="1" w:firstColumn="1" w:lastColumn="1" w:noHBand="0" w:noVBand="0"/>
            </w:tblPr>
            <w:tblGrid>
              <w:gridCol w:w="6261"/>
            </w:tblGrid>
            <w:tr w:rsidR="005B1CA7" w:rsidRPr="00DE2E54" w14:paraId="2AD082FD" w14:textId="77777777" w:rsidTr="00253557">
              <w:tc>
                <w:tcPr>
                  <w:tcW w:w="6261" w:type="dxa"/>
                  <w:shd w:val="clear" w:color="auto" w:fill="E0E0E0"/>
                </w:tcPr>
                <w:p w14:paraId="46165849" w14:textId="77777777" w:rsidR="005B1CA7" w:rsidRPr="00DE2E54" w:rsidRDefault="005B1CA7" w:rsidP="005B1CA7">
                  <w:pPr>
                    <w:spacing w:before="120" w:after="240"/>
                    <w:rPr>
                      <w:b/>
                      <w:i/>
                      <w:iCs/>
                    </w:rPr>
                  </w:pPr>
                  <w:r>
                    <w:rPr>
                      <w:b/>
                      <w:i/>
                      <w:iCs/>
                    </w:rPr>
                    <w:t>[NPRR1029</w:t>
                  </w:r>
                  <w:r w:rsidRPr="00DE2E54">
                    <w:rPr>
                      <w:b/>
                      <w:i/>
                      <w:iCs/>
                    </w:rPr>
                    <w:t xml:space="preserve">:  Replace </w:t>
                  </w:r>
                  <w:r>
                    <w:rPr>
                      <w:b/>
                      <w:i/>
                      <w:iCs/>
                    </w:rPr>
                    <w:t xml:space="preserve">the definition </w:t>
                  </w:r>
                  <w:r w:rsidRPr="00DE2E54">
                    <w:rPr>
                      <w:b/>
                      <w:i/>
                      <w:iCs/>
                    </w:rPr>
                    <w:t>above with the following upon system implementation:]</w:t>
                  </w:r>
                </w:p>
                <w:p w14:paraId="6245CCD9" w14:textId="77777777" w:rsidR="005B1CA7" w:rsidRPr="005B1CA7" w:rsidRDefault="005B1CA7" w:rsidP="005B1CA7">
                  <w:pPr>
                    <w:spacing w:after="60"/>
                    <w:rPr>
                      <w:bCs/>
                      <w:iCs/>
                    </w:rPr>
                  </w:pPr>
                  <w:r w:rsidRPr="003C2A11">
                    <w:rPr>
                      <w:iCs/>
                      <w:sz w:val="20"/>
                    </w:rPr>
                    <w:t>A Generation Resource</w:t>
                  </w:r>
                  <w:r>
                    <w:rPr>
                      <w:iCs/>
                      <w:sz w:val="20"/>
                    </w:rPr>
                    <w:t xml:space="preserve"> or ESR</w:t>
                  </w:r>
                  <w:r w:rsidRPr="003C2A11">
                    <w:rPr>
                      <w:iCs/>
                      <w:sz w:val="20"/>
                    </w:rPr>
                    <w:t>.</w:t>
                  </w:r>
                </w:p>
              </w:tc>
            </w:tr>
          </w:tbl>
          <w:p w14:paraId="1C3DFBCE" w14:textId="77777777" w:rsidR="00424F6A" w:rsidRPr="0086627E" w:rsidRDefault="00424F6A" w:rsidP="00424F6A">
            <w:pPr>
              <w:spacing w:after="60"/>
              <w:rPr>
                <w:iCs/>
                <w:sz w:val="20"/>
              </w:rPr>
            </w:pPr>
          </w:p>
        </w:tc>
      </w:tr>
      <w:tr w:rsidR="00424F6A" w:rsidRPr="0086627E" w14:paraId="6736142F"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25F0C778" w14:textId="77777777" w:rsidR="00424F6A" w:rsidRPr="0086627E" w:rsidRDefault="00424F6A" w:rsidP="00424F6A">
            <w:pPr>
              <w:spacing w:after="60"/>
              <w:rPr>
                <w:i/>
                <w:iCs/>
                <w:sz w:val="20"/>
              </w:rPr>
            </w:pPr>
            <w:r w:rsidRPr="0086627E">
              <w:rPr>
                <w:i/>
                <w:iCs/>
                <w:sz w:val="20"/>
              </w:rPr>
              <w:t>d</w:t>
            </w:r>
          </w:p>
        </w:tc>
        <w:tc>
          <w:tcPr>
            <w:tcW w:w="607" w:type="pct"/>
            <w:tcBorders>
              <w:top w:val="single" w:sz="6" w:space="0" w:color="auto"/>
              <w:left w:val="single" w:sz="6" w:space="0" w:color="auto"/>
              <w:bottom w:val="single" w:sz="6" w:space="0" w:color="auto"/>
              <w:right w:val="single" w:sz="6" w:space="0" w:color="auto"/>
            </w:tcBorders>
            <w:hideMark/>
          </w:tcPr>
          <w:p w14:paraId="21210B15"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0BB2D8DC" w14:textId="77777777" w:rsidR="00424F6A" w:rsidRPr="0086627E" w:rsidRDefault="00424F6A" w:rsidP="00424F6A">
            <w:pPr>
              <w:spacing w:after="60"/>
              <w:rPr>
                <w:iCs/>
                <w:sz w:val="20"/>
              </w:rPr>
            </w:pPr>
            <w:r w:rsidRPr="0086627E">
              <w:rPr>
                <w:iCs/>
                <w:sz w:val="20"/>
              </w:rPr>
              <w:t>An Operating Day during a Market Suspension</w:t>
            </w:r>
            <w:r w:rsidRPr="0086627E">
              <w:rPr>
                <w:i/>
                <w:iCs/>
                <w:sz w:val="20"/>
              </w:rPr>
              <w:t xml:space="preserve"> </w:t>
            </w:r>
            <w:r w:rsidRPr="0086627E">
              <w:rPr>
                <w:iCs/>
                <w:sz w:val="20"/>
              </w:rPr>
              <w:t>event.</w:t>
            </w:r>
          </w:p>
        </w:tc>
      </w:tr>
      <w:tr w:rsidR="00424F6A" w:rsidRPr="0086627E" w14:paraId="19FA7711"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20B14BFB" w14:textId="77777777" w:rsidR="00424F6A" w:rsidRPr="0086627E" w:rsidRDefault="00424F6A" w:rsidP="00424F6A">
            <w:pPr>
              <w:spacing w:after="60"/>
              <w:rPr>
                <w:i/>
                <w:iCs/>
                <w:sz w:val="20"/>
              </w:rPr>
            </w:pPr>
            <w:r w:rsidRPr="0086627E">
              <w:rPr>
                <w:i/>
                <w:iCs/>
                <w:sz w:val="20"/>
              </w:rPr>
              <w:t>i</w:t>
            </w:r>
          </w:p>
        </w:tc>
        <w:tc>
          <w:tcPr>
            <w:tcW w:w="607" w:type="pct"/>
            <w:tcBorders>
              <w:top w:val="single" w:sz="6" w:space="0" w:color="auto"/>
              <w:left w:val="single" w:sz="6" w:space="0" w:color="auto"/>
              <w:bottom w:val="single" w:sz="6" w:space="0" w:color="auto"/>
              <w:right w:val="single" w:sz="6" w:space="0" w:color="auto"/>
            </w:tcBorders>
            <w:hideMark/>
          </w:tcPr>
          <w:p w14:paraId="4CBCAE28"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7D72036D" w14:textId="77777777" w:rsidR="00424F6A" w:rsidRPr="0086627E" w:rsidRDefault="00424F6A" w:rsidP="00424F6A">
            <w:pPr>
              <w:spacing w:after="60"/>
              <w:rPr>
                <w:iCs/>
                <w:sz w:val="20"/>
              </w:rPr>
            </w:pPr>
            <w:r w:rsidRPr="0086627E">
              <w:rPr>
                <w:iCs/>
                <w:sz w:val="20"/>
              </w:rPr>
              <w:t>A 15-minute Settlement Interval within the hour of an Operating Day of a Market Suspension</w:t>
            </w:r>
            <w:r w:rsidRPr="0086627E">
              <w:rPr>
                <w:i/>
                <w:iCs/>
                <w:sz w:val="20"/>
              </w:rPr>
              <w:t xml:space="preserve"> </w:t>
            </w:r>
            <w:r w:rsidRPr="0086627E">
              <w:rPr>
                <w:iCs/>
                <w:sz w:val="20"/>
              </w:rPr>
              <w:t>event.</w:t>
            </w:r>
          </w:p>
        </w:tc>
      </w:tr>
      <w:tr w:rsidR="00424F6A" w:rsidRPr="0086627E" w14:paraId="5BC0DE9D"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38B6946D" w14:textId="77777777" w:rsidR="00424F6A" w:rsidRPr="0086627E" w:rsidRDefault="00424F6A" w:rsidP="00424F6A">
            <w:pPr>
              <w:spacing w:after="60"/>
              <w:rPr>
                <w:i/>
                <w:iCs/>
                <w:sz w:val="20"/>
              </w:rPr>
            </w:pPr>
            <w:r w:rsidRPr="0086627E">
              <w:rPr>
                <w:i/>
                <w:iCs/>
                <w:sz w:val="20"/>
              </w:rPr>
              <w:t>s</w:t>
            </w:r>
          </w:p>
        </w:tc>
        <w:tc>
          <w:tcPr>
            <w:tcW w:w="607" w:type="pct"/>
            <w:tcBorders>
              <w:top w:val="single" w:sz="6" w:space="0" w:color="auto"/>
              <w:left w:val="single" w:sz="6" w:space="0" w:color="auto"/>
              <w:bottom w:val="single" w:sz="6" w:space="0" w:color="auto"/>
              <w:right w:val="single" w:sz="6" w:space="0" w:color="auto"/>
            </w:tcBorders>
            <w:hideMark/>
          </w:tcPr>
          <w:p w14:paraId="4F68FDDA"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09DF6F63" w14:textId="77777777" w:rsidR="00424F6A" w:rsidRPr="0086627E" w:rsidRDefault="00424F6A" w:rsidP="00424F6A">
            <w:pPr>
              <w:spacing w:after="60"/>
              <w:rPr>
                <w:iCs/>
                <w:sz w:val="20"/>
              </w:rPr>
            </w:pPr>
            <w:r w:rsidRPr="0086627E">
              <w:rPr>
                <w:iCs/>
                <w:sz w:val="20"/>
              </w:rPr>
              <w:t>A Generation Resource start during an Operating Day of a Market Suspension event.</w:t>
            </w:r>
          </w:p>
        </w:tc>
      </w:tr>
      <w:tr w:rsidR="00424F6A" w:rsidRPr="0086627E" w14:paraId="405223BA"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112908FA" w14:textId="77777777" w:rsidR="00424F6A" w:rsidRPr="0086627E" w:rsidRDefault="00424F6A" w:rsidP="00424F6A">
            <w:pPr>
              <w:spacing w:after="60"/>
              <w:rPr>
                <w:i/>
                <w:iCs/>
                <w:sz w:val="20"/>
              </w:rPr>
            </w:pPr>
            <w:r w:rsidRPr="0086627E">
              <w:rPr>
                <w:i/>
                <w:iCs/>
                <w:sz w:val="20"/>
              </w:rPr>
              <w:t>t</w:t>
            </w:r>
          </w:p>
        </w:tc>
        <w:tc>
          <w:tcPr>
            <w:tcW w:w="607" w:type="pct"/>
            <w:tcBorders>
              <w:top w:val="single" w:sz="6" w:space="0" w:color="auto"/>
              <w:left w:val="single" w:sz="6" w:space="0" w:color="auto"/>
              <w:bottom w:val="single" w:sz="6" w:space="0" w:color="auto"/>
              <w:right w:val="single" w:sz="6" w:space="0" w:color="auto"/>
            </w:tcBorders>
            <w:hideMark/>
          </w:tcPr>
          <w:p w14:paraId="6E4A0D6C"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29F1E7B0" w14:textId="77777777" w:rsidR="00424F6A" w:rsidRPr="0086627E" w:rsidRDefault="00424F6A" w:rsidP="00424F6A">
            <w:pPr>
              <w:spacing w:after="60"/>
              <w:rPr>
                <w:iCs/>
                <w:sz w:val="20"/>
              </w:rPr>
            </w:pPr>
            <w:r w:rsidRPr="0086627E">
              <w:rPr>
                <w:iCs/>
                <w:sz w:val="20"/>
              </w:rPr>
              <w:t xml:space="preserve">A transition that is eligible to have its costs included in the Market Suspension </w:t>
            </w:r>
            <w:r>
              <w:rPr>
                <w:iCs/>
                <w:sz w:val="20"/>
              </w:rPr>
              <w:t xml:space="preserve">Startup </w:t>
            </w:r>
            <w:r w:rsidRPr="0086627E">
              <w:rPr>
                <w:iCs/>
                <w:sz w:val="20"/>
              </w:rPr>
              <w:t>Cost.</w:t>
            </w:r>
          </w:p>
        </w:tc>
      </w:tr>
      <w:tr w:rsidR="00424F6A" w:rsidRPr="0086627E" w14:paraId="77C49EFE"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2A3179C7" w14:textId="77777777" w:rsidR="00424F6A" w:rsidRPr="0086627E" w:rsidRDefault="00424F6A" w:rsidP="00424F6A">
            <w:pPr>
              <w:spacing w:after="60"/>
              <w:rPr>
                <w:i/>
                <w:iCs/>
                <w:sz w:val="20"/>
              </w:rPr>
            </w:pPr>
            <w:r w:rsidRPr="0086627E">
              <w:rPr>
                <w:i/>
                <w:iCs/>
                <w:sz w:val="20"/>
              </w:rPr>
              <w:lastRenderedPageBreak/>
              <w:t>rc</w:t>
            </w:r>
          </w:p>
        </w:tc>
        <w:tc>
          <w:tcPr>
            <w:tcW w:w="607" w:type="pct"/>
            <w:tcBorders>
              <w:top w:val="single" w:sz="6" w:space="0" w:color="auto"/>
              <w:left w:val="single" w:sz="6" w:space="0" w:color="auto"/>
              <w:bottom w:val="single" w:sz="6" w:space="0" w:color="auto"/>
              <w:right w:val="single" w:sz="6" w:space="0" w:color="auto"/>
            </w:tcBorders>
            <w:hideMark/>
          </w:tcPr>
          <w:p w14:paraId="47198DA7"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3A5C08A6" w14:textId="77777777" w:rsidR="00424F6A" w:rsidRPr="0086627E" w:rsidRDefault="00424F6A" w:rsidP="00424F6A">
            <w:pPr>
              <w:spacing w:after="60"/>
              <w:rPr>
                <w:iCs/>
                <w:sz w:val="20"/>
              </w:rPr>
            </w:pPr>
            <w:r w:rsidRPr="0086627E">
              <w:rPr>
                <w:iCs/>
                <w:sz w:val="20"/>
              </w:rPr>
              <w:t>A Resource category.</w:t>
            </w:r>
          </w:p>
        </w:tc>
      </w:tr>
      <w:tr w:rsidR="00424F6A" w:rsidRPr="0086627E" w14:paraId="3DD63C68" w14:textId="77777777" w:rsidTr="00424F6A">
        <w:trPr>
          <w:cantSplit/>
        </w:trPr>
        <w:tc>
          <w:tcPr>
            <w:tcW w:w="1008" w:type="pct"/>
            <w:tcBorders>
              <w:top w:val="single" w:sz="6" w:space="0" w:color="auto"/>
              <w:left w:val="single" w:sz="4" w:space="0" w:color="auto"/>
              <w:bottom w:val="single" w:sz="6" w:space="0" w:color="auto"/>
              <w:right w:val="single" w:sz="6" w:space="0" w:color="auto"/>
            </w:tcBorders>
            <w:hideMark/>
          </w:tcPr>
          <w:p w14:paraId="4D147C8B" w14:textId="77777777" w:rsidR="00424F6A" w:rsidRPr="0086627E" w:rsidRDefault="00424F6A" w:rsidP="00424F6A">
            <w:pPr>
              <w:spacing w:after="60"/>
              <w:rPr>
                <w:i/>
                <w:iCs/>
                <w:sz w:val="20"/>
              </w:rPr>
            </w:pPr>
            <w:r w:rsidRPr="0086627E">
              <w:rPr>
                <w:i/>
                <w:iCs/>
                <w:sz w:val="20"/>
              </w:rPr>
              <w:t>afterCCGR</w:t>
            </w:r>
          </w:p>
        </w:tc>
        <w:tc>
          <w:tcPr>
            <w:tcW w:w="607" w:type="pct"/>
            <w:tcBorders>
              <w:top w:val="single" w:sz="6" w:space="0" w:color="auto"/>
              <w:left w:val="single" w:sz="6" w:space="0" w:color="auto"/>
              <w:bottom w:val="single" w:sz="6" w:space="0" w:color="auto"/>
              <w:right w:val="single" w:sz="6" w:space="0" w:color="auto"/>
            </w:tcBorders>
            <w:hideMark/>
          </w:tcPr>
          <w:p w14:paraId="25FACD85"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6" w:space="0" w:color="auto"/>
              <w:right w:val="single" w:sz="4" w:space="0" w:color="auto"/>
            </w:tcBorders>
            <w:hideMark/>
          </w:tcPr>
          <w:p w14:paraId="21AB25CF" w14:textId="77777777" w:rsidR="00424F6A" w:rsidRPr="0086627E" w:rsidRDefault="00424F6A" w:rsidP="00424F6A">
            <w:pPr>
              <w:tabs>
                <w:tab w:val="left" w:pos="945"/>
              </w:tabs>
              <w:spacing w:after="60"/>
              <w:rPr>
                <w:iCs/>
                <w:sz w:val="20"/>
              </w:rPr>
            </w:pPr>
            <w:r w:rsidRPr="0086627E">
              <w:rPr>
                <w:iCs/>
                <w:sz w:val="20"/>
              </w:rPr>
              <w:t>The Combined Cycle Generation Resource to which a Combined Cycle Train transitions.</w:t>
            </w:r>
          </w:p>
        </w:tc>
      </w:tr>
      <w:tr w:rsidR="00424F6A" w:rsidRPr="0086627E" w14:paraId="04234230" w14:textId="77777777" w:rsidTr="00424F6A">
        <w:trPr>
          <w:cantSplit/>
        </w:trPr>
        <w:tc>
          <w:tcPr>
            <w:tcW w:w="1008" w:type="pct"/>
            <w:tcBorders>
              <w:top w:val="single" w:sz="6" w:space="0" w:color="auto"/>
              <w:left w:val="single" w:sz="4" w:space="0" w:color="auto"/>
              <w:bottom w:val="single" w:sz="4" w:space="0" w:color="auto"/>
              <w:right w:val="single" w:sz="6" w:space="0" w:color="auto"/>
            </w:tcBorders>
            <w:hideMark/>
          </w:tcPr>
          <w:p w14:paraId="5ED84330" w14:textId="77777777" w:rsidR="00424F6A" w:rsidRPr="0086627E" w:rsidRDefault="00424F6A" w:rsidP="00424F6A">
            <w:pPr>
              <w:spacing w:after="60"/>
              <w:rPr>
                <w:i/>
                <w:iCs/>
                <w:sz w:val="20"/>
              </w:rPr>
            </w:pPr>
            <w:r w:rsidRPr="0086627E">
              <w:rPr>
                <w:i/>
                <w:iCs/>
                <w:sz w:val="20"/>
              </w:rPr>
              <w:t>beforeCCGR</w:t>
            </w:r>
          </w:p>
        </w:tc>
        <w:tc>
          <w:tcPr>
            <w:tcW w:w="607" w:type="pct"/>
            <w:tcBorders>
              <w:top w:val="single" w:sz="6" w:space="0" w:color="auto"/>
              <w:left w:val="single" w:sz="6" w:space="0" w:color="auto"/>
              <w:bottom w:val="single" w:sz="4" w:space="0" w:color="auto"/>
              <w:right w:val="single" w:sz="6" w:space="0" w:color="auto"/>
            </w:tcBorders>
            <w:hideMark/>
          </w:tcPr>
          <w:p w14:paraId="29966760" w14:textId="77777777" w:rsidR="00424F6A" w:rsidRPr="0086627E" w:rsidRDefault="00424F6A" w:rsidP="00424F6A">
            <w:pPr>
              <w:spacing w:after="60"/>
              <w:rPr>
                <w:iCs/>
                <w:sz w:val="20"/>
              </w:rPr>
            </w:pPr>
            <w:r w:rsidRPr="0086627E">
              <w:rPr>
                <w:iCs/>
                <w:sz w:val="20"/>
              </w:rPr>
              <w:t>None</w:t>
            </w:r>
          </w:p>
        </w:tc>
        <w:tc>
          <w:tcPr>
            <w:tcW w:w="3385" w:type="pct"/>
            <w:tcBorders>
              <w:top w:val="single" w:sz="6" w:space="0" w:color="auto"/>
              <w:left w:val="single" w:sz="6" w:space="0" w:color="auto"/>
              <w:bottom w:val="single" w:sz="4" w:space="0" w:color="auto"/>
              <w:right w:val="single" w:sz="4" w:space="0" w:color="auto"/>
            </w:tcBorders>
            <w:hideMark/>
          </w:tcPr>
          <w:p w14:paraId="0A0886AD" w14:textId="77777777" w:rsidR="00424F6A" w:rsidRPr="0086627E" w:rsidRDefault="00424F6A" w:rsidP="00424F6A">
            <w:pPr>
              <w:tabs>
                <w:tab w:val="left" w:pos="945"/>
              </w:tabs>
              <w:spacing w:after="60"/>
              <w:rPr>
                <w:iCs/>
                <w:sz w:val="20"/>
              </w:rPr>
            </w:pPr>
            <w:r w:rsidRPr="0086627E">
              <w:rPr>
                <w:iCs/>
                <w:sz w:val="20"/>
              </w:rPr>
              <w:t>The Combined Cycle Generation Resource from which a Combined Cycle Train transitions.</w:t>
            </w:r>
          </w:p>
        </w:tc>
      </w:tr>
    </w:tbl>
    <w:p w14:paraId="57AEECC6" w14:textId="77777777" w:rsidR="00424F6A" w:rsidRPr="0086627E" w:rsidRDefault="00424F6A" w:rsidP="00424F6A">
      <w:pPr>
        <w:spacing w:before="240" w:after="240"/>
        <w:ind w:left="720" w:hanging="720"/>
        <w:rPr>
          <w:iCs/>
        </w:rPr>
      </w:pPr>
      <w:r w:rsidRPr="0086627E">
        <w:rPr>
          <w:iCs/>
        </w:rPr>
        <w:t>(2)</w:t>
      </w:r>
      <w:r w:rsidRPr="0086627E">
        <w:rPr>
          <w:iCs/>
        </w:rPr>
        <w:tab/>
        <w:t>The total compensation to each QSE for the Market Suspension</w:t>
      </w:r>
      <w:r w:rsidRPr="0086627E">
        <w:rPr>
          <w:i/>
          <w:iCs/>
        </w:rPr>
        <w:t xml:space="preserve"> </w:t>
      </w:r>
      <w:r w:rsidRPr="0086627E">
        <w:rPr>
          <w:iCs/>
        </w:rPr>
        <w:t>Make-Whole Payment for an Operating Day is calculated as follows:</w:t>
      </w:r>
    </w:p>
    <w:p w14:paraId="6CBE50C1" w14:textId="6527C0C7" w:rsidR="00424F6A" w:rsidRPr="0086627E" w:rsidRDefault="00424F6A" w:rsidP="00424F6A">
      <w:pPr>
        <w:spacing w:after="240"/>
        <w:ind w:left="1440" w:hanging="720"/>
        <w:rPr>
          <w:b/>
          <w:i/>
          <w:iCs/>
          <w:vertAlign w:val="subscript"/>
          <w:lang w:val="es-ES"/>
        </w:rPr>
      </w:pPr>
      <w:r w:rsidRPr="0086627E">
        <w:rPr>
          <w:b/>
          <w:iCs/>
        </w:rPr>
        <w:t xml:space="preserve">MSMWAMTQSETOT </w:t>
      </w:r>
      <w:r w:rsidRPr="0086627E">
        <w:rPr>
          <w:b/>
          <w:i/>
          <w:iCs/>
          <w:vertAlign w:val="subscript"/>
        </w:rPr>
        <w:t>q,</w:t>
      </w:r>
      <w:r w:rsidR="0016529C">
        <w:rPr>
          <w:b/>
          <w:i/>
          <w:iCs/>
          <w:vertAlign w:val="subscript"/>
        </w:rPr>
        <w:t xml:space="preserve"> </w:t>
      </w:r>
      <w:r w:rsidRPr="0086627E">
        <w:rPr>
          <w:b/>
          <w:i/>
          <w:iCs/>
          <w:vertAlign w:val="subscript"/>
        </w:rPr>
        <w:t>d</w:t>
      </w:r>
      <w:r w:rsidRPr="0086627E">
        <w:rPr>
          <w:b/>
          <w:i/>
          <w:iCs/>
          <w:vertAlign w:val="subscript"/>
        </w:rPr>
        <w:tab/>
      </w:r>
      <w:r w:rsidRPr="0086627E">
        <w:rPr>
          <w:b/>
          <w:iCs/>
        </w:rPr>
        <w:t xml:space="preserve">=  </w:t>
      </w:r>
      <w:r w:rsidR="00F617A5">
        <w:rPr>
          <w:noProof/>
          <w:position w:val="-18"/>
        </w:rPr>
        <w:drawing>
          <wp:inline distT="0" distB="0" distL="0" distR="0" wp14:anchorId="0B5B837E" wp14:editId="7B9A2FC6">
            <wp:extent cx="191135" cy="36576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135" cy="365760"/>
                    </a:xfrm>
                    <a:prstGeom prst="rect">
                      <a:avLst/>
                    </a:prstGeom>
                    <a:noFill/>
                    <a:ln>
                      <a:noFill/>
                    </a:ln>
                  </pic:spPr>
                </pic:pic>
              </a:graphicData>
            </a:graphic>
          </wp:inline>
        </w:drawing>
      </w:r>
      <w:r w:rsidRPr="0086627E">
        <w:rPr>
          <w:b/>
          <w:iCs/>
        </w:rPr>
        <w:t xml:space="preserve">MSMWAMT </w:t>
      </w:r>
      <w:r w:rsidRPr="0086627E">
        <w:rPr>
          <w:b/>
          <w:i/>
          <w:iCs/>
          <w:vertAlign w:val="subscript"/>
        </w:rPr>
        <w:t>q,</w:t>
      </w:r>
      <w:r w:rsidR="0016529C">
        <w:rPr>
          <w:b/>
          <w:i/>
          <w:iCs/>
          <w:vertAlign w:val="subscript"/>
        </w:rPr>
        <w:t xml:space="preserve"> </w:t>
      </w:r>
      <w:r w:rsidRPr="0086627E">
        <w:rPr>
          <w:b/>
          <w:i/>
          <w:iCs/>
          <w:vertAlign w:val="subscript"/>
        </w:rPr>
        <w:t>r,</w:t>
      </w:r>
      <w:r w:rsidR="0016529C">
        <w:rPr>
          <w:b/>
          <w:i/>
          <w:iCs/>
          <w:vertAlign w:val="subscript"/>
        </w:rPr>
        <w:t xml:space="preserve"> </w:t>
      </w:r>
      <w:r w:rsidRPr="0086627E">
        <w:rPr>
          <w:b/>
          <w:i/>
          <w:iCs/>
          <w:vertAlign w:val="subscript"/>
        </w:rPr>
        <w:t>d</w:t>
      </w:r>
    </w:p>
    <w:p w14:paraId="5C2CDA5F" w14:textId="77777777" w:rsidR="00424F6A" w:rsidRPr="0086627E" w:rsidRDefault="00424F6A" w:rsidP="00424F6A">
      <w:pPr>
        <w:spacing w:after="240"/>
        <w:ind w:left="720"/>
        <w:rPr>
          <w:iCs/>
        </w:rPr>
      </w:pPr>
      <w:r w:rsidRPr="0086627E">
        <w:rPr>
          <w:iCs/>
        </w:rPr>
        <w:t>And,</w:t>
      </w:r>
    </w:p>
    <w:p w14:paraId="3FC25BD5" w14:textId="07BC4028" w:rsidR="00424F6A" w:rsidRPr="0086627E" w:rsidRDefault="00424F6A" w:rsidP="00424F6A">
      <w:pPr>
        <w:tabs>
          <w:tab w:val="left" w:pos="1440"/>
          <w:tab w:val="left" w:pos="3420"/>
        </w:tabs>
        <w:spacing w:before="240" w:after="240"/>
        <w:ind w:left="3420" w:hanging="2700"/>
        <w:rPr>
          <w:bCs/>
        </w:rPr>
      </w:pPr>
      <w:r w:rsidRPr="0086627E">
        <w:rPr>
          <w:bCs/>
        </w:rPr>
        <w:t>MSMWAMTTO</w:t>
      </w:r>
      <w:r w:rsidRPr="0016529C">
        <w:rPr>
          <w:bCs/>
        </w:rPr>
        <w:t>T</w:t>
      </w:r>
      <w:r w:rsidRPr="0016529C">
        <w:rPr>
          <w:bCs/>
          <w:i/>
          <w:vertAlign w:val="subscript"/>
        </w:rPr>
        <w:t xml:space="preserve"> d</w:t>
      </w:r>
      <w:r w:rsidRPr="0086627E">
        <w:rPr>
          <w:bCs/>
        </w:rPr>
        <w:tab/>
        <w:t>=</w:t>
      </w:r>
      <w:r w:rsidRPr="0086627E">
        <w:rPr>
          <w:bCs/>
        </w:rPr>
        <w:tab/>
        <w:t xml:space="preserve"> </w:t>
      </w:r>
      <w:r w:rsidR="00F617A5">
        <w:rPr>
          <w:noProof/>
          <w:position w:val="-22"/>
        </w:rPr>
        <w:drawing>
          <wp:inline distT="0" distB="0" distL="0" distR="0" wp14:anchorId="50D01E63" wp14:editId="7F62AE0E">
            <wp:extent cx="191135" cy="41338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135" cy="413385"/>
                    </a:xfrm>
                    <a:prstGeom prst="rect">
                      <a:avLst/>
                    </a:prstGeom>
                    <a:noFill/>
                    <a:ln>
                      <a:noFill/>
                    </a:ln>
                  </pic:spPr>
                </pic:pic>
              </a:graphicData>
            </a:graphic>
          </wp:inline>
        </w:drawing>
      </w:r>
      <w:r w:rsidRPr="0086627E">
        <w:rPr>
          <w:bCs/>
          <w:color w:val="000000"/>
        </w:rPr>
        <w:t xml:space="preserve"> </w:t>
      </w:r>
      <w:r w:rsidRPr="0086627E">
        <w:rPr>
          <w:bCs/>
        </w:rPr>
        <w:t xml:space="preserve">MSMWAMTQSETOT </w:t>
      </w:r>
      <w:r w:rsidRPr="0086627E">
        <w:rPr>
          <w:bCs/>
          <w:i/>
          <w:vertAlign w:val="subscript"/>
        </w:rPr>
        <w:t>q,</w:t>
      </w:r>
      <w:r w:rsidR="0016529C">
        <w:rPr>
          <w:bCs/>
          <w:i/>
          <w:vertAlign w:val="subscript"/>
        </w:rPr>
        <w:t xml:space="preserve"> </w:t>
      </w:r>
      <w:r w:rsidRPr="0086627E">
        <w:rPr>
          <w:bCs/>
          <w:i/>
          <w:vertAlign w:val="subscript"/>
        </w:rPr>
        <w:t>d</w:t>
      </w:r>
    </w:p>
    <w:p w14:paraId="1E49D4BF" w14:textId="77777777" w:rsidR="00424F6A" w:rsidRPr="0086627E" w:rsidRDefault="00424F6A" w:rsidP="00424F6A">
      <w:r w:rsidRPr="0086627E">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8"/>
        <w:gridCol w:w="605"/>
        <w:gridCol w:w="6487"/>
      </w:tblGrid>
      <w:tr w:rsidR="00424F6A" w:rsidRPr="0086627E" w14:paraId="2062FC00" w14:textId="77777777" w:rsidTr="00424F6A">
        <w:trPr>
          <w:cantSplit/>
          <w:tblHeader/>
        </w:trPr>
        <w:tc>
          <w:tcPr>
            <w:tcW w:w="1393" w:type="pct"/>
            <w:tcBorders>
              <w:top w:val="single" w:sz="4" w:space="0" w:color="auto"/>
              <w:left w:val="single" w:sz="4" w:space="0" w:color="auto"/>
              <w:bottom w:val="single" w:sz="4" w:space="0" w:color="auto"/>
              <w:right w:val="single" w:sz="4" w:space="0" w:color="auto"/>
            </w:tcBorders>
            <w:hideMark/>
          </w:tcPr>
          <w:p w14:paraId="1173591D" w14:textId="77777777" w:rsidR="00424F6A" w:rsidRPr="0086627E" w:rsidRDefault="00424F6A" w:rsidP="00424F6A">
            <w:pPr>
              <w:spacing w:after="240"/>
              <w:rPr>
                <w:b/>
                <w:iCs/>
                <w:sz w:val="20"/>
              </w:rPr>
            </w:pPr>
            <w:r w:rsidRPr="0086627E">
              <w:rPr>
                <w:b/>
                <w:iCs/>
                <w:sz w:val="20"/>
              </w:rPr>
              <w:t>Variable</w:t>
            </w:r>
          </w:p>
        </w:tc>
        <w:tc>
          <w:tcPr>
            <w:tcW w:w="433" w:type="pct"/>
            <w:tcBorders>
              <w:top w:val="single" w:sz="4" w:space="0" w:color="auto"/>
              <w:left w:val="single" w:sz="4" w:space="0" w:color="auto"/>
              <w:bottom w:val="single" w:sz="4" w:space="0" w:color="auto"/>
              <w:right w:val="single" w:sz="4" w:space="0" w:color="auto"/>
            </w:tcBorders>
            <w:hideMark/>
          </w:tcPr>
          <w:p w14:paraId="112E6A15" w14:textId="77777777" w:rsidR="00424F6A" w:rsidRPr="0086627E" w:rsidRDefault="00424F6A" w:rsidP="00424F6A">
            <w:pPr>
              <w:spacing w:after="240"/>
              <w:rPr>
                <w:b/>
                <w:iCs/>
                <w:sz w:val="20"/>
              </w:rPr>
            </w:pPr>
            <w:r w:rsidRPr="0086627E">
              <w:rPr>
                <w:b/>
                <w:iCs/>
                <w:sz w:val="20"/>
              </w:rPr>
              <w:t>Unit</w:t>
            </w:r>
          </w:p>
        </w:tc>
        <w:tc>
          <w:tcPr>
            <w:tcW w:w="3174" w:type="pct"/>
            <w:tcBorders>
              <w:top w:val="single" w:sz="4" w:space="0" w:color="auto"/>
              <w:left w:val="single" w:sz="4" w:space="0" w:color="auto"/>
              <w:bottom w:val="single" w:sz="4" w:space="0" w:color="auto"/>
              <w:right w:val="single" w:sz="4" w:space="0" w:color="auto"/>
            </w:tcBorders>
            <w:hideMark/>
          </w:tcPr>
          <w:p w14:paraId="3CA8521D" w14:textId="77777777" w:rsidR="00424F6A" w:rsidRPr="0086627E" w:rsidRDefault="00424F6A" w:rsidP="00424F6A">
            <w:pPr>
              <w:spacing w:after="240"/>
              <w:rPr>
                <w:b/>
                <w:iCs/>
                <w:sz w:val="20"/>
              </w:rPr>
            </w:pPr>
            <w:r w:rsidRPr="0086627E">
              <w:rPr>
                <w:b/>
                <w:iCs/>
                <w:sz w:val="20"/>
              </w:rPr>
              <w:t>Definition</w:t>
            </w:r>
          </w:p>
        </w:tc>
      </w:tr>
      <w:tr w:rsidR="00424F6A" w:rsidRPr="0086627E" w14:paraId="7F8AC439" w14:textId="77777777" w:rsidTr="00424F6A">
        <w:trPr>
          <w:cantSplit/>
        </w:trPr>
        <w:tc>
          <w:tcPr>
            <w:tcW w:w="1393" w:type="pct"/>
            <w:tcBorders>
              <w:top w:val="single" w:sz="4" w:space="0" w:color="auto"/>
              <w:left w:val="single" w:sz="4" w:space="0" w:color="auto"/>
              <w:bottom w:val="single" w:sz="4" w:space="0" w:color="auto"/>
              <w:right w:val="single" w:sz="4" w:space="0" w:color="auto"/>
            </w:tcBorders>
            <w:hideMark/>
          </w:tcPr>
          <w:p w14:paraId="106A6132" w14:textId="77777777" w:rsidR="00424F6A" w:rsidRPr="0086627E" w:rsidRDefault="00424F6A" w:rsidP="0016529C">
            <w:pPr>
              <w:spacing w:after="60"/>
              <w:rPr>
                <w:iCs/>
                <w:sz w:val="20"/>
              </w:rPr>
            </w:pPr>
            <w:r w:rsidRPr="0086627E">
              <w:rPr>
                <w:iCs/>
                <w:sz w:val="20"/>
              </w:rPr>
              <w:t>MSMWAMTQSETOT</w:t>
            </w:r>
            <w:r w:rsidRPr="0086627E">
              <w:rPr>
                <w:b/>
                <w:iCs/>
                <w:sz w:val="20"/>
              </w:rPr>
              <w:t xml:space="preserve"> </w:t>
            </w:r>
            <w:r w:rsidRPr="0086627E">
              <w:rPr>
                <w:i/>
                <w:iCs/>
                <w:sz w:val="20"/>
                <w:vertAlign w:val="subscript"/>
              </w:rPr>
              <w:t>q</w:t>
            </w:r>
            <w:r w:rsidRPr="0086627E">
              <w:rPr>
                <w:i/>
                <w:iCs/>
                <w:sz w:val="20"/>
                <w:vertAlign w:val="subscript"/>
                <w:lang w:val="es-ES"/>
              </w:rPr>
              <w:t>,</w:t>
            </w:r>
            <w:r w:rsidR="0016529C">
              <w:rPr>
                <w:i/>
                <w:iCs/>
                <w:sz w:val="20"/>
                <w:vertAlign w:val="subscript"/>
                <w:lang w:val="es-ES"/>
              </w:rPr>
              <w:t xml:space="preserve"> </w:t>
            </w:r>
            <w:r w:rsidRPr="0086627E">
              <w:rPr>
                <w:i/>
                <w:iCs/>
                <w:sz w:val="20"/>
                <w:vertAlign w:val="subscript"/>
                <w:lang w:val="es-ES"/>
              </w:rPr>
              <w:t>d</w:t>
            </w:r>
            <w:r w:rsidRPr="0086627E">
              <w:rPr>
                <w:iCs/>
                <w:sz w:val="20"/>
              </w:rPr>
              <w:t xml:space="preserve"> </w:t>
            </w:r>
          </w:p>
        </w:tc>
        <w:tc>
          <w:tcPr>
            <w:tcW w:w="433" w:type="pct"/>
            <w:tcBorders>
              <w:top w:val="single" w:sz="4" w:space="0" w:color="auto"/>
              <w:left w:val="single" w:sz="4" w:space="0" w:color="auto"/>
              <w:bottom w:val="single" w:sz="4" w:space="0" w:color="auto"/>
              <w:right w:val="single" w:sz="4" w:space="0" w:color="auto"/>
            </w:tcBorders>
            <w:hideMark/>
          </w:tcPr>
          <w:p w14:paraId="5C1F82CB" w14:textId="77777777" w:rsidR="00424F6A" w:rsidRPr="0086627E" w:rsidRDefault="00424F6A" w:rsidP="00424F6A">
            <w:pPr>
              <w:spacing w:after="60"/>
              <w:rPr>
                <w:iCs/>
                <w:sz w:val="20"/>
              </w:rPr>
            </w:pPr>
            <w:r w:rsidRPr="0086627E">
              <w:rPr>
                <w:iCs/>
                <w:sz w:val="20"/>
              </w:rPr>
              <w:t>$</w:t>
            </w:r>
          </w:p>
        </w:tc>
        <w:tc>
          <w:tcPr>
            <w:tcW w:w="3174" w:type="pct"/>
            <w:tcBorders>
              <w:top w:val="single" w:sz="4" w:space="0" w:color="auto"/>
              <w:left w:val="single" w:sz="4" w:space="0" w:color="auto"/>
              <w:bottom w:val="single" w:sz="4" w:space="0" w:color="auto"/>
              <w:right w:val="single" w:sz="4" w:space="0" w:color="auto"/>
            </w:tcBorders>
            <w:hideMark/>
          </w:tcPr>
          <w:p w14:paraId="3FE99876" w14:textId="77777777" w:rsidR="00424F6A" w:rsidRPr="0086627E" w:rsidRDefault="00424F6A" w:rsidP="00424F6A">
            <w:pPr>
              <w:spacing w:after="60"/>
              <w:rPr>
                <w:iCs/>
                <w:sz w:val="20"/>
              </w:rPr>
            </w:pPr>
            <w:r w:rsidRPr="0086627E">
              <w:rPr>
                <w:i/>
                <w:iCs/>
                <w:sz w:val="20"/>
              </w:rPr>
              <w:t>Market Suspension Make-Whole Payment per QSE</w:t>
            </w:r>
            <w:r>
              <w:rPr>
                <w:i/>
                <w:iCs/>
                <w:sz w:val="20"/>
              </w:rPr>
              <w:t xml:space="preserve"> </w:t>
            </w:r>
            <w:r w:rsidRPr="0086627E">
              <w:rPr>
                <w:i/>
                <w:iCs/>
                <w:sz w:val="20"/>
              </w:rPr>
              <w:t xml:space="preserve">– </w:t>
            </w:r>
            <w:r w:rsidRPr="0086627E">
              <w:rPr>
                <w:iCs/>
                <w:sz w:val="20"/>
              </w:rPr>
              <w:t xml:space="preserve">The total payment to QSE </w:t>
            </w:r>
            <w:r w:rsidRPr="0086627E">
              <w:rPr>
                <w:i/>
                <w:iCs/>
                <w:sz w:val="20"/>
              </w:rPr>
              <w:t>q</w:t>
            </w:r>
            <w:r w:rsidRPr="0086627E">
              <w:rPr>
                <w:iCs/>
                <w:sz w:val="20"/>
              </w:rPr>
              <w:t xml:space="preserve"> for Market</w:t>
            </w:r>
            <w:r w:rsidRPr="0086627E">
              <w:rPr>
                <w:i/>
                <w:iCs/>
                <w:sz w:val="20"/>
              </w:rPr>
              <w:t xml:space="preserve"> </w:t>
            </w:r>
            <w:r w:rsidRPr="0086627E">
              <w:rPr>
                <w:iCs/>
                <w:sz w:val="20"/>
              </w:rPr>
              <w:t>Suspension</w:t>
            </w:r>
            <w:r w:rsidRPr="0086627E">
              <w:rPr>
                <w:i/>
                <w:iCs/>
                <w:sz w:val="20"/>
              </w:rPr>
              <w:t xml:space="preserve"> </w:t>
            </w:r>
            <w:r w:rsidRPr="0086627E">
              <w:rPr>
                <w:sz w:val="20"/>
              </w:rPr>
              <w:t xml:space="preserve">Make-Whole Payment </w:t>
            </w:r>
            <w:r w:rsidRPr="0086627E">
              <w:rPr>
                <w:iCs/>
                <w:sz w:val="20"/>
              </w:rPr>
              <w:t xml:space="preserve">for the Operating Day </w:t>
            </w:r>
            <w:r w:rsidRPr="0086627E">
              <w:rPr>
                <w:i/>
                <w:iCs/>
                <w:sz w:val="20"/>
              </w:rPr>
              <w:t>d</w:t>
            </w:r>
            <w:r w:rsidRPr="0086627E">
              <w:rPr>
                <w:iCs/>
                <w:sz w:val="20"/>
              </w:rPr>
              <w:t>.</w:t>
            </w:r>
          </w:p>
        </w:tc>
      </w:tr>
      <w:tr w:rsidR="00424F6A" w:rsidRPr="0086627E" w14:paraId="231269B4" w14:textId="77777777" w:rsidTr="00424F6A">
        <w:trPr>
          <w:cantSplit/>
        </w:trPr>
        <w:tc>
          <w:tcPr>
            <w:tcW w:w="1393" w:type="pct"/>
            <w:tcBorders>
              <w:top w:val="single" w:sz="4" w:space="0" w:color="auto"/>
              <w:left w:val="single" w:sz="4" w:space="0" w:color="auto"/>
              <w:bottom w:val="single" w:sz="4" w:space="0" w:color="auto"/>
              <w:right w:val="single" w:sz="4" w:space="0" w:color="auto"/>
            </w:tcBorders>
          </w:tcPr>
          <w:p w14:paraId="0996CB5A" w14:textId="77777777" w:rsidR="00424F6A" w:rsidRPr="0086627E" w:rsidRDefault="00424F6A" w:rsidP="00424F6A">
            <w:pPr>
              <w:spacing w:after="60"/>
              <w:rPr>
                <w:b/>
                <w:iCs/>
                <w:sz w:val="20"/>
              </w:rPr>
            </w:pPr>
            <w:r w:rsidRPr="0086627E">
              <w:rPr>
                <w:iCs/>
                <w:sz w:val="20"/>
              </w:rPr>
              <w:t>MSMWAMTTO</w:t>
            </w:r>
            <w:r w:rsidRPr="0016529C">
              <w:rPr>
                <w:iCs/>
                <w:sz w:val="20"/>
              </w:rPr>
              <w:t>T</w:t>
            </w:r>
            <w:r w:rsidRPr="0016529C">
              <w:rPr>
                <w:i/>
                <w:iCs/>
                <w:sz w:val="20"/>
                <w:vertAlign w:val="subscript"/>
              </w:rPr>
              <w:t xml:space="preserve"> d</w:t>
            </w:r>
          </w:p>
        </w:tc>
        <w:tc>
          <w:tcPr>
            <w:tcW w:w="433" w:type="pct"/>
            <w:tcBorders>
              <w:top w:val="single" w:sz="4" w:space="0" w:color="auto"/>
              <w:left w:val="single" w:sz="4" w:space="0" w:color="auto"/>
              <w:bottom w:val="single" w:sz="4" w:space="0" w:color="auto"/>
              <w:right w:val="single" w:sz="4" w:space="0" w:color="auto"/>
            </w:tcBorders>
          </w:tcPr>
          <w:p w14:paraId="7903ECEC" w14:textId="77777777" w:rsidR="00424F6A" w:rsidRPr="0086627E" w:rsidRDefault="00424F6A" w:rsidP="00424F6A">
            <w:pPr>
              <w:spacing w:after="60"/>
              <w:rPr>
                <w:iCs/>
                <w:sz w:val="20"/>
              </w:rPr>
            </w:pPr>
            <w:r w:rsidRPr="0086627E">
              <w:rPr>
                <w:iCs/>
                <w:sz w:val="20"/>
              </w:rPr>
              <w:t>$</w:t>
            </w:r>
          </w:p>
        </w:tc>
        <w:tc>
          <w:tcPr>
            <w:tcW w:w="3174" w:type="pct"/>
            <w:tcBorders>
              <w:top w:val="single" w:sz="4" w:space="0" w:color="auto"/>
              <w:left w:val="single" w:sz="4" w:space="0" w:color="auto"/>
              <w:bottom w:val="single" w:sz="4" w:space="0" w:color="auto"/>
              <w:right w:val="single" w:sz="4" w:space="0" w:color="auto"/>
            </w:tcBorders>
          </w:tcPr>
          <w:p w14:paraId="26A5008A" w14:textId="77777777" w:rsidR="00424F6A" w:rsidRPr="0086627E" w:rsidRDefault="00424F6A" w:rsidP="00424F6A">
            <w:pPr>
              <w:spacing w:after="60"/>
              <w:rPr>
                <w:i/>
                <w:iCs/>
                <w:sz w:val="20"/>
              </w:rPr>
            </w:pPr>
            <w:r w:rsidRPr="0086627E">
              <w:rPr>
                <w:i/>
                <w:iCs/>
                <w:sz w:val="20"/>
              </w:rPr>
              <w:t xml:space="preserve">Market Suspension Make-Whole Payment Total – </w:t>
            </w:r>
            <w:r w:rsidRPr="0086627E">
              <w:rPr>
                <w:iCs/>
                <w:sz w:val="20"/>
              </w:rPr>
              <w:t>The total payment to all QSEs for Market</w:t>
            </w:r>
            <w:r w:rsidRPr="0086627E">
              <w:rPr>
                <w:i/>
                <w:iCs/>
                <w:sz w:val="20"/>
              </w:rPr>
              <w:t xml:space="preserve"> </w:t>
            </w:r>
            <w:r w:rsidRPr="0086627E">
              <w:rPr>
                <w:iCs/>
                <w:sz w:val="20"/>
              </w:rPr>
              <w:t>Suspension</w:t>
            </w:r>
            <w:r w:rsidRPr="0086627E">
              <w:rPr>
                <w:i/>
                <w:iCs/>
                <w:sz w:val="20"/>
              </w:rPr>
              <w:t xml:space="preserve"> </w:t>
            </w:r>
            <w:r w:rsidRPr="0086627E">
              <w:rPr>
                <w:sz w:val="20"/>
              </w:rPr>
              <w:t xml:space="preserve">Make-Whole Payment </w:t>
            </w:r>
            <w:r w:rsidRPr="0086627E">
              <w:rPr>
                <w:iCs/>
                <w:sz w:val="20"/>
              </w:rPr>
              <w:t xml:space="preserve">for the Operating Day.  </w:t>
            </w:r>
          </w:p>
        </w:tc>
      </w:tr>
      <w:tr w:rsidR="00424F6A" w:rsidRPr="0086627E" w14:paraId="543B1C52" w14:textId="77777777" w:rsidTr="00424F6A">
        <w:trPr>
          <w:cantSplit/>
        </w:trPr>
        <w:tc>
          <w:tcPr>
            <w:tcW w:w="1393" w:type="pct"/>
            <w:tcBorders>
              <w:top w:val="single" w:sz="4" w:space="0" w:color="auto"/>
              <w:left w:val="single" w:sz="4" w:space="0" w:color="auto"/>
              <w:bottom w:val="single" w:sz="4" w:space="0" w:color="auto"/>
              <w:right w:val="single" w:sz="4" w:space="0" w:color="auto"/>
            </w:tcBorders>
          </w:tcPr>
          <w:p w14:paraId="146DE161" w14:textId="77777777" w:rsidR="00424F6A" w:rsidRPr="0086627E" w:rsidRDefault="00424F6A" w:rsidP="00424F6A">
            <w:pPr>
              <w:spacing w:after="240"/>
              <w:ind w:left="720" w:hanging="720"/>
              <w:rPr>
                <w:i/>
                <w:iCs/>
                <w:sz w:val="20"/>
                <w:vertAlign w:val="subscript"/>
                <w:lang w:val="es-ES"/>
              </w:rPr>
            </w:pPr>
            <w:r w:rsidRPr="0086627E">
              <w:rPr>
                <w:iCs/>
                <w:sz w:val="20"/>
              </w:rPr>
              <w:t xml:space="preserve">MSMWAMT </w:t>
            </w:r>
            <w:r w:rsidRPr="0086627E">
              <w:rPr>
                <w:i/>
                <w:iCs/>
                <w:sz w:val="20"/>
                <w:vertAlign w:val="subscript"/>
              </w:rPr>
              <w:t>q,</w:t>
            </w:r>
            <w:r w:rsidR="0016529C">
              <w:rPr>
                <w:i/>
                <w:iCs/>
                <w:sz w:val="20"/>
                <w:vertAlign w:val="subscript"/>
              </w:rPr>
              <w:t xml:space="preserve"> </w:t>
            </w:r>
            <w:r w:rsidRPr="0086627E">
              <w:rPr>
                <w:i/>
                <w:iCs/>
                <w:sz w:val="20"/>
                <w:vertAlign w:val="subscript"/>
              </w:rPr>
              <w:t>r,</w:t>
            </w:r>
            <w:r w:rsidR="0016529C">
              <w:rPr>
                <w:i/>
                <w:iCs/>
                <w:sz w:val="20"/>
                <w:vertAlign w:val="subscript"/>
              </w:rPr>
              <w:t xml:space="preserve"> </w:t>
            </w:r>
            <w:r w:rsidRPr="0086627E">
              <w:rPr>
                <w:i/>
                <w:iCs/>
                <w:sz w:val="20"/>
                <w:vertAlign w:val="subscript"/>
              </w:rPr>
              <w:t>d</w:t>
            </w:r>
          </w:p>
          <w:p w14:paraId="566C088C" w14:textId="77777777" w:rsidR="00424F6A" w:rsidRPr="0086627E" w:rsidRDefault="00424F6A" w:rsidP="00424F6A">
            <w:pPr>
              <w:spacing w:after="60"/>
              <w:rPr>
                <w:iCs/>
                <w:sz w:val="20"/>
              </w:rPr>
            </w:pPr>
          </w:p>
        </w:tc>
        <w:tc>
          <w:tcPr>
            <w:tcW w:w="433" w:type="pct"/>
            <w:tcBorders>
              <w:top w:val="single" w:sz="4" w:space="0" w:color="auto"/>
              <w:left w:val="single" w:sz="4" w:space="0" w:color="auto"/>
              <w:bottom w:val="single" w:sz="4" w:space="0" w:color="auto"/>
              <w:right w:val="single" w:sz="4" w:space="0" w:color="auto"/>
            </w:tcBorders>
            <w:hideMark/>
          </w:tcPr>
          <w:p w14:paraId="0990D98D" w14:textId="77777777" w:rsidR="00424F6A" w:rsidRPr="0086627E" w:rsidRDefault="00424F6A" w:rsidP="00424F6A">
            <w:pPr>
              <w:spacing w:after="60"/>
              <w:rPr>
                <w:i/>
                <w:iCs/>
                <w:sz w:val="20"/>
              </w:rPr>
            </w:pPr>
            <w:r w:rsidRPr="0086627E">
              <w:rPr>
                <w:iCs/>
                <w:sz w:val="20"/>
              </w:rPr>
              <w:t>$</w:t>
            </w:r>
          </w:p>
        </w:tc>
        <w:tc>
          <w:tcPr>
            <w:tcW w:w="3174" w:type="pct"/>
            <w:tcBorders>
              <w:top w:val="single" w:sz="4" w:space="0" w:color="auto"/>
              <w:left w:val="single" w:sz="4" w:space="0" w:color="auto"/>
              <w:bottom w:val="single" w:sz="4" w:space="0" w:color="auto"/>
              <w:right w:val="single" w:sz="4" w:space="0" w:color="auto"/>
            </w:tcBorders>
            <w:hideMark/>
          </w:tcPr>
          <w:p w14:paraId="14F69EE9" w14:textId="77777777" w:rsidR="00424F6A" w:rsidRPr="0086627E" w:rsidRDefault="00424F6A" w:rsidP="00424F6A">
            <w:pPr>
              <w:spacing w:after="60"/>
              <w:rPr>
                <w:iCs/>
                <w:sz w:val="20"/>
              </w:rPr>
            </w:pPr>
            <w:r w:rsidRPr="0086627E">
              <w:rPr>
                <w:i/>
                <w:iCs/>
                <w:sz w:val="20"/>
              </w:rPr>
              <w:t>Market Suspension Make-Whole Payment</w:t>
            </w:r>
            <w:r>
              <w:rPr>
                <w:i/>
                <w:iCs/>
                <w:sz w:val="20"/>
              </w:rPr>
              <w:t xml:space="preserve"> </w:t>
            </w:r>
            <w:r w:rsidRPr="0086627E">
              <w:rPr>
                <w:i/>
                <w:iCs/>
                <w:sz w:val="20"/>
              </w:rPr>
              <w:t xml:space="preserve">– </w:t>
            </w:r>
            <w:r w:rsidRPr="0086627E">
              <w:rPr>
                <w:iCs/>
                <w:sz w:val="20"/>
              </w:rPr>
              <w:t>The Market</w:t>
            </w:r>
            <w:r w:rsidRPr="0086627E">
              <w:rPr>
                <w:i/>
                <w:iCs/>
                <w:sz w:val="20"/>
              </w:rPr>
              <w:t xml:space="preserve"> </w:t>
            </w:r>
            <w:r w:rsidRPr="0086627E">
              <w:rPr>
                <w:iCs/>
                <w:sz w:val="20"/>
              </w:rPr>
              <w:t>Suspension</w:t>
            </w:r>
            <w:r w:rsidRPr="0086627E">
              <w:rPr>
                <w:i/>
                <w:iCs/>
                <w:sz w:val="20"/>
              </w:rPr>
              <w:t xml:space="preserve"> </w:t>
            </w:r>
            <w:r w:rsidRPr="0086627E">
              <w:rPr>
                <w:iCs/>
                <w:sz w:val="20"/>
              </w:rPr>
              <w:t xml:space="preserve">Make-Whole Payment to the QSE </w:t>
            </w:r>
            <w:r w:rsidRPr="0086627E">
              <w:rPr>
                <w:i/>
                <w:iCs/>
                <w:sz w:val="20"/>
              </w:rPr>
              <w:t>q,</w:t>
            </w:r>
            <w:r w:rsidRPr="0086627E">
              <w:rPr>
                <w:iCs/>
                <w:sz w:val="20"/>
              </w:rPr>
              <w:t xml:space="preserve"> for Resource </w:t>
            </w:r>
            <w:r w:rsidRPr="0086627E">
              <w:rPr>
                <w:i/>
                <w:iCs/>
                <w:sz w:val="20"/>
              </w:rPr>
              <w:t>r</w:t>
            </w:r>
            <w:r w:rsidRPr="0086627E">
              <w:rPr>
                <w:iCs/>
                <w:sz w:val="20"/>
              </w:rPr>
              <w:t xml:space="preserve">, for the Operating Day </w:t>
            </w:r>
            <w:r w:rsidRPr="0086627E">
              <w:rPr>
                <w:i/>
                <w:iCs/>
                <w:sz w:val="20"/>
              </w:rPr>
              <w:t>d</w:t>
            </w:r>
            <w:r w:rsidRPr="0086627E">
              <w:rPr>
                <w:iCs/>
                <w:sz w:val="20"/>
              </w:rPr>
              <w:t xml:space="preserve">.  Where for a Combined Cycle Train, the Resource </w:t>
            </w:r>
            <w:r w:rsidRPr="0086627E">
              <w:rPr>
                <w:i/>
                <w:iCs/>
                <w:sz w:val="20"/>
              </w:rPr>
              <w:t xml:space="preserve">r </w:t>
            </w:r>
            <w:r w:rsidRPr="0086627E">
              <w:rPr>
                <w:iCs/>
                <w:sz w:val="20"/>
              </w:rPr>
              <w:t>is the Combined Cycle Train.</w:t>
            </w:r>
          </w:p>
        </w:tc>
      </w:tr>
      <w:tr w:rsidR="00424F6A" w:rsidRPr="0086627E" w14:paraId="7B7AE130" w14:textId="77777777" w:rsidTr="00424F6A">
        <w:trPr>
          <w:cantSplit/>
        </w:trPr>
        <w:tc>
          <w:tcPr>
            <w:tcW w:w="1393" w:type="pct"/>
            <w:tcBorders>
              <w:top w:val="single" w:sz="4" w:space="0" w:color="auto"/>
              <w:left w:val="single" w:sz="4" w:space="0" w:color="auto"/>
              <w:bottom w:val="single" w:sz="4" w:space="0" w:color="auto"/>
              <w:right w:val="single" w:sz="4" w:space="0" w:color="auto"/>
            </w:tcBorders>
            <w:hideMark/>
          </w:tcPr>
          <w:p w14:paraId="7ABA6128" w14:textId="77777777" w:rsidR="00424F6A" w:rsidRPr="0086627E" w:rsidRDefault="00424F6A" w:rsidP="00424F6A">
            <w:pPr>
              <w:spacing w:after="60"/>
              <w:rPr>
                <w:i/>
                <w:iCs/>
                <w:sz w:val="20"/>
              </w:rPr>
            </w:pPr>
            <w:r w:rsidRPr="0086627E">
              <w:rPr>
                <w:i/>
                <w:iCs/>
                <w:sz w:val="20"/>
              </w:rPr>
              <w:t>q</w:t>
            </w:r>
          </w:p>
        </w:tc>
        <w:tc>
          <w:tcPr>
            <w:tcW w:w="433" w:type="pct"/>
            <w:tcBorders>
              <w:top w:val="single" w:sz="4" w:space="0" w:color="auto"/>
              <w:left w:val="single" w:sz="4" w:space="0" w:color="auto"/>
              <w:bottom w:val="single" w:sz="4" w:space="0" w:color="auto"/>
              <w:right w:val="single" w:sz="4" w:space="0" w:color="auto"/>
            </w:tcBorders>
            <w:hideMark/>
          </w:tcPr>
          <w:p w14:paraId="5B2E46E6" w14:textId="77777777" w:rsidR="00424F6A" w:rsidRPr="0086627E" w:rsidRDefault="00424F6A" w:rsidP="00424F6A">
            <w:pPr>
              <w:spacing w:after="60"/>
              <w:rPr>
                <w:iCs/>
                <w:sz w:val="20"/>
              </w:rPr>
            </w:pPr>
            <w:r w:rsidRPr="0086627E">
              <w:rPr>
                <w:iCs/>
                <w:sz w:val="20"/>
              </w:rPr>
              <w:t>none</w:t>
            </w:r>
          </w:p>
        </w:tc>
        <w:tc>
          <w:tcPr>
            <w:tcW w:w="3174" w:type="pct"/>
            <w:tcBorders>
              <w:top w:val="single" w:sz="4" w:space="0" w:color="auto"/>
              <w:left w:val="single" w:sz="4" w:space="0" w:color="auto"/>
              <w:bottom w:val="single" w:sz="4" w:space="0" w:color="auto"/>
              <w:right w:val="single" w:sz="4" w:space="0" w:color="auto"/>
            </w:tcBorders>
            <w:hideMark/>
          </w:tcPr>
          <w:p w14:paraId="1962B9B4" w14:textId="77777777" w:rsidR="00424F6A" w:rsidRPr="0086627E" w:rsidRDefault="00424F6A" w:rsidP="00424F6A">
            <w:pPr>
              <w:spacing w:after="60"/>
              <w:rPr>
                <w:iCs/>
                <w:sz w:val="20"/>
              </w:rPr>
            </w:pPr>
            <w:r w:rsidRPr="0086627E">
              <w:rPr>
                <w:iCs/>
                <w:sz w:val="20"/>
              </w:rPr>
              <w:t>A QSE.</w:t>
            </w:r>
          </w:p>
        </w:tc>
      </w:tr>
      <w:tr w:rsidR="00424F6A" w:rsidRPr="0086627E" w14:paraId="4CE4CD04" w14:textId="77777777" w:rsidTr="00424F6A">
        <w:trPr>
          <w:cantSplit/>
        </w:trPr>
        <w:tc>
          <w:tcPr>
            <w:tcW w:w="1393" w:type="pct"/>
            <w:tcBorders>
              <w:top w:val="single" w:sz="4" w:space="0" w:color="auto"/>
              <w:left w:val="single" w:sz="4" w:space="0" w:color="auto"/>
              <w:bottom w:val="single" w:sz="4" w:space="0" w:color="auto"/>
              <w:right w:val="single" w:sz="4" w:space="0" w:color="auto"/>
            </w:tcBorders>
            <w:hideMark/>
          </w:tcPr>
          <w:p w14:paraId="341DF47C" w14:textId="77777777" w:rsidR="00424F6A" w:rsidRPr="0086627E" w:rsidRDefault="00424F6A" w:rsidP="00424F6A">
            <w:pPr>
              <w:spacing w:after="60"/>
              <w:rPr>
                <w:i/>
                <w:iCs/>
                <w:sz w:val="20"/>
              </w:rPr>
            </w:pPr>
            <w:r w:rsidRPr="0086627E">
              <w:rPr>
                <w:i/>
                <w:iCs/>
                <w:sz w:val="20"/>
              </w:rPr>
              <w:t>r</w:t>
            </w:r>
          </w:p>
        </w:tc>
        <w:tc>
          <w:tcPr>
            <w:tcW w:w="433" w:type="pct"/>
            <w:tcBorders>
              <w:top w:val="single" w:sz="4" w:space="0" w:color="auto"/>
              <w:left w:val="single" w:sz="4" w:space="0" w:color="auto"/>
              <w:bottom w:val="single" w:sz="4" w:space="0" w:color="auto"/>
              <w:right w:val="single" w:sz="4" w:space="0" w:color="auto"/>
            </w:tcBorders>
            <w:hideMark/>
          </w:tcPr>
          <w:p w14:paraId="7C39113C" w14:textId="77777777" w:rsidR="00424F6A" w:rsidRPr="0086627E" w:rsidRDefault="00424F6A" w:rsidP="00424F6A">
            <w:pPr>
              <w:spacing w:after="60"/>
              <w:rPr>
                <w:iCs/>
                <w:sz w:val="20"/>
              </w:rPr>
            </w:pPr>
            <w:r w:rsidRPr="0086627E">
              <w:rPr>
                <w:iCs/>
                <w:sz w:val="20"/>
              </w:rPr>
              <w:t>none</w:t>
            </w:r>
          </w:p>
        </w:tc>
        <w:tc>
          <w:tcPr>
            <w:tcW w:w="3174" w:type="pct"/>
            <w:tcBorders>
              <w:top w:val="single" w:sz="4" w:space="0" w:color="auto"/>
              <w:left w:val="single" w:sz="4" w:space="0" w:color="auto"/>
              <w:bottom w:val="single" w:sz="4" w:space="0" w:color="auto"/>
              <w:right w:val="single" w:sz="4" w:space="0" w:color="auto"/>
            </w:tcBorders>
            <w:hideMark/>
          </w:tcPr>
          <w:p w14:paraId="345722FC" w14:textId="77777777" w:rsidR="005B1CA7" w:rsidRPr="0086627E" w:rsidRDefault="00424F6A" w:rsidP="00424F6A">
            <w:pPr>
              <w:spacing w:after="60"/>
              <w:rPr>
                <w:iCs/>
                <w:sz w:val="20"/>
              </w:rPr>
            </w:pPr>
            <w:r w:rsidRPr="0086627E">
              <w:rPr>
                <w:iCs/>
                <w:sz w:val="20"/>
              </w:rPr>
              <w:t>A Generation Resource.</w:t>
            </w:r>
          </w:p>
          <w:tbl>
            <w:tblPr>
              <w:tblW w:w="6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6261"/>
            </w:tblGrid>
            <w:tr w:rsidR="005B1CA7" w:rsidRPr="00DE2E54" w14:paraId="05938CE8" w14:textId="77777777" w:rsidTr="00253557">
              <w:tc>
                <w:tcPr>
                  <w:tcW w:w="6261" w:type="dxa"/>
                  <w:shd w:val="clear" w:color="auto" w:fill="E0E0E0"/>
                </w:tcPr>
                <w:p w14:paraId="0DE5DE83" w14:textId="77777777" w:rsidR="005B1CA7" w:rsidRPr="00DE2E54" w:rsidRDefault="005B1CA7" w:rsidP="005B1CA7">
                  <w:pPr>
                    <w:spacing w:before="120" w:after="240"/>
                    <w:rPr>
                      <w:b/>
                      <w:i/>
                      <w:iCs/>
                    </w:rPr>
                  </w:pPr>
                  <w:r>
                    <w:rPr>
                      <w:b/>
                      <w:i/>
                      <w:iCs/>
                    </w:rPr>
                    <w:t>[NPRR1029</w:t>
                  </w:r>
                  <w:r w:rsidRPr="00DE2E54">
                    <w:rPr>
                      <w:b/>
                      <w:i/>
                      <w:iCs/>
                    </w:rPr>
                    <w:t xml:space="preserve">:  Replace </w:t>
                  </w:r>
                  <w:r>
                    <w:rPr>
                      <w:b/>
                      <w:i/>
                      <w:iCs/>
                    </w:rPr>
                    <w:t xml:space="preserve">the definition </w:t>
                  </w:r>
                  <w:r w:rsidRPr="00DE2E54">
                    <w:rPr>
                      <w:b/>
                      <w:i/>
                      <w:iCs/>
                    </w:rPr>
                    <w:t>above with the following upon system implementation:]</w:t>
                  </w:r>
                </w:p>
                <w:p w14:paraId="46960D93" w14:textId="77777777" w:rsidR="005B1CA7" w:rsidRPr="005B1CA7" w:rsidRDefault="005B1CA7" w:rsidP="005B1CA7">
                  <w:pPr>
                    <w:spacing w:after="60"/>
                    <w:rPr>
                      <w:bCs/>
                      <w:iCs/>
                    </w:rPr>
                  </w:pPr>
                  <w:r w:rsidRPr="003C2A11">
                    <w:rPr>
                      <w:iCs/>
                      <w:sz w:val="20"/>
                    </w:rPr>
                    <w:t>A Generation Resource</w:t>
                  </w:r>
                  <w:r>
                    <w:rPr>
                      <w:iCs/>
                      <w:sz w:val="20"/>
                    </w:rPr>
                    <w:t xml:space="preserve"> or ESR</w:t>
                  </w:r>
                  <w:r w:rsidRPr="003C2A11">
                    <w:rPr>
                      <w:iCs/>
                      <w:sz w:val="20"/>
                    </w:rPr>
                    <w:t>.</w:t>
                  </w:r>
                </w:p>
              </w:tc>
            </w:tr>
          </w:tbl>
          <w:p w14:paraId="08916538" w14:textId="77777777" w:rsidR="00424F6A" w:rsidRPr="0086627E" w:rsidRDefault="00424F6A" w:rsidP="00424F6A">
            <w:pPr>
              <w:spacing w:after="60"/>
              <w:rPr>
                <w:iCs/>
                <w:sz w:val="20"/>
              </w:rPr>
            </w:pPr>
          </w:p>
        </w:tc>
      </w:tr>
      <w:tr w:rsidR="00424F6A" w:rsidRPr="0086627E" w14:paraId="1A57E850" w14:textId="77777777" w:rsidTr="00424F6A">
        <w:trPr>
          <w:cantSplit/>
        </w:trPr>
        <w:tc>
          <w:tcPr>
            <w:tcW w:w="1393" w:type="pct"/>
            <w:tcBorders>
              <w:top w:val="single" w:sz="4" w:space="0" w:color="auto"/>
              <w:left w:val="single" w:sz="4" w:space="0" w:color="auto"/>
              <w:bottom w:val="single" w:sz="4" w:space="0" w:color="auto"/>
              <w:right w:val="single" w:sz="4" w:space="0" w:color="auto"/>
            </w:tcBorders>
          </w:tcPr>
          <w:p w14:paraId="0099EAB9" w14:textId="77777777" w:rsidR="00424F6A" w:rsidRPr="0086627E" w:rsidRDefault="00424F6A" w:rsidP="00424F6A">
            <w:pPr>
              <w:spacing w:after="60"/>
              <w:rPr>
                <w:i/>
                <w:iCs/>
                <w:sz w:val="20"/>
              </w:rPr>
            </w:pPr>
            <w:r w:rsidRPr="0086627E">
              <w:rPr>
                <w:i/>
                <w:iCs/>
                <w:sz w:val="20"/>
              </w:rPr>
              <w:t>d</w:t>
            </w:r>
          </w:p>
        </w:tc>
        <w:tc>
          <w:tcPr>
            <w:tcW w:w="433" w:type="pct"/>
            <w:tcBorders>
              <w:top w:val="single" w:sz="4" w:space="0" w:color="auto"/>
              <w:left w:val="single" w:sz="4" w:space="0" w:color="auto"/>
              <w:bottom w:val="single" w:sz="4" w:space="0" w:color="auto"/>
              <w:right w:val="single" w:sz="4" w:space="0" w:color="auto"/>
            </w:tcBorders>
          </w:tcPr>
          <w:p w14:paraId="2BCE6DA3" w14:textId="77777777" w:rsidR="00424F6A" w:rsidRPr="0086627E" w:rsidRDefault="00424F6A" w:rsidP="00424F6A">
            <w:pPr>
              <w:spacing w:after="60"/>
              <w:rPr>
                <w:iCs/>
                <w:sz w:val="20"/>
              </w:rPr>
            </w:pPr>
            <w:r w:rsidRPr="0086627E">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2950C30F" w14:textId="77777777" w:rsidR="00424F6A" w:rsidRPr="0086627E" w:rsidRDefault="00424F6A" w:rsidP="00424F6A">
            <w:pPr>
              <w:spacing w:after="60"/>
              <w:rPr>
                <w:iCs/>
                <w:sz w:val="20"/>
              </w:rPr>
            </w:pPr>
            <w:r w:rsidRPr="0086627E">
              <w:rPr>
                <w:iCs/>
                <w:sz w:val="20"/>
              </w:rPr>
              <w:t>An Operating Day during a Market Suspension</w:t>
            </w:r>
            <w:r w:rsidRPr="0086627E">
              <w:rPr>
                <w:i/>
                <w:iCs/>
                <w:sz w:val="20"/>
              </w:rPr>
              <w:t xml:space="preserve"> </w:t>
            </w:r>
            <w:r w:rsidRPr="0086627E">
              <w:rPr>
                <w:iCs/>
                <w:sz w:val="20"/>
              </w:rPr>
              <w:t>event.</w:t>
            </w:r>
          </w:p>
        </w:tc>
      </w:tr>
    </w:tbl>
    <w:p w14:paraId="3977F654" w14:textId="77777777" w:rsidR="00424F6A" w:rsidRPr="0086627E" w:rsidRDefault="00424F6A" w:rsidP="00424F6A">
      <w:pPr>
        <w:spacing w:before="240" w:after="240"/>
        <w:ind w:left="720" w:hanging="720"/>
        <w:rPr>
          <w:iCs/>
        </w:rPr>
      </w:pPr>
      <w:bookmarkStart w:id="25" w:name="_Toc493250758"/>
      <w:r w:rsidRPr="0086627E">
        <w:rPr>
          <w:iCs/>
        </w:rPr>
        <w:t>(3)</w:t>
      </w:r>
      <w:r w:rsidRPr="0086627E">
        <w:rPr>
          <w:iCs/>
        </w:rPr>
        <w:tab/>
        <w:t>During a Market Suspension, ERCOT may cease making payments in accordance with this Section in the event that funds are not available to make such payments.</w:t>
      </w:r>
    </w:p>
    <w:p w14:paraId="4A31CB9F" w14:textId="77777777" w:rsidR="00424F6A" w:rsidRPr="0086627E" w:rsidRDefault="00424F6A" w:rsidP="00424F6A">
      <w:pPr>
        <w:keepNext/>
        <w:tabs>
          <w:tab w:val="left" w:pos="1080"/>
        </w:tabs>
        <w:spacing w:before="240" w:after="240"/>
        <w:outlineLvl w:val="2"/>
        <w:rPr>
          <w:b/>
          <w:bCs/>
          <w:i/>
        </w:rPr>
      </w:pPr>
      <w:bookmarkStart w:id="26" w:name="_Toc181496"/>
      <w:bookmarkStart w:id="27" w:name="_Toc181594"/>
      <w:r w:rsidRPr="0086627E">
        <w:rPr>
          <w:b/>
          <w:bCs/>
          <w:i/>
        </w:rPr>
        <w:t>25.5.3</w:t>
      </w:r>
      <w:r w:rsidRPr="0086627E">
        <w:rPr>
          <w:b/>
          <w:bCs/>
          <w:i/>
        </w:rPr>
        <w:tab/>
        <w:t>Market Suspension DC Tie Import Payment</w:t>
      </w:r>
      <w:bookmarkEnd w:id="25"/>
      <w:bookmarkEnd w:id="26"/>
      <w:bookmarkEnd w:id="27"/>
    </w:p>
    <w:p w14:paraId="735D5F7C" w14:textId="77777777" w:rsidR="00424F6A" w:rsidRPr="0086627E" w:rsidRDefault="00424F6A" w:rsidP="00424F6A">
      <w:pPr>
        <w:ind w:left="720" w:hanging="720"/>
      </w:pPr>
    </w:p>
    <w:p w14:paraId="6025183F" w14:textId="77777777" w:rsidR="00424F6A" w:rsidRPr="0086627E" w:rsidRDefault="00424F6A" w:rsidP="00424F6A">
      <w:pPr>
        <w:spacing w:after="240"/>
        <w:ind w:left="720" w:hanging="720"/>
      </w:pPr>
      <w:r w:rsidRPr="0086627E">
        <w:lastRenderedPageBreak/>
        <w:t>(1)</w:t>
      </w:r>
      <w:r w:rsidRPr="0086627E">
        <w:tab/>
      </w:r>
      <w:r w:rsidRPr="00934039">
        <w:rPr>
          <w:szCs w:val="24"/>
        </w:rPr>
        <w:t>To compensate each QSE for energy imported into the ERCOT System through each DC Tie during a Market</w:t>
      </w:r>
      <w:r w:rsidRPr="00934039">
        <w:rPr>
          <w:i/>
          <w:szCs w:val="24"/>
        </w:rPr>
        <w:t xml:space="preserve"> </w:t>
      </w:r>
      <w:r w:rsidRPr="00934039">
        <w:rPr>
          <w:szCs w:val="24"/>
        </w:rPr>
        <w:t>Suspension, the payment for an Operating Day is calculated as follows:</w:t>
      </w:r>
    </w:p>
    <w:p w14:paraId="0A202100" w14:textId="0377C06B" w:rsidR="00424F6A" w:rsidRPr="0086627E" w:rsidRDefault="00424F6A" w:rsidP="0016529C">
      <w:pPr>
        <w:tabs>
          <w:tab w:val="left" w:pos="1440"/>
          <w:tab w:val="left" w:pos="3420"/>
        </w:tabs>
        <w:spacing w:before="240"/>
        <w:ind w:left="3420" w:hanging="2700"/>
        <w:rPr>
          <w:bCs/>
        </w:rPr>
      </w:pPr>
      <w:r w:rsidRPr="0086627E">
        <w:rPr>
          <w:bCs/>
        </w:rPr>
        <w:t xml:space="preserve">MSEDCIMPAMT </w:t>
      </w:r>
      <w:r w:rsidRPr="0086627E">
        <w:rPr>
          <w:bCs/>
          <w:i/>
          <w:vertAlign w:val="subscript"/>
        </w:rPr>
        <w:t>q,</w:t>
      </w:r>
      <w:r w:rsidR="0016529C">
        <w:rPr>
          <w:bCs/>
          <w:i/>
          <w:vertAlign w:val="subscript"/>
        </w:rPr>
        <w:t xml:space="preserve"> </w:t>
      </w:r>
      <w:r w:rsidRPr="0086627E">
        <w:rPr>
          <w:bCs/>
          <w:i/>
          <w:vertAlign w:val="subscript"/>
        </w:rPr>
        <w:t>p,</w:t>
      </w:r>
      <w:r w:rsidR="0016529C">
        <w:rPr>
          <w:bCs/>
          <w:i/>
          <w:vertAlign w:val="subscript"/>
        </w:rPr>
        <w:t xml:space="preserve"> </w:t>
      </w:r>
      <w:r w:rsidRPr="0086627E">
        <w:rPr>
          <w:bCs/>
          <w:i/>
          <w:vertAlign w:val="subscript"/>
        </w:rPr>
        <w:t>d</w:t>
      </w:r>
      <w:r w:rsidRPr="0086627E">
        <w:rPr>
          <w:bCs/>
        </w:rPr>
        <w:t xml:space="preserve"> = </w:t>
      </w:r>
      <w:r w:rsidRPr="0086627E">
        <w:rPr>
          <w:bCs/>
        </w:rPr>
        <w:tab/>
        <w:t xml:space="preserve">(-1) * </w:t>
      </w:r>
      <w:r w:rsidR="00F617A5">
        <w:rPr>
          <w:noProof/>
          <w:position w:val="-20"/>
        </w:rPr>
        <w:drawing>
          <wp:inline distT="0" distB="0" distL="0" distR="0" wp14:anchorId="5B2A9CD9" wp14:editId="76BE7412">
            <wp:extent cx="191135" cy="3816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135" cy="381635"/>
                    </a:xfrm>
                    <a:prstGeom prst="rect">
                      <a:avLst/>
                    </a:prstGeom>
                    <a:noFill/>
                    <a:ln>
                      <a:noFill/>
                    </a:ln>
                  </pic:spPr>
                </pic:pic>
              </a:graphicData>
            </a:graphic>
          </wp:inline>
        </w:drawing>
      </w:r>
      <w:r w:rsidRPr="0086627E">
        <w:rPr>
          <w:bCs/>
        </w:rPr>
        <w:t xml:space="preserve"> (MSVEEPDCTP </w:t>
      </w:r>
      <w:r w:rsidRPr="0086627E">
        <w:rPr>
          <w:bCs/>
          <w:i/>
          <w:vertAlign w:val="subscript"/>
        </w:rPr>
        <w:t>q,</w:t>
      </w:r>
      <w:r w:rsidR="0016529C">
        <w:rPr>
          <w:bCs/>
          <w:i/>
          <w:vertAlign w:val="subscript"/>
        </w:rPr>
        <w:t xml:space="preserve"> </w:t>
      </w:r>
      <w:r w:rsidRPr="0086627E">
        <w:rPr>
          <w:bCs/>
          <w:i/>
          <w:vertAlign w:val="subscript"/>
        </w:rPr>
        <w:t>p,</w:t>
      </w:r>
      <w:r w:rsidR="0016529C">
        <w:rPr>
          <w:bCs/>
          <w:i/>
          <w:vertAlign w:val="subscript"/>
        </w:rPr>
        <w:t xml:space="preserve"> </w:t>
      </w:r>
      <w:r w:rsidRPr="0086627E">
        <w:rPr>
          <w:bCs/>
          <w:i/>
          <w:vertAlign w:val="subscript"/>
        </w:rPr>
        <w:t>i</w:t>
      </w:r>
      <w:r w:rsidRPr="0086627E">
        <w:rPr>
          <w:bCs/>
          <w:vertAlign w:val="subscript"/>
        </w:rPr>
        <w:t xml:space="preserve"> </w:t>
      </w:r>
      <w:r w:rsidRPr="0086627E">
        <w:rPr>
          <w:bCs/>
        </w:rPr>
        <w:t xml:space="preserve">* MSCAEDCT * </w:t>
      </w:r>
    </w:p>
    <w:p w14:paraId="0D9EB6FF" w14:textId="77777777" w:rsidR="00424F6A" w:rsidRPr="0086627E" w:rsidRDefault="00424F6A" w:rsidP="0016529C">
      <w:pPr>
        <w:tabs>
          <w:tab w:val="left" w:pos="1440"/>
          <w:tab w:val="left" w:pos="3420"/>
        </w:tabs>
        <w:spacing w:after="240"/>
        <w:ind w:left="3420" w:hanging="2700"/>
        <w:rPr>
          <w:bCs/>
        </w:rPr>
      </w:pPr>
      <w:r w:rsidRPr="0086627E">
        <w:rPr>
          <w:bCs/>
        </w:rPr>
        <w:tab/>
      </w:r>
      <w:r w:rsidRPr="0086627E">
        <w:rPr>
          <w:bCs/>
        </w:rPr>
        <w:tab/>
        <w:t xml:space="preserve">MSEDCIMP </w:t>
      </w:r>
      <w:r w:rsidRPr="0086627E">
        <w:rPr>
          <w:bCs/>
          <w:i/>
          <w:vertAlign w:val="subscript"/>
        </w:rPr>
        <w:t>q,</w:t>
      </w:r>
      <w:r w:rsidR="0016529C">
        <w:rPr>
          <w:bCs/>
          <w:i/>
          <w:vertAlign w:val="subscript"/>
        </w:rPr>
        <w:t xml:space="preserve"> </w:t>
      </w:r>
      <w:r w:rsidRPr="0086627E">
        <w:rPr>
          <w:bCs/>
          <w:i/>
          <w:vertAlign w:val="subscript"/>
        </w:rPr>
        <w:t>p,</w:t>
      </w:r>
      <w:r w:rsidR="0016529C">
        <w:rPr>
          <w:bCs/>
          <w:i/>
          <w:vertAlign w:val="subscript"/>
        </w:rPr>
        <w:t xml:space="preserve"> </w:t>
      </w:r>
      <w:r w:rsidRPr="0086627E">
        <w:rPr>
          <w:bCs/>
          <w:i/>
          <w:vertAlign w:val="subscript"/>
        </w:rPr>
        <w:t>i</w:t>
      </w:r>
      <w:r w:rsidRPr="0086627E">
        <w:rPr>
          <w:bCs/>
        </w:rPr>
        <w:t xml:space="preserve"> * ¼)</w:t>
      </w:r>
    </w:p>
    <w:p w14:paraId="1CDF1EBE" w14:textId="77777777" w:rsidR="00424F6A" w:rsidRPr="0086627E" w:rsidRDefault="00424F6A" w:rsidP="00424F6A">
      <w:r w:rsidRPr="0086627E">
        <w:t>The above variables are defined as follows: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45"/>
        <w:gridCol w:w="1080"/>
        <w:gridCol w:w="6503"/>
      </w:tblGrid>
      <w:tr w:rsidR="00424F6A" w:rsidRPr="0086627E" w14:paraId="0A8BAAD0" w14:textId="77777777" w:rsidTr="00424F6A">
        <w:tc>
          <w:tcPr>
            <w:tcW w:w="2245" w:type="dxa"/>
          </w:tcPr>
          <w:p w14:paraId="36AB2B27" w14:textId="77777777" w:rsidR="00424F6A" w:rsidRPr="0086627E" w:rsidRDefault="00424F6A" w:rsidP="00424F6A">
            <w:pPr>
              <w:spacing w:after="240"/>
              <w:rPr>
                <w:b/>
                <w:iCs/>
                <w:sz w:val="20"/>
              </w:rPr>
            </w:pPr>
            <w:r w:rsidRPr="0086627E">
              <w:rPr>
                <w:b/>
                <w:iCs/>
                <w:sz w:val="20"/>
              </w:rPr>
              <w:t>Variable</w:t>
            </w:r>
          </w:p>
        </w:tc>
        <w:tc>
          <w:tcPr>
            <w:tcW w:w="1080" w:type="dxa"/>
          </w:tcPr>
          <w:p w14:paraId="5FA33F9F" w14:textId="77777777" w:rsidR="00424F6A" w:rsidRPr="0086627E" w:rsidRDefault="00424F6A" w:rsidP="00424F6A">
            <w:pPr>
              <w:spacing w:after="240"/>
              <w:rPr>
                <w:b/>
                <w:iCs/>
                <w:sz w:val="20"/>
              </w:rPr>
            </w:pPr>
            <w:r w:rsidRPr="0086627E">
              <w:rPr>
                <w:b/>
                <w:iCs/>
                <w:sz w:val="20"/>
              </w:rPr>
              <w:t>Unit</w:t>
            </w:r>
          </w:p>
        </w:tc>
        <w:tc>
          <w:tcPr>
            <w:tcW w:w="6503" w:type="dxa"/>
          </w:tcPr>
          <w:p w14:paraId="14CCA968" w14:textId="77777777" w:rsidR="00424F6A" w:rsidRPr="0086627E" w:rsidRDefault="00424F6A" w:rsidP="00424F6A">
            <w:pPr>
              <w:spacing w:after="240"/>
              <w:rPr>
                <w:b/>
                <w:iCs/>
                <w:sz w:val="20"/>
              </w:rPr>
            </w:pPr>
            <w:r w:rsidRPr="0086627E">
              <w:rPr>
                <w:b/>
                <w:iCs/>
                <w:sz w:val="20"/>
              </w:rPr>
              <w:t>Description</w:t>
            </w:r>
          </w:p>
        </w:tc>
      </w:tr>
      <w:tr w:rsidR="00424F6A" w:rsidRPr="0086627E" w14:paraId="57D36D9B" w14:textId="77777777" w:rsidTr="00424F6A">
        <w:tc>
          <w:tcPr>
            <w:tcW w:w="2245" w:type="dxa"/>
          </w:tcPr>
          <w:p w14:paraId="2B24B199" w14:textId="77777777" w:rsidR="00424F6A" w:rsidRPr="0086627E" w:rsidRDefault="00424F6A" w:rsidP="00424F6A">
            <w:pPr>
              <w:spacing w:after="60"/>
              <w:rPr>
                <w:iCs/>
                <w:sz w:val="20"/>
              </w:rPr>
            </w:pPr>
            <w:r w:rsidRPr="0086627E">
              <w:rPr>
                <w:iCs/>
                <w:sz w:val="20"/>
              </w:rPr>
              <w:t xml:space="preserve">MSEDCIMPAMT </w:t>
            </w:r>
            <w:r w:rsidRPr="0086627E">
              <w:rPr>
                <w:i/>
                <w:iCs/>
                <w:sz w:val="20"/>
                <w:vertAlign w:val="subscript"/>
              </w:rPr>
              <w:t>q, p,</w:t>
            </w:r>
            <w:r w:rsidR="0016529C">
              <w:rPr>
                <w:i/>
                <w:iCs/>
                <w:sz w:val="20"/>
                <w:vertAlign w:val="subscript"/>
              </w:rPr>
              <w:t xml:space="preserve"> </w:t>
            </w:r>
            <w:r w:rsidRPr="0086627E">
              <w:rPr>
                <w:i/>
                <w:iCs/>
                <w:sz w:val="20"/>
                <w:vertAlign w:val="subscript"/>
              </w:rPr>
              <w:t>d</w:t>
            </w:r>
          </w:p>
        </w:tc>
        <w:tc>
          <w:tcPr>
            <w:tcW w:w="1080" w:type="dxa"/>
          </w:tcPr>
          <w:p w14:paraId="39BE11B9" w14:textId="77777777" w:rsidR="00424F6A" w:rsidRPr="0086627E" w:rsidRDefault="00424F6A" w:rsidP="00424F6A">
            <w:pPr>
              <w:spacing w:after="60"/>
              <w:rPr>
                <w:iCs/>
                <w:sz w:val="20"/>
              </w:rPr>
            </w:pPr>
            <w:r w:rsidRPr="0086627E">
              <w:rPr>
                <w:iCs/>
                <w:sz w:val="20"/>
              </w:rPr>
              <w:t>$</w:t>
            </w:r>
          </w:p>
        </w:tc>
        <w:tc>
          <w:tcPr>
            <w:tcW w:w="6503" w:type="dxa"/>
          </w:tcPr>
          <w:p w14:paraId="4BBAC990" w14:textId="77777777" w:rsidR="00424F6A" w:rsidRPr="0086627E" w:rsidRDefault="00424F6A" w:rsidP="00424F6A">
            <w:pPr>
              <w:spacing w:after="60"/>
              <w:rPr>
                <w:iCs/>
                <w:sz w:val="20"/>
              </w:rPr>
            </w:pPr>
            <w:r w:rsidRPr="0086627E">
              <w:rPr>
                <w:i/>
                <w:iCs/>
                <w:sz w:val="20"/>
              </w:rPr>
              <w:t>Market Suspension Emergency DC Import Amount per QSE per Settlement Point</w:t>
            </w:r>
            <w:r>
              <w:rPr>
                <w:i/>
                <w:iCs/>
                <w:sz w:val="20"/>
              </w:rPr>
              <w:t xml:space="preserve"> </w:t>
            </w:r>
            <w:r w:rsidRPr="0086627E">
              <w:rPr>
                <w:i/>
                <w:iCs/>
                <w:sz w:val="20"/>
              </w:rPr>
              <w:t xml:space="preserve">– </w:t>
            </w:r>
            <w:r w:rsidRPr="0086627E">
              <w:rPr>
                <w:iCs/>
                <w:sz w:val="20"/>
              </w:rPr>
              <w:t xml:space="preserve">The payment to QSE </w:t>
            </w:r>
            <w:r w:rsidRPr="0086627E">
              <w:rPr>
                <w:i/>
                <w:iCs/>
                <w:sz w:val="20"/>
              </w:rPr>
              <w:t>q</w:t>
            </w:r>
            <w:r w:rsidRPr="0086627E">
              <w:rPr>
                <w:iCs/>
                <w:sz w:val="20"/>
              </w:rPr>
              <w:t xml:space="preserve"> for emergency energy imported through DC Tie </w:t>
            </w:r>
            <w:r w:rsidRPr="0086627E">
              <w:rPr>
                <w:i/>
                <w:iCs/>
                <w:sz w:val="20"/>
              </w:rPr>
              <w:t>p</w:t>
            </w:r>
            <w:r w:rsidRPr="0086627E">
              <w:rPr>
                <w:iCs/>
                <w:sz w:val="20"/>
              </w:rPr>
              <w:t>, during a Market Suspension</w:t>
            </w:r>
            <w:r w:rsidRPr="0086627E">
              <w:rPr>
                <w:i/>
                <w:iCs/>
                <w:sz w:val="20"/>
              </w:rPr>
              <w:t xml:space="preserve">, </w:t>
            </w:r>
            <w:r w:rsidRPr="0086627E">
              <w:rPr>
                <w:iCs/>
                <w:sz w:val="20"/>
              </w:rPr>
              <w:t xml:space="preserve">for the Operating Day </w:t>
            </w:r>
            <w:r w:rsidRPr="0086627E">
              <w:rPr>
                <w:i/>
                <w:iCs/>
                <w:sz w:val="20"/>
              </w:rPr>
              <w:t>d</w:t>
            </w:r>
            <w:r w:rsidRPr="0086627E">
              <w:rPr>
                <w:iCs/>
                <w:sz w:val="20"/>
              </w:rPr>
              <w:t>.</w:t>
            </w:r>
          </w:p>
        </w:tc>
      </w:tr>
      <w:tr w:rsidR="00424F6A" w:rsidRPr="0086627E" w14:paraId="1D2BC13C" w14:textId="77777777" w:rsidTr="00424F6A">
        <w:tc>
          <w:tcPr>
            <w:tcW w:w="2245" w:type="dxa"/>
          </w:tcPr>
          <w:p w14:paraId="6520BA68" w14:textId="77777777" w:rsidR="00424F6A" w:rsidRPr="0086627E" w:rsidRDefault="00424F6A" w:rsidP="00424F6A">
            <w:pPr>
              <w:spacing w:after="60"/>
              <w:rPr>
                <w:iCs/>
                <w:sz w:val="20"/>
              </w:rPr>
            </w:pPr>
            <w:r w:rsidRPr="0086627E">
              <w:rPr>
                <w:iCs/>
                <w:sz w:val="20"/>
              </w:rPr>
              <w:t xml:space="preserve">MSEDCIMP </w:t>
            </w:r>
            <w:r w:rsidRPr="0086627E">
              <w:rPr>
                <w:i/>
                <w:iCs/>
                <w:sz w:val="20"/>
                <w:vertAlign w:val="subscript"/>
              </w:rPr>
              <w:t>q, p,</w:t>
            </w:r>
            <w:r w:rsidR="0016529C">
              <w:rPr>
                <w:i/>
                <w:iCs/>
                <w:sz w:val="20"/>
                <w:vertAlign w:val="subscript"/>
              </w:rPr>
              <w:t xml:space="preserve"> </w:t>
            </w:r>
            <w:r w:rsidRPr="0086627E">
              <w:rPr>
                <w:i/>
                <w:iCs/>
                <w:sz w:val="20"/>
                <w:vertAlign w:val="subscript"/>
              </w:rPr>
              <w:t>i</w:t>
            </w:r>
          </w:p>
        </w:tc>
        <w:tc>
          <w:tcPr>
            <w:tcW w:w="1080" w:type="dxa"/>
          </w:tcPr>
          <w:p w14:paraId="339C2596" w14:textId="77777777" w:rsidR="00424F6A" w:rsidRPr="0086627E" w:rsidRDefault="00424F6A" w:rsidP="00424F6A">
            <w:pPr>
              <w:spacing w:after="60"/>
              <w:rPr>
                <w:iCs/>
                <w:sz w:val="20"/>
              </w:rPr>
            </w:pPr>
            <w:r w:rsidRPr="0086627E">
              <w:rPr>
                <w:iCs/>
                <w:sz w:val="20"/>
              </w:rPr>
              <w:t>MW</w:t>
            </w:r>
          </w:p>
        </w:tc>
        <w:tc>
          <w:tcPr>
            <w:tcW w:w="6503" w:type="dxa"/>
          </w:tcPr>
          <w:p w14:paraId="085AC45C" w14:textId="77777777" w:rsidR="00424F6A" w:rsidRPr="0086627E" w:rsidRDefault="00424F6A" w:rsidP="00424F6A">
            <w:pPr>
              <w:spacing w:after="60"/>
              <w:rPr>
                <w:i/>
              </w:rPr>
            </w:pPr>
            <w:r w:rsidRPr="0086627E">
              <w:rPr>
                <w:i/>
                <w:sz w:val="20"/>
              </w:rPr>
              <w:t>Market Suspension Emergency DC Import per QSE per Settlement Point</w:t>
            </w:r>
            <w:r>
              <w:rPr>
                <w:i/>
                <w:iCs/>
                <w:sz w:val="20"/>
              </w:rPr>
              <w:t xml:space="preserve"> </w:t>
            </w:r>
            <w:r w:rsidRPr="0086627E">
              <w:rPr>
                <w:i/>
                <w:iCs/>
                <w:sz w:val="20"/>
              </w:rPr>
              <w:t xml:space="preserve">– </w:t>
            </w:r>
            <w:r w:rsidRPr="0086627E">
              <w:rPr>
                <w:sz w:val="20"/>
              </w:rPr>
              <w:t xml:space="preserve">The aggregated DC Tie Schedule for emergency energy imported by QSE </w:t>
            </w:r>
            <w:r w:rsidRPr="0086627E">
              <w:rPr>
                <w:i/>
                <w:sz w:val="20"/>
              </w:rPr>
              <w:t>q</w:t>
            </w:r>
            <w:r w:rsidRPr="0086627E">
              <w:rPr>
                <w:sz w:val="20"/>
              </w:rPr>
              <w:t xml:space="preserve"> into the ERCOT System during a Market Suspension condition through DC Tie </w:t>
            </w:r>
            <w:r w:rsidRPr="0086627E">
              <w:rPr>
                <w:i/>
                <w:sz w:val="20"/>
              </w:rPr>
              <w:t>p</w:t>
            </w:r>
            <w:r w:rsidRPr="0086627E">
              <w:rPr>
                <w:sz w:val="20"/>
              </w:rPr>
              <w:t xml:space="preserve">, for the 15-minute Settlement Interval </w:t>
            </w:r>
            <w:r w:rsidRPr="0086627E">
              <w:rPr>
                <w:i/>
                <w:sz w:val="20"/>
              </w:rPr>
              <w:t>i</w:t>
            </w:r>
            <w:r w:rsidRPr="0086627E">
              <w:rPr>
                <w:sz w:val="20"/>
              </w:rPr>
              <w:t>.</w:t>
            </w:r>
          </w:p>
        </w:tc>
      </w:tr>
      <w:tr w:rsidR="00424F6A" w:rsidRPr="0086627E" w14:paraId="49E3AAE9" w14:textId="77777777" w:rsidTr="00424F6A">
        <w:tc>
          <w:tcPr>
            <w:tcW w:w="2245" w:type="dxa"/>
          </w:tcPr>
          <w:p w14:paraId="32A0DD09" w14:textId="77777777" w:rsidR="00424F6A" w:rsidRPr="0086627E" w:rsidRDefault="00424F6A" w:rsidP="00424F6A">
            <w:pPr>
              <w:spacing w:after="60"/>
              <w:rPr>
                <w:b/>
                <w:i/>
                <w:iCs/>
                <w:sz w:val="20"/>
                <w:vertAlign w:val="subscript"/>
              </w:rPr>
            </w:pPr>
            <w:r w:rsidRPr="0086627E">
              <w:rPr>
                <w:iCs/>
                <w:sz w:val="20"/>
              </w:rPr>
              <w:t xml:space="preserve">MSVEEPDCTP </w:t>
            </w:r>
            <w:r w:rsidRPr="0086627E">
              <w:rPr>
                <w:i/>
                <w:iCs/>
                <w:sz w:val="20"/>
                <w:vertAlign w:val="subscript"/>
              </w:rPr>
              <w:t>q, p, i</w:t>
            </w:r>
          </w:p>
        </w:tc>
        <w:tc>
          <w:tcPr>
            <w:tcW w:w="1080" w:type="dxa"/>
          </w:tcPr>
          <w:p w14:paraId="604C6B9F" w14:textId="77777777" w:rsidR="00424F6A" w:rsidRPr="0086627E" w:rsidRDefault="00424F6A" w:rsidP="00424F6A">
            <w:pPr>
              <w:spacing w:after="60"/>
              <w:rPr>
                <w:iCs/>
                <w:sz w:val="20"/>
              </w:rPr>
            </w:pPr>
            <w:r w:rsidRPr="0086627E">
              <w:rPr>
                <w:iCs/>
                <w:sz w:val="20"/>
              </w:rPr>
              <w:t>$/MWh</w:t>
            </w:r>
          </w:p>
        </w:tc>
        <w:tc>
          <w:tcPr>
            <w:tcW w:w="6503" w:type="dxa"/>
          </w:tcPr>
          <w:p w14:paraId="6EC9AC4B" w14:textId="77777777" w:rsidR="00424F6A" w:rsidRPr="0086627E" w:rsidRDefault="00424F6A" w:rsidP="00424F6A">
            <w:pPr>
              <w:spacing w:after="60"/>
            </w:pPr>
            <w:r w:rsidRPr="0086627E">
              <w:rPr>
                <w:i/>
                <w:sz w:val="20"/>
              </w:rPr>
              <w:t>Market Suspension Verified Emergency Energy Price at DC Tie Point</w:t>
            </w:r>
            <w:r>
              <w:rPr>
                <w:i/>
                <w:iCs/>
                <w:sz w:val="20"/>
              </w:rPr>
              <w:t xml:space="preserve"> </w:t>
            </w:r>
            <w:r w:rsidRPr="0086627E">
              <w:rPr>
                <w:i/>
                <w:iCs/>
                <w:sz w:val="20"/>
              </w:rPr>
              <w:t xml:space="preserve">– </w:t>
            </w:r>
            <w:r w:rsidRPr="0086627E">
              <w:rPr>
                <w:sz w:val="20"/>
              </w:rPr>
              <w:t xml:space="preserve">The ERCOT verified cost for the energy imported by QSE </w:t>
            </w:r>
            <w:r w:rsidRPr="0086627E">
              <w:rPr>
                <w:i/>
                <w:sz w:val="20"/>
              </w:rPr>
              <w:t>q</w:t>
            </w:r>
            <w:r w:rsidRPr="0086627E">
              <w:rPr>
                <w:sz w:val="20"/>
              </w:rPr>
              <w:t xml:space="preserve"> into the ERCOT System during a Market</w:t>
            </w:r>
            <w:r w:rsidRPr="0086627E">
              <w:rPr>
                <w:i/>
              </w:rPr>
              <w:t xml:space="preserve"> </w:t>
            </w:r>
            <w:r w:rsidRPr="0086627E">
              <w:rPr>
                <w:sz w:val="20"/>
              </w:rPr>
              <w:t xml:space="preserve">Suspension through a DC Tie </w:t>
            </w:r>
            <w:r w:rsidRPr="0086627E">
              <w:rPr>
                <w:i/>
                <w:sz w:val="20"/>
              </w:rPr>
              <w:t>p</w:t>
            </w:r>
            <w:r w:rsidRPr="0086627E">
              <w:rPr>
                <w:sz w:val="20"/>
              </w:rPr>
              <w:t xml:space="preserve"> as instructed by a Dispatch Instruction, for the 15-minute Settlement Interval </w:t>
            </w:r>
            <w:r w:rsidRPr="0086627E">
              <w:rPr>
                <w:i/>
                <w:sz w:val="20"/>
              </w:rPr>
              <w:t>i</w:t>
            </w:r>
            <w:r w:rsidRPr="0086627E">
              <w:rPr>
                <w:sz w:val="20"/>
              </w:rPr>
              <w:t>.</w:t>
            </w:r>
          </w:p>
        </w:tc>
      </w:tr>
      <w:tr w:rsidR="00424F6A" w:rsidRPr="0086627E" w14:paraId="40251534" w14:textId="77777777" w:rsidTr="00424F6A">
        <w:tc>
          <w:tcPr>
            <w:tcW w:w="2245" w:type="dxa"/>
          </w:tcPr>
          <w:p w14:paraId="3E209B9D" w14:textId="77777777" w:rsidR="00424F6A" w:rsidRPr="0086627E" w:rsidRDefault="00424F6A" w:rsidP="00424F6A">
            <w:pPr>
              <w:spacing w:after="60"/>
              <w:rPr>
                <w:iCs/>
                <w:sz w:val="20"/>
              </w:rPr>
            </w:pPr>
            <w:r w:rsidRPr="0086627E">
              <w:rPr>
                <w:iCs/>
                <w:sz w:val="20"/>
              </w:rPr>
              <w:t>MSCAEDCT</w:t>
            </w:r>
          </w:p>
        </w:tc>
        <w:tc>
          <w:tcPr>
            <w:tcW w:w="1080" w:type="dxa"/>
          </w:tcPr>
          <w:p w14:paraId="03FEB041" w14:textId="77777777" w:rsidR="00424F6A" w:rsidRPr="0086627E" w:rsidRDefault="00424F6A" w:rsidP="00424F6A">
            <w:pPr>
              <w:spacing w:after="60"/>
              <w:rPr>
                <w:iCs/>
                <w:sz w:val="20"/>
              </w:rPr>
            </w:pPr>
            <w:r w:rsidRPr="0086627E">
              <w:rPr>
                <w:iCs/>
                <w:sz w:val="20"/>
              </w:rPr>
              <w:t>none</w:t>
            </w:r>
          </w:p>
        </w:tc>
        <w:tc>
          <w:tcPr>
            <w:tcW w:w="6503" w:type="dxa"/>
          </w:tcPr>
          <w:p w14:paraId="5CBC5566" w14:textId="77777777" w:rsidR="00424F6A" w:rsidRPr="0086627E" w:rsidRDefault="00424F6A" w:rsidP="00424F6A">
            <w:pPr>
              <w:spacing w:after="60"/>
              <w:rPr>
                <w:i/>
                <w:iCs/>
                <w:sz w:val="20"/>
              </w:rPr>
            </w:pPr>
            <w:r w:rsidRPr="0086627E">
              <w:rPr>
                <w:i/>
                <w:iCs/>
                <w:sz w:val="20"/>
              </w:rPr>
              <w:t>Market Suspension Cost Adder for Emergency DC Tie Import</w:t>
            </w:r>
            <w:r>
              <w:rPr>
                <w:i/>
                <w:iCs/>
                <w:sz w:val="20"/>
              </w:rPr>
              <w:t xml:space="preserve"> </w:t>
            </w:r>
            <w:r w:rsidRPr="0086627E">
              <w:rPr>
                <w:i/>
                <w:iCs/>
                <w:sz w:val="20"/>
              </w:rPr>
              <w:t xml:space="preserve">– </w:t>
            </w:r>
            <w:r w:rsidRPr="0086627E">
              <w:rPr>
                <w:iCs/>
                <w:sz w:val="20"/>
              </w:rPr>
              <w:t>A multiplier of 1.10.</w:t>
            </w:r>
          </w:p>
        </w:tc>
      </w:tr>
      <w:tr w:rsidR="00424F6A" w:rsidRPr="0086627E" w14:paraId="455FF5E5" w14:textId="77777777" w:rsidTr="00424F6A">
        <w:tc>
          <w:tcPr>
            <w:tcW w:w="2245" w:type="dxa"/>
          </w:tcPr>
          <w:p w14:paraId="69AB3BFD" w14:textId="77777777" w:rsidR="00424F6A" w:rsidRPr="0086627E" w:rsidRDefault="00424F6A" w:rsidP="00424F6A">
            <w:pPr>
              <w:spacing w:after="60"/>
              <w:rPr>
                <w:i/>
                <w:iCs/>
                <w:sz w:val="20"/>
              </w:rPr>
            </w:pPr>
            <w:r w:rsidRPr="0086627E">
              <w:rPr>
                <w:i/>
                <w:iCs/>
                <w:sz w:val="20"/>
              </w:rPr>
              <w:t>q</w:t>
            </w:r>
          </w:p>
        </w:tc>
        <w:tc>
          <w:tcPr>
            <w:tcW w:w="1080" w:type="dxa"/>
          </w:tcPr>
          <w:p w14:paraId="6929396A" w14:textId="77777777" w:rsidR="00424F6A" w:rsidRPr="0086627E" w:rsidRDefault="00424F6A" w:rsidP="00424F6A">
            <w:pPr>
              <w:spacing w:after="60"/>
              <w:rPr>
                <w:iCs/>
                <w:sz w:val="20"/>
              </w:rPr>
            </w:pPr>
            <w:r w:rsidRPr="0086627E">
              <w:rPr>
                <w:iCs/>
                <w:sz w:val="20"/>
              </w:rPr>
              <w:t>none</w:t>
            </w:r>
          </w:p>
        </w:tc>
        <w:tc>
          <w:tcPr>
            <w:tcW w:w="6503" w:type="dxa"/>
          </w:tcPr>
          <w:p w14:paraId="6D8C95E9" w14:textId="77777777" w:rsidR="00424F6A" w:rsidRPr="0086627E" w:rsidRDefault="00424F6A" w:rsidP="00424F6A">
            <w:pPr>
              <w:spacing w:after="60"/>
              <w:rPr>
                <w:i/>
                <w:iCs/>
                <w:sz w:val="20"/>
                <w:lang w:val="fr-FR"/>
              </w:rPr>
            </w:pPr>
            <w:r w:rsidRPr="0086627E">
              <w:rPr>
                <w:iCs/>
                <w:sz w:val="20"/>
              </w:rPr>
              <w:t>A QSE.</w:t>
            </w:r>
          </w:p>
        </w:tc>
      </w:tr>
      <w:tr w:rsidR="00424F6A" w:rsidRPr="0086627E" w14:paraId="18A46B27" w14:textId="77777777" w:rsidTr="00424F6A">
        <w:tc>
          <w:tcPr>
            <w:tcW w:w="2245" w:type="dxa"/>
          </w:tcPr>
          <w:p w14:paraId="0D691B8D" w14:textId="77777777" w:rsidR="00424F6A" w:rsidRPr="0086627E" w:rsidRDefault="00424F6A" w:rsidP="00424F6A">
            <w:pPr>
              <w:spacing w:after="60"/>
              <w:rPr>
                <w:i/>
                <w:iCs/>
                <w:sz w:val="20"/>
              </w:rPr>
            </w:pPr>
            <w:r w:rsidRPr="0086627E">
              <w:rPr>
                <w:i/>
                <w:iCs/>
                <w:sz w:val="20"/>
              </w:rPr>
              <w:t>p</w:t>
            </w:r>
          </w:p>
        </w:tc>
        <w:tc>
          <w:tcPr>
            <w:tcW w:w="1080" w:type="dxa"/>
          </w:tcPr>
          <w:p w14:paraId="14529D08" w14:textId="77777777" w:rsidR="00424F6A" w:rsidRPr="0086627E" w:rsidRDefault="00424F6A" w:rsidP="00424F6A">
            <w:pPr>
              <w:spacing w:after="60"/>
              <w:rPr>
                <w:iCs/>
                <w:sz w:val="20"/>
              </w:rPr>
            </w:pPr>
            <w:r w:rsidRPr="0086627E">
              <w:rPr>
                <w:iCs/>
                <w:sz w:val="20"/>
              </w:rPr>
              <w:t>none</w:t>
            </w:r>
          </w:p>
        </w:tc>
        <w:tc>
          <w:tcPr>
            <w:tcW w:w="6503" w:type="dxa"/>
          </w:tcPr>
          <w:p w14:paraId="405F0736" w14:textId="77777777" w:rsidR="00424F6A" w:rsidRPr="0086627E" w:rsidRDefault="00424F6A" w:rsidP="00424F6A">
            <w:pPr>
              <w:spacing w:after="60"/>
              <w:rPr>
                <w:iCs/>
                <w:sz w:val="20"/>
                <w:lang w:val="fr-FR"/>
              </w:rPr>
            </w:pPr>
            <w:r w:rsidRPr="0086627E">
              <w:rPr>
                <w:iCs/>
                <w:sz w:val="20"/>
                <w:lang w:val="fr-FR"/>
              </w:rPr>
              <w:t>A DC Tie Settlement Point.</w:t>
            </w:r>
          </w:p>
        </w:tc>
      </w:tr>
      <w:tr w:rsidR="00424F6A" w:rsidRPr="0086627E" w14:paraId="32B466B9" w14:textId="77777777" w:rsidTr="00424F6A">
        <w:tc>
          <w:tcPr>
            <w:tcW w:w="2245" w:type="dxa"/>
          </w:tcPr>
          <w:p w14:paraId="76AF640C" w14:textId="77777777" w:rsidR="00424F6A" w:rsidRPr="0086627E" w:rsidRDefault="00424F6A" w:rsidP="00424F6A">
            <w:pPr>
              <w:spacing w:after="60"/>
              <w:rPr>
                <w:i/>
                <w:iCs/>
                <w:sz w:val="20"/>
              </w:rPr>
            </w:pPr>
            <w:r w:rsidRPr="0086627E">
              <w:rPr>
                <w:i/>
                <w:iCs/>
                <w:sz w:val="20"/>
              </w:rPr>
              <w:t>i</w:t>
            </w:r>
          </w:p>
        </w:tc>
        <w:tc>
          <w:tcPr>
            <w:tcW w:w="1080" w:type="dxa"/>
          </w:tcPr>
          <w:p w14:paraId="419E18FF" w14:textId="77777777" w:rsidR="00424F6A" w:rsidRPr="0086627E" w:rsidRDefault="00424F6A" w:rsidP="00424F6A">
            <w:pPr>
              <w:spacing w:after="60"/>
              <w:rPr>
                <w:iCs/>
                <w:sz w:val="20"/>
              </w:rPr>
            </w:pPr>
            <w:r w:rsidRPr="0086627E">
              <w:rPr>
                <w:iCs/>
                <w:sz w:val="20"/>
              </w:rPr>
              <w:t>none</w:t>
            </w:r>
          </w:p>
        </w:tc>
        <w:tc>
          <w:tcPr>
            <w:tcW w:w="6503" w:type="dxa"/>
          </w:tcPr>
          <w:p w14:paraId="6931B332" w14:textId="77777777" w:rsidR="00424F6A" w:rsidRPr="0086627E" w:rsidRDefault="00424F6A" w:rsidP="00424F6A">
            <w:pPr>
              <w:spacing w:after="60"/>
              <w:rPr>
                <w:iCs/>
                <w:sz w:val="20"/>
              </w:rPr>
            </w:pPr>
            <w:r w:rsidRPr="0086627E">
              <w:rPr>
                <w:iCs/>
                <w:sz w:val="20"/>
              </w:rPr>
              <w:t>A 15-minute Settlement Interval within the hour of an Operating Day of a Market Suspension</w:t>
            </w:r>
            <w:r w:rsidRPr="0086627E">
              <w:rPr>
                <w:i/>
                <w:iCs/>
                <w:sz w:val="20"/>
              </w:rPr>
              <w:t xml:space="preserve"> </w:t>
            </w:r>
            <w:r w:rsidRPr="0086627E">
              <w:rPr>
                <w:iCs/>
                <w:sz w:val="20"/>
              </w:rPr>
              <w:t>event.</w:t>
            </w:r>
          </w:p>
        </w:tc>
      </w:tr>
      <w:tr w:rsidR="00424F6A" w:rsidRPr="0086627E" w14:paraId="3B25EC85" w14:textId="77777777" w:rsidTr="00424F6A">
        <w:tc>
          <w:tcPr>
            <w:tcW w:w="2245" w:type="dxa"/>
          </w:tcPr>
          <w:p w14:paraId="4DD58DB7" w14:textId="77777777" w:rsidR="00424F6A" w:rsidRPr="0086627E" w:rsidRDefault="00424F6A" w:rsidP="00424F6A">
            <w:pPr>
              <w:spacing w:after="60"/>
              <w:rPr>
                <w:i/>
                <w:iCs/>
                <w:sz w:val="20"/>
              </w:rPr>
            </w:pPr>
            <w:r w:rsidRPr="0086627E">
              <w:rPr>
                <w:i/>
                <w:iCs/>
                <w:sz w:val="20"/>
              </w:rPr>
              <w:t>d</w:t>
            </w:r>
          </w:p>
        </w:tc>
        <w:tc>
          <w:tcPr>
            <w:tcW w:w="1080" w:type="dxa"/>
          </w:tcPr>
          <w:p w14:paraId="14AA7C66" w14:textId="77777777" w:rsidR="00424F6A" w:rsidRPr="0086627E" w:rsidRDefault="00424F6A" w:rsidP="00424F6A">
            <w:pPr>
              <w:spacing w:after="60"/>
              <w:rPr>
                <w:iCs/>
                <w:sz w:val="20"/>
              </w:rPr>
            </w:pPr>
            <w:r w:rsidRPr="0086627E">
              <w:rPr>
                <w:iCs/>
                <w:sz w:val="20"/>
              </w:rPr>
              <w:t>none</w:t>
            </w:r>
          </w:p>
        </w:tc>
        <w:tc>
          <w:tcPr>
            <w:tcW w:w="6503" w:type="dxa"/>
          </w:tcPr>
          <w:p w14:paraId="6B732381" w14:textId="77777777" w:rsidR="00424F6A" w:rsidRPr="0086627E" w:rsidRDefault="00424F6A" w:rsidP="00424F6A">
            <w:pPr>
              <w:spacing w:after="60"/>
              <w:rPr>
                <w:iCs/>
                <w:sz w:val="20"/>
              </w:rPr>
            </w:pPr>
            <w:r w:rsidRPr="0086627E">
              <w:rPr>
                <w:iCs/>
                <w:sz w:val="20"/>
              </w:rPr>
              <w:t>An Operating Day during a Market Suspension</w:t>
            </w:r>
            <w:r w:rsidRPr="0086627E">
              <w:rPr>
                <w:i/>
                <w:iCs/>
                <w:sz w:val="20"/>
              </w:rPr>
              <w:t xml:space="preserve"> </w:t>
            </w:r>
            <w:r w:rsidRPr="0086627E">
              <w:rPr>
                <w:iCs/>
                <w:sz w:val="20"/>
              </w:rPr>
              <w:t>event.</w:t>
            </w:r>
          </w:p>
        </w:tc>
      </w:tr>
    </w:tbl>
    <w:p w14:paraId="38EF9072" w14:textId="77777777" w:rsidR="00424F6A" w:rsidRPr="0086627E" w:rsidRDefault="00424F6A" w:rsidP="00424F6A">
      <w:pPr>
        <w:spacing w:before="240" w:after="240"/>
        <w:ind w:left="720" w:hanging="720"/>
        <w:rPr>
          <w:iCs/>
        </w:rPr>
      </w:pPr>
      <w:r w:rsidRPr="0086627E">
        <w:rPr>
          <w:iCs/>
        </w:rPr>
        <w:t>(2)</w:t>
      </w:r>
      <w:r w:rsidRPr="0086627E">
        <w:rPr>
          <w:iCs/>
        </w:rPr>
        <w:tab/>
        <w:t>The total payment to each QSE for all energy imported into the ERCOT System during a Market</w:t>
      </w:r>
      <w:r w:rsidRPr="0086627E">
        <w:rPr>
          <w:i/>
          <w:iCs/>
        </w:rPr>
        <w:t xml:space="preserve"> </w:t>
      </w:r>
      <w:r w:rsidRPr="0086627E">
        <w:rPr>
          <w:iCs/>
        </w:rPr>
        <w:t>Suspension through DC Ties for the Operating Day is calculated as follows:</w:t>
      </w:r>
    </w:p>
    <w:p w14:paraId="59852EFE" w14:textId="0B8B4BF5" w:rsidR="00424F6A" w:rsidRPr="0086627E" w:rsidRDefault="00424F6A" w:rsidP="0016529C">
      <w:pPr>
        <w:tabs>
          <w:tab w:val="left" w:pos="1440"/>
          <w:tab w:val="left" w:pos="3420"/>
        </w:tabs>
        <w:spacing w:after="240"/>
        <w:ind w:left="3420" w:hanging="2700"/>
        <w:rPr>
          <w:bCs/>
          <w:i/>
          <w:vertAlign w:val="subscript"/>
        </w:rPr>
      </w:pPr>
      <w:r w:rsidRPr="0086627E">
        <w:rPr>
          <w:bCs/>
        </w:rPr>
        <w:t xml:space="preserve">MSEDCIMPAMTQSETOT </w:t>
      </w:r>
      <w:r w:rsidRPr="0086627E">
        <w:rPr>
          <w:bCs/>
          <w:i/>
          <w:vertAlign w:val="subscript"/>
        </w:rPr>
        <w:t>q,</w:t>
      </w:r>
      <w:r w:rsidR="0016529C">
        <w:rPr>
          <w:bCs/>
          <w:i/>
          <w:vertAlign w:val="subscript"/>
        </w:rPr>
        <w:t xml:space="preserve"> </w:t>
      </w:r>
      <w:r w:rsidRPr="0086627E">
        <w:rPr>
          <w:bCs/>
          <w:i/>
          <w:vertAlign w:val="subscript"/>
        </w:rPr>
        <w:t>d</w:t>
      </w:r>
      <w:r w:rsidRPr="0086627E">
        <w:rPr>
          <w:bCs/>
          <w:i/>
          <w:vertAlign w:val="subscript"/>
        </w:rPr>
        <w:tab/>
      </w:r>
      <w:r w:rsidRPr="0086627E">
        <w:rPr>
          <w:bCs/>
        </w:rPr>
        <w:t>=</w:t>
      </w:r>
      <w:r w:rsidRPr="0086627E">
        <w:rPr>
          <w:bCs/>
        </w:rPr>
        <w:tab/>
      </w:r>
      <w:r w:rsidR="00F617A5">
        <w:rPr>
          <w:noProof/>
          <w:position w:val="-22"/>
        </w:rPr>
        <w:drawing>
          <wp:inline distT="0" distB="0" distL="0" distR="0" wp14:anchorId="0CD0055B" wp14:editId="3A84966B">
            <wp:extent cx="142875" cy="30226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86627E">
        <w:rPr>
          <w:bCs/>
        </w:rPr>
        <w:t xml:space="preserve"> MSEDCIMPAMT </w:t>
      </w:r>
      <w:r w:rsidRPr="0086627E">
        <w:rPr>
          <w:bCs/>
          <w:i/>
          <w:vertAlign w:val="subscript"/>
        </w:rPr>
        <w:t>q, p,</w:t>
      </w:r>
      <w:r w:rsidR="00934039">
        <w:rPr>
          <w:bCs/>
          <w:i/>
          <w:vertAlign w:val="subscript"/>
        </w:rPr>
        <w:t xml:space="preserve"> </w:t>
      </w:r>
      <w:r w:rsidRPr="0086627E">
        <w:rPr>
          <w:bCs/>
          <w:i/>
          <w:vertAlign w:val="subscript"/>
        </w:rPr>
        <w:t>d</w:t>
      </w:r>
    </w:p>
    <w:p w14:paraId="6568AE59" w14:textId="77777777" w:rsidR="00424F6A" w:rsidRPr="0086627E" w:rsidRDefault="00424F6A" w:rsidP="00424F6A">
      <w:pPr>
        <w:tabs>
          <w:tab w:val="left" w:pos="1440"/>
          <w:tab w:val="left" w:pos="3420"/>
        </w:tabs>
        <w:spacing w:after="240"/>
        <w:ind w:left="3420" w:hanging="2700"/>
        <w:rPr>
          <w:b/>
          <w:bCs/>
          <w:i/>
          <w:vertAlign w:val="subscript"/>
        </w:rPr>
      </w:pPr>
      <w:r w:rsidRPr="0086627E">
        <w:rPr>
          <w:bCs/>
        </w:rPr>
        <w:t>And,</w:t>
      </w:r>
    </w:p>
    <w:p w14:paraId="7BF571A2" w14:textId="5AE859A1" w:rsidR="00424F6A" w:rsidRPr="0086627E" w:rsidRDefault="00424F6A" w:rsidP="0016529C">
      <w:pPr>
        <w:tabs>
          <w:tab w:val="left" w:pos="1440"/>
          <w:tab w:val="left" w:pos="3420"/>
        </w:tabs>
        <w:spacing w:after="240"/>
        <w:ind w:left="3420" w:hanging="2700"/>
        <w:rPr>
          <w:bCs/>
        </w:rPr>
      </w:pPr>
      <w:r w:rsidRPr="0086627E">
        <w:rPr>
          <w:bCs/>
        </w:rPr>
        <w:t>MSEDCIMPAMTTOT</w:t>
      </w:r>
      <w:r w:rsidRPr="0086627E">
        <w:rPr>
          <w:bCs/>
          <w:i/>
          <w:vertAlign w:val="subscript"/>
        </w:rPr>
        <w:t xml:space="preserve"> d</w:t>
      </w:r>
      <w:r w:rsidRPr="0086627E">
        <w:rPr>
          <w:bCs/>
        </w:rPr>
        <w:tab/>
        <w:t>=</w:t>
      </w:r>
      <w:r w:rsidRPr="0086627E">
        <w:rPr>
          <w:bCs/>
        </w:rPr>
        <w:tab/>
      </w:r>
      <w:r w:rsidRPr="0086627E">
        <w:rPr>
          <w:bCs/>
        </w:rPr>
        <w:tab/>
      </w:r>
      <w:r w:rsidR="00F617A5">
        <w:rPr>
          <w:noProof/>
          <w:position w:val="-22"/>
        </w:rPr>
        <w:drawing>
          <wp:inline distT="0" distB="0" distL="0" distR="0" wp14:anchorId="236A2357" wp14:editId="254ECBAC">
            <wp:extent cx="142875" cy="30226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86627E">
        <w:rPr>
          <w:bCs/>
        </w:rPr>
        <w:t xml:space="preserve"> MSEDCIMPAMTQSETOT</w:t>
      </w:r>
      <w:r w:rsidRPr="0086627E">
        <w:rPr>
          <w:bCs/>
          <w:i/>
          <w:vertAlign w:val="subscript"/>
        </w:rPr>
        <w:t xml:space="preserve"> q,</w:t>
      </w:r>
      <w:r w:rsidR="0016529C">
        <w:rPr>
          <w:bCs/>
          <w:i/>
          <w:vertAlign w:val="subscript"/>
        </w:rPr>
        <w:t xml:space="preserve"> </w:t>
      </w:r>
      <w:r w:rsidRPr="0086627E">
        <w:rPr>
          <w:bCs/>
          <w:i/>
          <w:vertAlign w:val="subscript"/>
        </w:rPr>
        <w:t>d</w:t>
      </w:r>
    </w:p>
    <w:p w14:paraId="121543DF" w14:textId="77777777" w:rsidR="00424F6A" w:rsidRPr="0086627E" w:rsidRDefault="00424F6A" w:rsidP="00424F6A">
      <w:r w:rsidRPr="0086627E">
        <w:t>The above variables are defined as follows: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30"/>
        <w:gridCol w:w="6570"/>
      </w:tblGrid>
      <w:tr w:rsidR="00424F6A" w:rsidRPr="0086627E" w14:paraId="3CE628A1" w14:textId="77777777" w:rsidTr="00424F6A">
        <w:trPr>
          <w:tblHeader/>
        </w:trPr>
        <w:tc>
          <w:tcPr>
            <w:tcW w:w="2628" w:type="dxa"/>
          </w:tcPr>
          <w:p w14:paraId="54D98AC4" w14:textId="77777777" w:rsidR="00424F6A" w:rsidRPr="0086627E" w:rsidRDefault="00424F6A" w:rsidP="00424F6A">
            <w:pPr>
              <w:spacing w:after="240"/>
              <w:rPr>
                <w:b/>
                <w:iCs/>
                <w:sz w:val="20"/>
              </w:rPr>
            </w:pPr>
            <w:r w:rsidRPr="0086627E">
              <w:rPr>
                <w:b/>
                <w:iCs/>
                <w:sz w:val="20"/>
              </w:rPr>
              <w:t>Variable</w:t>
            </w:r>
          </w:p>
        </w:tc>
        <w:tc>
          <w:tcPr>
            <w:tcW w:w="630" w:type="dxa"/>
          </w:tcPr>
          <w:p w14:paraId="38AD695B" w14:textId="77777777" w:rsidR="00424F6A" w:rsidRPr="0086627E" w:rsidRDefault="00424F6A" w:rsidP="00424F6A">
            <w:pPr>
              <w:spacing w:after="240"/>
              <w:rPr>
                <w:b/>
                <w:iCs/>
                <w:sz w:val="20"/>
              </w:rPr>
            </w:pPr>
            <w:r w:rsidRPr="0086627E">
              <w:rPr>
                <w:b/>
                <w:iCs/>
                <w:sz w:val="20"/>
              </w:rPr>
              <w:t>Unit</w:t>
            </w:r>
          </w:p>
        </w:tc>
        <w:tc>
          <w:tcPr>
            <w:tcW w:w="6570" w:type="dxa"/>
          </w:tcPr>
          <w:p w14:paraId="6FAF8DF7" w14:textId="77777777" w:rsidR="00424F6A" w:rsidRPr="0086627E" w:rsidRDefault="00424F6A" w:rsidP="00424F6A">
            <w:pPr>
              <w:spacing w:after="240"/>
              <w:rPr>
                <w:b/>
                <w:iCs/>
                <w:sz w:val="20"/>
              </w:rPr>
            </w:pPr>
            <w:r w:rsidRPr="0086627E">
              <w:rPr>
                <w:b/>
                <w:iCs/>
                <w:sz w:val="20"/>
              </w:rPr>
              <w:t>Definition</w:t>
            </w:r>
          </w:p>
        </w:tc>
      </w:tr>
      <w:tr w:rsidR="00424F6A" w:rsidRPr="0086627E" w14:paraId="73EC39D1" w14:textId="77777777" w:rsidTr="00424F6A">
        <w:tc>
          <w:tcPr>
            <w:tcW w:w="2628" w:type="dxa"/>
          </w:tcPr>
          <w:p w14:paraId="64B1718B" w14:textId="77777777" w:rsidR="00424F6A" w:rsidRPr="0086627E" w:rsidRDefault="00424F6A" w:rsidP="00424F6A">
            <w:pPr>
              <w:spacing w:after="60"/>
            </w:pPr>
            <w:r w:rsidRPr="0086627E">
              <w:rPr>
                <w:iCs/>
                <w:sz w:val="20"/>
              </w:rPr>
              <w:t>MSEDCIMPAMTQSETOT</w:t>
            </w:r>
            <w:r w:rsidRPr="0086627E">
              <w:t xml:space="preserve"> </w:t>
            </w:r>
            <w:r w:rsidRPr="0086627E">
              <w:rPr>
                <w:i/>
                <w:iCs/>
                <w:sz w:val="20"/>
                <w:vertAlign w:val="subscript"/>
              </w:rPr>
              <w:t>q,</w:t>
            </w:r>
            <w:r w:rsidR="0016529C">
              <w:rPr>
                <w:i/>
                <w:iCs/>
                <w:sz w:val="20"/>
                <w:vertAlign w:val="subscript"/>
              </w:rPr>
              <w:t xml:space="preserve"> </w:t>
            </w:r>
            <w:r w:rsidRPr="0086627E">
              <w:rPr>
                <w:i/>
                <w:iCs/>
                <w:sz w:val="20"/>
                <w:vertAlign w:val="subscript"/>
              </w:rPr>
              <w:t>d</w:t>
            </w:r>
          </w:p>
        </w:tc>
        <w:tc>
          <w:tcPr>
            <w:tcW w:w="630" w:type="dxa"/>
          </w:tcPr>
          <w:p w14:paraId="065DBF29" w14:textId="77777777" w:rsidR="00424F6A" w:rsidRPr="0086627E" w:rsidRDefault="00424F6A" w:rsidP="00424F6A">
            <w:pPr>
              <w:spacing w:after="60"/>
              <w:rPr>
                <w:iCs/>
                <w:sz w:val="20"/>
              </w:rPr>
            </w:pPr>
            <w:r w:rsidRPr="0086627E">
              <w:rPr>
                <w:iCs/>
                <w:sz w:val="20"/>
              </w:rPr>
              <w:t>$</w:t>
            </w:r>
          </w:p>
        </w:tc>
        <w:tc>
          <w:tcPr>
            <w:tcW w:w="6570" w:type="dxa"/>
          </w:tcPr>
          <w:p w14:paraId="557B3D51" w14:textId="77777777" w:rsidR="00424F6A" w:rsidRPr="0086627E" w:rsidRDefault="00424F6A" w:rsidP="00424F6A">
            <w:pPr>
              <w:spacing w:after="60"/>
            </w:pPr>
            <w:r w:rsidRPr="0086627E">
              <w:rPr>
                <w:i/>
                <w:sz w:val="20"/>
              </w:rPr>
              <w:t>Market Suspension Emergency DC Import Amount Total per QSE</w:t>
            </w:r>
            <w:r>
              <w:rPr>
                <w:i/>
                <w:iCs/>
                <w:sz w:val="20"/>
              </w:rPr>
              <w:t xml:space="preserve"> </w:t>
            </w:r>
            <w:r w:rsidRPr="0086627E">
              <w:rPr>
                <w:i/>
                <w:iCs/>
                <w:sz w:val="20"/>
              </w:rPr>
              <w:t xml:space="preserve">– </w:t>
            </w:r>
            <w:r w:rsidRPr="0086627E">
              <w:rPr>
                <w:sz w:val="20"/>
              </w:rPr>
              <w:t xml:space="preserve">The total of the payments to QSE </w:t>
            </w:r>
            <w:r w:rsidRPr="0086627E">
              <w:rPr>
                <w:i/>
                <w:sz w:val="20"/>
              </w:rPr>
              <w:t>q</w:t>
            </w:r>
            <w:r w:rsidRPr="0086627E">
              <w:rPr>
                <w:sz w:val="20"/>
              </w:rPr>
              <w:t xml:space="preserve"> for DC Tie import</w:t>
            </w:r>
            <w:r w:rsidRPr="0086627E">
              <w:t xml:space="preserve"> </w:t>
            </w:r>
            <w:r w:rsidRPr="0086627E">
              <w:rPr>
                <w:sz w:val="20"/>
              </w:rPr>
              <w:t>emergency</w:t>
            </w:r>
            <w:r w:rsidRPr="0086627E">
              <w:t xml:space="preserve"> </w:t>
            </w:r>
            <w:r w:rsidRPr="0086627E">
              <w:rPr>
                <w:sz w:val="20"/>
              </w:rPr>
              <w:t>energy imported into the ERCOT System during a Market</w:t>
            </w:r>
            <w:r w:rsidRPr="0086627E">
              <w:t xml:space="preserve"> </w:t>
            </w:r>
            <w:r w:rsidRPr="0086627E">
              <w:rPr>
                <w:sz w:val="20"/>
              </w:rPr>
              <w:t>Suspension condition through DC Ties</w:t>
            </w:r>
            <w:r w:rsidRPr="0086627E">
              <w:rPr>
                <w:i/>
                <w:sz w:val="20"/>
              </w:rPr>
              <w:t xml:space="preserve">, </w:t>
            </w:r>
            <w:r w:rsidRPr="0086627E">
              <w:rPr>
                <w:sz w:val="20"/>
              </w:rPr>
              <w:t xml:space="preserve">for the Operating Day </w:t>
            </w:r>
            <w:r w:rsidRPr="0086627E">
              <w:rPr>
                <w:i/>
                <w:sz w:val="20"/>
              </w:rPr>
              <w:t>d</w:t>
            </w:r>
            <w:r w:rsidRPr="0086627E">
              <w:rPr>
                <w:sz w:val="20"/>
              </w:rPr>
              <w:t>.</w:t>
            </w:r>
          </w:p>
        </w:tc>
      </w:tr>
      <w:tr w:rsidR="00424F6A" w:rsidRPr="0086627E" w14:paraId="4246E56A" w14:textId="77777777" w:rsidTr="00424F6A">
        <w:tc>
          <w:tcPr>
            <w:tcW w:w="2628" w:type="dxa"/>
          </w:tcPr>
          <w:p w14:paraId="48730E9F" w14:textId="77777777" w:rsidR="00424F6A" w:rsidRPr="0086627E" w:rsidRDefault="00424F6A" w:rsidP="00424F6A">
            <w:pPr>
              <w:spacing w:after="60"/>
              <w:rPr>
                <w:iCs/>
                <w:sz w:val="20"/>
              </w:rPr>
            </w:pPr>
            <w:r w:rsidRPr="0086627E">
              <w:rPr>
                <w:iCs/>
                <w:sz w:val="20"/>
              </w:rPr>
              <w:lastRenderedPageBreak/>
              <w:t xml:space="preserve">MSEDCIMPAMT </w:t>
            </w:r>
            <w:r w:rsidRPr="0086627E">
              <w:rPr>
                <w:i/>
                <w:iCs/>
                <w:sz w:val="20"/>
                <w:vertAlign w:val="subscript"/>
              </w:rPr>
              <w:t>q, p,</w:t>
            </w:r>
            <w:r w:rsidR="0016529C">
              <w:rPr>
                <w:i/>
                <w:iCs/>
                <w:sz w:val="20"/>
                <w:vertAlign w:val="subscript"/>
              </w:rPr>
              <w:t xml:space="preserve"> </w:t>
            </w:r>
            <w:r w:rsidRPr="0086627E">
              <w:rPr>
                <w:i/>
                <w:iCs/>
                <w:sz w:val="20"/>
                <w:vertAlign w:val="subscript"/>
              </w:rPr>
              <w:t>d</w:t>
            </w:r>
          </w:p>
        </w:tc>
        <w:tc>
          <w:tcPr>
            <w:tcW w:w="630" w:type="dxa"/>
          </w:tcPr>
          <w:p w14:paraId="0104C1CE" w14:textId="77777777" w:rsidR="00424F6A" w:rsidRPr="0086627E" w:rsidRDefault="00424F6A" w:rsidP="00424F6A">
            <w:pPr>
              <w:spacing w:after="60"/>
              <w:rPr>
                <w:iCs/>
                <w:sz w:val="20"/>
              </w:rPr>
            </w:pPr>
            <w:r w:rsidRPr="0086627E">
              <w:rPr>
                <w:iCs/>
                <w:sz w:val="20"/>
              </w:rPr>
              <w:t>$</w:t>
            </w:r>
          </w:p>
        </w:tc>
        <w:tc>
          <w:tcPr>
            <w:tcW w:w="6570" w:type="dxa"/>
          </w:tcPr>
          <w:p w14:paraId="2E8BBFB9" w14:textId="77777777" w:rsidR="00424F6A" w:rsidRPr="0086627E" w:rsidRDefault="00424F6A" w:rsidP="00424F6A">
            <w:pPr>
              <w:spacing w:after="60"/>
              <w:rPr>
                <w:iCs/>
                <w:sz w:val="20"/>
              </w:rPr>
            </w:pPr>
            <w:r w:rsidRPr="0086627E">
              <w:rPr>
                <w:i/>
                <w:iCs/>
                <w:sz w:val="20"/>
              </w:rPr>
              <w:t>Market Suspension Emergency DC Import Amount per QSE per Settlement Point</w:t>
            </w:r>
            <w:r>
              <w:rPr>
                <w:i/>
                <w:iCs/>
                <w:sz w:val="20"/>
              </w:rPr>
              <w:t xml:space="preserve"> </w:t>
            </w:r>
            <w:r w:rsidRPr="0086627E">
              <w:rPr>
                <w:i/>
                <w:iCs/>
                <w:sz w:val="20"/>
              </w:rPr>
              <w:t xml:space="preserve">– </w:t>
            </w:r>
            <w:r w:rsidRPr="0086627E">
              <w:rPr>
                <w:iCs/>
                <w:sz w:val="20"/>
              </w:rPr>
              <w:t xml:space="preserve">The payment to QSE </w:t>
            </w:r>
            <w:r w:rsidRPr="0086627E">
              <w:rPr>
                <w:i/>
                <w:iCs/>
                <w:sz w:val="20"/>
              </w:rPr>
              <w:t>q</w:t>
            </w:r>
            <w:r w:rsidRPr="0086627E">
              <w:rPr>
                <w:iCs/>
                <w:sz w:val="20"/>
              </w:rPr>
              <w:t xml:space="preserve"> for emergency energy imported through DC Tie </w:t>
            </w:r>
            <w:r w:rsidRPr="0086627E">
              <w:rPr>
                <w:i/>
                <w:iCs/>
                <w:sz w:val="20"/>
              </w:rPr>
              <w:t xml:space="preserve">p, </w:t>
            </w:r>
            <w:r w:rsidRPr="0086627E">
              <w:rPr>
                <w:iCs/>
                <w:sz w:val="20"/>
              </w:rPr>
              <w:t xml:space="preserve">for the Operating Day </w:t>
            </w:r>
            <w:r w:rsidRPr="0086627E">
              <w:rPr>
                <w:i/>
                <w:iCs/>
                <w:sz w:val="20"/>
              </w:rPr>
              <w:t>d</w:t>
            </w:r>
            <w:r w:rsidRPr="0086627E">
              <w:rPr>
                <w:iCs/>
                <w:sz w:val="20"/>
              </w:rPr>
              <w:t xml:space="preserve">. </w:t>
            </w:r>
          </w:p>
        </w:tc>
      </w:tr>
      <w:tr w:rsidR="00424F6A" w:rsidRPr="0086627E" w14:paraId="746620D4" w14:textId="77777777" w:rsidTr="00424F6A">
        <w:tc>
          <w:tcPr>
            <w:tcW w:w="2628" w:type="dxa"/>
          </w:tcPr>
          <w:p w14:paraId="34DBE43E" w14:textId="77777777" w:rsidR="00424F6A" w:rsidRPr="0086627E" w:rsidRDefault="00424F6A" w:rsidP="00424F6A">
            <w:pPr>
              <w:spacing w:after="60"/>
              <w:rPr>
                <w:iCs/>
                <w:sz w:val="20"/>
              </w:rPr>
            </w:pPr>
            <w:r w:rsidRPr="0086627E">
              <w:rPr>
                <w:iCs/>
                <w:sz w:val="20"/>
              </w:rPr>
              <w:t>MSEDCIMPAMTTOT</w:t>
            </w:r>
            <w:r w:rsidRPr="0086627E">
              <w:rPr>
                <w:i/>
                <w:iCs/>
                <w:sz w:val="20"/>
                <w:vertAlign w:val="subscript"/>
              </w:rPr>
              <w:t xml:space="preserve"> d</w:t>
            </w:r>
            <w:r w:rsidRPr="0086627E">
              <w:rPr>
                <w:iCs/>
                <w:sz w:val="20"/>
              </w:rPr>
              <w:t xml:space="preserve">  </w:t>
            </w:r>
          </w:p>
        </w:tc>
        <w:tc>
          <w:tcPr>
            <w:tcW w:w="630" w:type="dxa"/>
          </w:tcPr>
          <w:p w14:paraId="72D000AD" w14:textId="77777777" w:rsidR="00424F6A" w:rsidRPr="0086627E" w:rsidRDefault="00424F6A" w:rsidP="00424F6A">
            <w:pPr>
              <w:spacing w:after="60"/>
              <w:rPr>
                <w:iCs/>
                <w:sz w:val="20"/>
              </w:rPr>
            </w:pPr>
            <w:r w:rsidRPr="0086627E">
              <w:rPr>
                <w:iCs/>
                <w:sz w:val="20"/>
              </w:rPr>
              <w:t>$</w:t>
            </w:r>
          </w:p>
        </w:tc>
        <w:tc>
          <w:tcPr>
            <w:tcW w:w="6570" w:type="dxa"/>
          </w:tcPr>
          <w:p w14:paraId="30B6EB1A" w14:textId="77777777" w:rsidR="00424F6A" w:rsidRPr="0086627E" w:rsidRDefault="00424F6A" w:rsidP="00424F6A">
            <w:pPr>
              <w:spacing w:after="60"/>
              <w:rPr>
                <w:i/>
                <w:iCs/>
                <w:sz w:val="20"/>
              </w:rPr>
            </w:pPr>
            <w:r w:rsidRPr="0086627E">
              <w:rPr>
                <w:i/>
                <w:sz w:val="20"/>
              </w:rPr>
              <w:t xml:space="preserve">Market Suspension Emergency DC Import Amount Total – </w:t>
            </w:r>
            <w:r w:rsidRPr="0086627E">
              <w:rPr>
                <w:sz w:val="20"/>
              </w:rPr>
              <w:t>The total Market Suspension Emergency DC Import Amount charges for all QSEs.</w:t>
            </w:r>
          </w:p>
        </w:tc>
      </w:tr>
      <w:tr w:rsidR="00424F6A" w:rsidRPr="0086627E" w14:paraId="64DF01D7" w14:textId="77777777" w:rsidTr="00424F6A">
        <w:tc>
          <w:tcPr>
            <w:tcW w:w="2628" w:type="dxa"/>
            <w:tcBorders>
              <w:top w:val="single" w:sz="4" w:space="0" w:color="auto"/>
              <w:left w:val="single" w:sz="4" w:space="0" w:color="auto"/>
              <w:bottom w:val="single" w:sz="4" w:space="0" w:color="auto"/>
              <w:right w:val="single" w:sz="4" w:space="0" w:color="auto"/>
            </w:tcBorders>
          </w:tcPr>
          <w:p w14:paraId="0D0663CC" w14:textId="77777777" w:rsidR="00424F6A" w:rsidRPr="0086627E" w:rsidRDefault="00424F6A" w:rsidP="00424F6A">
            <w:pPr>
              <w:spacing w:after="60"/>
              <w:rPr>
                <w:i/>
                <w:iCs/>
                <w:sz w:val="20"/>
              </w:rPr>
            </w:pPr>
            <w:r w:rsidRPr="0086627E">
              <w:rPr>
                <w:i/>
                <w:iCs/>
                <w:sz w:val="20"/>
              </w:rPr>
              <w:t>q</w:t>
            </w:r>
          </w:p>
        </w:tc>
        <w:tc>
          <w:tcPr>
            <w:tcW w:w="630" w:type="dxa"/>
            <w:tcBorders>
              <w:top w:val="single" w:sz="4" w:space="0" w:color="auto"/>
              <w:left w:val="single" w:sz="4" w:space="0" w:color="auto"/>
              <w:bottom w:val="single" w:sz="4" w:space="0" w:color="auto"/>
              <w:right w:val="single" w:sz="4" w:space="0" w:color="auto"/>
            </w:tcBorders>
          </w:tcPr>
          <w:p w14:paraId="492F4979" w14:textId="77777777" w:rsidR="00424F6A" w:rsidRPr="0086627E" w:rsidRDefault="00424F6A" w:rsidP="00424F6A">
            <w:pPr>
              <w:spacing w:after="60"/>
              <w:rPr>
                <w:iCs/>
                <w:sz w:val="20"/>
              </w:rPr>
            </w:pPr>
            <w:r w:rsidRPr="0086627E">
              <w:rPr>
                <w:iCs/>
                <w:sz w:val="20"/>
              </w:rPr>
              <w:t>none</w:t>
            </w:r>
          </w:p>
        </w:tc>
        <w:tc>
          <w:tcPr>
            <w:tcW w:w="6570" w:type="dxa"/>
            <w:tcBorders>
              <w:top w:val="single" w:sz="4" w:space="0" w:color="auto"/>
              <w:left w:val="single" w:sz="4" w:space="0" w:color="auto"/>
              <w:bottom w:val="single" w:sz="4" w:space="0" w:color="auto"/>
              <w:right w:val="single" w:sz="4" w:space="0" w:color="auto"/>
            </w:tcBorders>
          </w:tcPr>
          <w:p w14:paraId="362281EC" w14:textId="77777777" w:rsidR="00424F6A" w:rsidRPr="0086627E" w:rsidRDefault="00424F6A" w:rsidP="00424F6A">
            <w:pPr>
              <w:spacing w:after="60"/>
              <w:rPr>
                <w:iCs/>
                <w:sz w:val="20"/>
              </w:rPr>
            </w:pPr>
            <w:r w:rsidRPr="0086627E">
              <w:rPr>
                <w:iCs/>
                <w:sz w:val="20"/>
              </w:rPr>
              <w:t>A QSE.</w:t>
            </w:r>
          </w:p>
        </w:tc>
      </w:tr>
      <w:tr w:rsidR="00424F6A" w:rsidRPr="0086627E" w14:paraId="6688ED75" w14:textId="77777777" w:rsidTr="00424F6A">
        <w:tc>
          <w:tcPr>
            <w:tcW w:w="2628" w:type="dxa"/>
            <w:tcBorders>
              <w:top w:val="single" w:sz="4" w:space="0" w:color="auto"/>
              <w:left w:val="single" w:sz="4" w:space="0" w:color="auto"/>
              <w:bottom w:val="single" w:sz="4" w:space="0" w:color="auto"/>
              <w:right w:val="single" w:sz="4" w:space="0" w:color="auto"/>
            </w:tcBorders>
          </w:tcPr>
          <w:p w14:paraId="5A567D68" w14:textId="77777777" w:rsidR="00424F6A" w:rsidRPr="0086627E" w:rsidRDefault="00424F6A" w:rsidP="00424F6A">
            <w:pPr>
              <w:spacing w:after="60"/>
              <w:rPr>
                <w:i/>
                <w:iCs/>
                <w:sz w:val="20"/>
              </w:rPr>
            </w:pPr>
            <w:r w:rsidRPr="0086627E">
              <w:rPr>
                <w:i/>
                <w:iCs/>
                <w:sz w:val="20"/>
              </w:rPr>
              <w:t>p</w:t>
            </w:r>
          </w:p>
        </w:tc>
        <w:tc>
          <w:tcPr>
            <w:tcW w:w="630" w:type="dxa"/>
            <w:tcBorders>
              <w:top w:val="single" w:sz="4" w:space="0" w:color="auto"/>
              <w:left w:val="single" w:sz="4" w:space="0" w:color="auto"/>
              <w:bottom w:val="single" w:sz="4" w:space="0" w:color="auto"/>
              <w:right w:val="single" w:sz="4" w:space="0" w:color="auto"/>
            </w:tcBorders>
          </w:tcPr>
          <w:p w14:paraId="4315D2A0" w14:textId="77777777" w:rsidR="00424F6A" w:rsidRPr="0086627E" w:rsidRDefault="00424F6A" w:rsidP="00424F6A">
            <w:pPr>
              <w:spacing w:after="60"/>
              <w:rPr>
                <w:iCs/>
                <w:sz w:val="20"/>
              </w:rPr>
            </w:pPr>
            <w:r w:rsidRPr="0086627E">
              <w:rPr>
                <w:iCs/>
                <w:sz w:val="20"/>
              </w:rPr>
              <w:t>none</w:t>
            </w:r>
          </w:p>
        </w:tc>
        <w:tc>
          <w:tcPr>
            <w:tcW w:w="6570" w:type="dxa"/>
            <w:tcBorders>
              <w:top w:val="single" w:sz="4" w:space="0" w:color="auto"/>
              <w:left w:val="single" w:sz="4" w:space="0" w:color="auto"/>
              <w:bottom w:val="single" w:sz="4" w:space="0" w:color="auto"/>
              <w:right w:val="single" w:sz="4" w:space="0" w:color="auto"/>
            </w:tcBorders>
          </w:tcPr>
          <w:p w14:paraId="373E27C8" w14:textId="77777777" w:rsidR="00424F6A" w:rsidRPr="0086627E" w:rsidRDefault="00424F6A" w:rsidP="00424F6A">
            <w:pPr>
              <w:spacing w:after="60"/>
              <w:rPr>
                <w:iCs/>
                <w:sz w:val="20"/>
                <w:lang w:val="fr-FR"/>
              </w:rPr>
            </w:pPr>
            <w:r w:rsidRPr="0086627E">
              <w:rPr>
                <w:iCs/>
                <w:sz w:val="20"/>
                <w:lang w:val="fr-FR"/>
              </w:rPr>
              <w:t>A DC Tie Settlement Point.</w:t>
            </w:r>
          </w:p>
        </w:tc>
      </w:tr>
      <w:tr w:rsidR="00424F6A" w:rsidRPr="0086627E" w14:paraId="4115536B" w14:textId="77777777" w:rsidTr="00424F6A">
        <w:tc>
          <w:tcPr>
            <w:tcW w:w="2628" w:type="dxa"/>
            <w:tcBorders>
              <w:top w:val="single" w:sz="4" w:space="0" w:color="auto"/>
              <w:left w:val="single" w:sz="4" w:space="0" w:color="auto"/>
              <w:bottom w:val="single" w:sz="4" w:space="0" w:color="auto"/>
              <w:right w:val="single" w:sz="4" w:space="0" w:color="auto"/>
            </w:tcBorders>
          </w:tcPr>
          <w:p w14:paraId="2E0A9E7C" w14:textId="77777777" w:rsidR="00424F6A" w:rsidRPr="0086627E" w:rsidRDefault="00424F6A" w:rsidP="00424F6A">
            <w:pPr>
              <w:spacing w:after="60"/>
              <w:rPr>
                <w:i/>
                <w:iCs/>
                <w:sz w:val="20"/>
              </w:rPr>
            </w:pPr>
            <w:r w:rsidRPr="0086627E">
              <w:rPr>
                <w:i/>
                <w:iCs/>
                <w:sz w:val="20"/>
              </w:rPr>
              <w:t>d</w:t>
            </w:r>
          </w:p>
        </w:tc>
        <w:tc>
          <w:tcPr>
            <w:tcW w:w="630" w:type="dxa"/>
            <w:tcBorders>
              <w:top w:val="single" w:sz="4" w:space="0" w:color="auto"/>
              <w:left w:val="single" w:sz="4" w:space="0" w:color="auto"/>
              <w:bottom w:val="single" w:sz="4" w:space="0" w:color="auto"/>
              <w:right w:val="single" w:sz="4" w:space="0" w:color="auto"/>
            </w:tcBorders>
          </w:tcPr>
          <w:p w14:paraId="686ED3FC" w14:textId="77777777" w:rsidR="00424F6A" w:rsidRPr="0086627E" w:rsidRDefault="00424F6A" w:rsidP="00424F6A">
            <w:pPr>
              <w:spacing w:after="60"/>
              <w:rPr>
                <w:iCs/>
                <w:sz w:val="20"/>
              </w:rPr>
            </w:pPr>
            <w:r w:rsidRPr="0086627E">
              <w:rPr>
                <w:iCs/>
                <w:sz w:val="20"/>
              </w:rPr>
              <w:t>none</w:t>
            </w:r>
          </w:p>
        </w:tc>
        <w:tc>
          <w:tcPr>
            <w:tcW w:w="6570" w:type="dxa"/>
            <w:tcBorders>
              <w:top w:val="single" w:sz="4" w:space="0" w:color="auto"/>
              <w:left w:val="single" w:sz="4" w:space="0" w:color="auto"/>
              <w:bottom w:val="single" w:sz="4" w:space="0" w:color="auto"/>
              <w:right w:val="single" w:sz="4" w:space="0" w:color="auto"/>
            </w:tcBorders>
          </w:tcPr>
          <w:p w14:paraId="7EC75BAF" w14:textId="77777777" w:rsidR="00424F6A" w:rsidRPr="0086627E" w:rsidRDefault="00424F6A" w:rsidP="00424F6A">
            <w:pPr>
              <w:spacing w:after="60"/>
              <w:rPr>
                <w:iCs/>
                <w:sz w:val="20"/>
                <w:lang w:val="fr-FR"/>
              </w:rPr>
            </w:pPr>
            <w:r w:rsidRPr="0086627E">
              <w:rPr>
                <w:iCs/>
                <w:sz w:val="20"/>
              </w:rPr>
              <w:t>An Operating Day during a Market Suspension</w:t>
            </w:r>
            <w:r w:rsidRPr="0086627E">
              <w:rPr>
                <w:i/>
                <w:iCs/>
                <w:sz w:val="20"/>
              </w:rPr>
              <w:t xml:space="preserve"> </w:t>
            </w:r>
            <w:r w:rsidRPr="0086627E">
              <w:rPr>
                <w:iCs/>
                <w:sz w:val="20"/>
              </w:rPr>
              <w:t>event.</w:t>
            </w:r>
          </w:p>
        </w:tc>
      </w:tr>
    </w:tbl>
    <w:p w14:paraId="6A2DF9AC" w14:textId="77777777" w:rsidR="00424F6A" w:rsidRPr="0086627E" w:rsidRDefault="00424F6A" w:rsidP="00424F6A">
      <w:pPr>
        <w:keepNext/>
        <w:tabs>
          <w:tab w:val="left" w:pos="1080"/>
        </w:tabs>
        <w:spacing w:before="480" w:after="240"/>
        <w:outlineLvl w:val="2"/>
        <w:rPr>
          <w:b/>
          <w:bCs/>
          <w:i/>
        </w:rPr>
      </w:pPr>
      <w:bookmarkStart w:id="28" w:name="_Toc493250759"/>
      <w:bookmarkStart w:id="29" w:name="_Toc181497"/>
      <w:bookmarkStart w:id="30" w:name="_Toc181595"/>
      <w:r w:rsidRPr="0086627E">
        <w:rPr>
          <w:b/>
          <w:bCs/>
          <w:i/>
        </w:rPr>
        <w:t>25.5.4</w:t>
      </w:r>
      <w:r w:rsidRPr="0086627E">
        <w:rPr>
          <w:b/>
          <w:bCs/>
          <w:i/>
        </w:rPr>
        <w:tab/>
        <w:t>Market Suspension Block Load Transfer Payment</w:t>
      </w:r>
      <w:bookmarkEnd w:id="28"/>
      <w:bookmarkEnd w:id="29"/>
      <w:bookmarkEnd w:id="30"/>
    </w:p>
    <w:p w14:paraId="00D03878" w14:textId="77777777" w:rsidR="00424F6A" w:rsidRPr="0086627E" w:rsidRDefault="00424F6A" w:rsidP="00424F6A">
      <w:pPr>
        <w:spacing w:after="240"/>
        <w:ind w:left="720" w:hanging="720"/>
        <w:rPr>
          <w:iCs/>
        </w:rPr>
      </w:pPr>
      <w:r w:rsidRPr="0086627E">
        <w:rPr>
          <w:iCs/>
        </w:rPr>
        <w:t>(1)</w:t>
      </w:r>
      <w:r w:rsidRPr="0086627E">
        <w:rPr>
          <w:iCs/>
        </w:rPr>
        <w:tab/>
        <w:t>The total payment to each QSE for the energy delivered to an ERCOT Load through a Block Load Transfer (BLT) Point that is moved in response to an ERCOT Verbal Dispatch Instruction (VDI) for an Operating Day during a Market Suspension is calculated as follows:</w:t>
      </w:r>
    </w:p>
    <w:p w14:paraId="4F13062B" w14:textId="581EE971" w:rsidR="0016529C" w:rsidRDefault="00424F6A" w:rsidP="0016529C">
      <w:pPr>
        <w:tabs>
          <w:tab w:val="left" w:pos="1440"/>
          <w:tab w:val="left" w:pos="3420"/>
        </w:tabs>
        <w:spacing w:before="240"/>
        <w:ind w:left="3420" w:hanging="2700"/>
        <w:rPr>
          <w:bCs/>
        </w:rPr>
      </w:pPr>
      <w:r w:rsidRPr="0086627E">
        <w:rPr>
          <w:bCs/>
        </w:rPr>
        <w:t xml:space="preserve">MSBLTRAMT </w:t>
      </w:r>
      <w:r w:rsidRPr="0086627E">
        <w:rPr>
          <w:bCs/>
          <w:i/>
          <w:vertAlign w:val="subscript"/>
        </w:rPr>
        <w:t>q, bltp, p,</w:t>
      </w:r>
      <w:r w:rsidR="0016529C">
        <w:rPr>
          <w:bCs/>
          <w:i/>
          <w:vertAlign w:val="subscript"/>
        </w:rPr>
        <w:t xml:space="preserve"> </w:t>
      </w:r>
      <w:r w:rsidRPr="0086627E">
        <w:rPr>
          <w:bCs/>
          <w:i/>
          <w:vertAlign w:val="subscript"/>
        </w:rPr>
        <w:t>d</w:t>
      </w:r>
      <w:r w:rsidRPr="0086627E">
        <w:rPr>
          <w:bCs/>
        </w:rPr>
        <w:t xml:space="preserve"> = </w:t>
      </w:r>
      <w:r w:rsidR="0016529C">
        <w:rPr>
          <w:bCs/>
        </w:rPr>
        <w:tab/>
      </w:r>
      <w:r w:rsidRPr="0086627E">
        <w:rPr>
          <w:bCs/>
        </w:rPr>
        <w:t xml:space="preserve">(-1) * </w:t>
      </w:r>
      <w:r w:rsidR="00F617A5">
        <w:rPr>
          <w:noProof/>
          <w:position w:val="-20"/>
        </w:rPr>
        <w:drawing>
          <wp:inline distT="0" distB="0" distL="0" distR="0" wp14:anchorId="39DA8BAF" wp14:editId="6CECEBCC">
            <wp:extent cx="191135" cy="381635"/>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135" cy="381635"/>
                    </a:xfrm>
                    <a:prstGeom prst="rect">
                      <a:avLst/>
                    </a:prstGeom>
                    <a:noFill/>
                    <a:ln>
                      <a:noFill/>
                    </a:ln>
                  </pic:spPr>
                </pic:pic>
              </a:graphicData>
            </a:graphic>
          </wp:inline>
        </w:drawing>
      </w:r>
      <w:r w:rsidRPr="0086627E">
        <w:rPr>
          <w:bCs/>
        </w:rPr>
        <w:t>(MSVEEPBLTP</w:t>
      </w:r>
      <w:r w:rsidR="0016529C">
        <w:rPr>
          <w:bCs/>
        </w:rPr>
        <w:t xml:space="preserve"> </w:t>
      </w:r>
      <w:r w:rsidRPr="0086627E">
        <w:rPr>
          <w:bCs/>
          <w:i/>
          <w:vertAlign w:val="subscript"/>
        </w:rPr>
        <w:t>q, bltp,</w:t>
      </w:r>
      <w:r w:rsidR="0016529C">
        <w:rPr>
          <w:bCs/>
          <w:i/>
          <w:vertAlign w:val="subscript"/>
        </w:rPr>
        <w:t xml:space="preserve"> </w:t>
      </w:r>
      <w:r w:rsidRPr="0086627E">
        <w:rPr>
          <w:bCs/>
          <w:i/>
          <w:vertAlign w:val="subscript"/>
        </w:rPr>
        <w:t>i</w:t>
      </w:r>
      <w:r w:rsidRPr="0086627E">
        <w:rPr>
          <w:bCs/>
        </w:rPr>
        <w:t xml:space="preserve"> </w:t>
      </w:r>
      <w:r w:rsidRPr="0086627E">
        <w:rPr>
          <w:bCs/>
          <w:i/>
        </w:rPr>
        <w:t>*</w:t>
      </w:r>
      <w:r w:rsidRPr="0086627E">
        <w:rPr>
          <w:bCs/>
        </w:rPr>
        <w:t xml:space="preserve"> MSCABLT * </w:t>
      </w:r>
    </w:p>
    <w:p w14:paraId="27E090C4" w14:textId="77777777" w:rsidR="00424F6A" w:rsidRPr="0086627E" w:rsidRDefault="0016529C" w:rsidP="0016529C">
      <w:pPr>
        <w:tabs>
          <w:tab w:val="left" w:pos="1440"/>
          <w:tab w:val="left" w:pos="3420"/>
        </w:tabs>
        <w:spacing w:after="240"/>
        <w:ind w:left="3420" w:hanging="2700"/>
        <w:rPr>
          <w:bCs/>
        </w:rPr>
      </w:pPr>
      <w:r>
        <w:rPr>
          <w:bCs/>
        </w:rPr>
        <w:tab/>
      </w:r>
      <w:r>
        <w:rPr>
          <w:bCs/>
        </w:rPr>
        <w:tab/>
      </w:r>
      <w:r w:rsidR="00424F6A" w:rsidRPr="0086627E">
        <w:rPr>
          <w:bCs/>
        </w:rPr>
        <w:t>BLTR</w:t>
      </w:r>
      <w:r>
        <w:rPr>
          <w:bCs/>
        </w:rPr>
        <w:t xml:space="preserve"> </w:t>
      </w:r>
      <w:r w:rsidR="00424F6A" w:rsidRPr="0086627E">
        <w:rPr>
          <w:bCs/>
          <w:i/>
          <w:vertAlign w:val="subscript"/>
        </w:rPr>
        <w:t>q, p,</w:t>
      </w:r>
      <w:r>
        <w:rPr>
          <w:bCs/>
          <w:i/>
          <w:vertAlign w:val="subscript"/>
        </w:rPr>
        <w:t xml:space="preserve"> </w:t>
      </w:r>
      <w:r w:rsidR="00424F6A" w:rsidRPr="0086627E">
        <w:rPr>
          <w:bCs/>
          <w:i/>
          <w:vertAlign w:val="subscript"/>
        </w:rPr>
        <w:t>bltp,</w:t>
      </w:r>
      <w:r>
        <w:rPr>
          <w:bCs/>
          <w:i/>
          <w:vertAlign w:val="subscript"/>
        </w:rPr>
        <w:t xml:space="preserve"> </w:t>
      </w:r>
      <w:r w:rsidR="00424F6A" w:rsidRPr="0086627E">
        <w:rPr>
          <w:bCs/>
          <w:i/>
          <w:vertAlign w:val="subscript"/>
        </w:rPr>
        <w:t>i</w:t>
      </w:r>
      <w:r w:rsidR="00424F6A" w:rsidRPr="0086627E">
        <w:rPr>
          <w:bCs/>
        </w:rPr>
        <w:t>)</w:t>
      </w:r>
    </w:p>
    <w:p w14:paraId="6D1E78C8" w14:textId="77777777" w:rsidR="00424F6A" w:rsidRPr="0086627E" w:rsidRDefault="00424F6A" w:rsidP="00424F6A">
      <w:r w:rsidRPr="0086627E">
        <w:t>The above variables are defined as follows:</w:t>
      </w: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635"/>
        <w:gridCol w:w="900"/>
        <w:gridCol w:w="6678"/>
      </w:tblGrid>
      <w:tr w:rsidR="00424F6A" w:rsidRPr="0086627E" w14:paraId="7E35787E" w14:textId="77777777" w:rsidTr="00424F6A">
        <w:tc>
          <w:tcPr>
            <w:tcW w:w="2635" w:type="dxa"/>
          </w:tcPr>
          <w:p w14:paraId="450C78BB" w14:textId="77777777" w:rsidR="00424F6A" w:rsidRPr="0086627E" w:rsidRDefault="00424F6A" w:rsidP="00424F6A">
            <w:pPr>
              <w:spacing w:after="240"/>
              <w:rPr>
                <w:b/>
                <w:iCs/>
                <w:sz w:val="20"/>
              </w:rPr>
            </w:pPr>
            <w:r w:rsidRPr="0086627E">
              <w:rPr>
                <w:b/>
                <w:iCs/>
                <w:sz w:val="20"/>
              </w:rPr>
              <w:t>Variable</w:t>
            </w:r>
          </w:p>
        </w:tc>
        <w:tc>
          <w:tcPr>
            <w:tcW w:w="900" w:type="dxa"/>
          </w:tcPr>
          <w:p w14:paraId="0A808351" w14:textId="77777777" w:rsidR="00424F6A" w:rsidRPr="0086627E" w:rsidRDefault="00424F6A" w:rsidP="00424F6A">
            <w:pPr>
              <w:spacing w:after="240"/>
              <w:rPr>
                <w:b/>
                <w:iCs/>
                <w:sz w:val="20"/>
              </w:rPr>
            </w:pPr>
            <w:r w:rsidRPr="0086627E">
              <w:rPr>
                <w:b/>
                <w:iCs/>
                <w:sz w:val="20"/>
              </w:rPr>
              <w:t>Unit</w:t>
            </w:r>
          </w:p>
        </w:tc>
        <w:tc>
          <w:tcPr>
            <w:tcW w:w="6678" w:type="dxa"/>
          </w:tcPr>
          <w:p w14:paraId="7F3A64AF" w14:textId="77777777" w:rsidR="00424F6A" w:rsidRPr="0086627E" w:rsidRDefault="00424F6A" w:rsidP="00424F6A">
            <w:pPr>
              <w:spacing w:after="240"/>
              <w:rPr>
                <w:b/>
                <w:iCs/>
                <w:sz w:val="20"/>
              </w:rPr>
            </w:pPr>
            <w:r w:rsidRPr="0086627E">
              <w:rPr>
                <w:b/>
                <w:iCs/>
                <w:sz w:val="20"/>
              </w:rPr>
              <w:t>Definition</w:t>
            </w:r>
          </w:p>
        </w:tc>
      </w:tr>
      <w:tr w:rsidR="00424F6A" w:rsidRPr="0086627E" w14:paraId="119BEC77" w14:textId="77777777" w:rsidTr="00424F6A">
        <w:tc>
          <w:tcPr>
            <w:tcW w:w="2635" w:type="dxa"/>
          </w:tcPr>
          <w:p w14:paraId="645C81C4" w14:textId="77777777" w:rsidR="00424F6A" w:rsidRPr="0086627E" w:rsidRDefault="00424F6A" w:rsidP="00424F6A">
            <w:pPr>
              <w:spacing w:after="60"/>
              <w:rPr>
                <w:iCs/>
                <w:sz w:val="20"/>
              </w:rPr>
            </w:pPr>
            <w:r w:rsidRPr="0086627E">
              <w:rPr>
                <w:iCs/>
                <w:sz w:val="20"/>
              </w:rPr>
              <w:t xml:space="preserve">MSBLTRAMT </w:t>
            </w:r>
            <w:r w:rsidRPr="0086627E">
              <w:rPr>
                <w:i/>
                <w:iCs/>
                <w:sz w:val="20"/>
                <w:vertAlign w:val="subscript"/>
              </w:rPr>
              <w:t>q, bltp, p,</w:t>
            </w:r>
            <w:r w:rsidR="0016529C">
              <w:rPr>
                <w:i/>
                <w:iCs/>
                <w:sz w:val="20"/>
                <w:vertAlign w:val="subscript"/>
              </w:rPr>
              <w:t xml:space="preserve"> </w:t>
            </w:r>
            <w:r w:rsidRPr="0086627E">
              <w:rPr>
                <w:i/>
                <w:iCs/>
                <w:sz w:val="20"/>
                <w:vertAlign w:val="subscript"/>
              </w:rPr>
              <w:t>d</w:t>
            </w:r>
          </w:p>
        </w:tc>
        <w:tc>
          <w:tcPr>
            <w:tcW w:w="900" w:type="dxa"/>
          </w:tcPr>
          <w:p w14:paraId="4BEB301E" w14:textId="77777777" w:rsidR="00424F6A" w:rsidRPr="0086627E" w:rsidRDefault="00424F6A" w:rsidP="00424F6A">
            <w:pPr>
              <w:spacing w:after="60"/>
              <w:rPr>
                <w:iCs/>
                <w:sz w:val="20"/>
              </w:rPr>
            </w:pPr>
            <w:r w:rsidRPr="0086627E">
              <w:rPr>
                <w:iCs/>
                <w:sz w:val="20"/>
              </w:rPr>
              <w:t>$</w:t>
            </w:r>
          </w:p>
        </w:tc>
        <w:tc>
          <w:tcPr>
            <w:tcW w:w="6678" w:type="dxa"/>
          </w:tcPr>
          <w:p w14:paraId="18A1C8AA" w14:textId="77777777" w:rsidR="00424F6A" w:rsidRPr="0086627E" w:rsidRDefault="00424F6A" w:rsidP="00424F6A">
            <w:pPr>
              <w:spacing w:after="60"/>
              <w:rPr>
                <w:iCs/>
                <w:sz w:val="20"/>
              </w:rPr>
            </w:pPr>
            <w:r w:rsidRPr="0086627E">
              <w:rPr>
                <w:i/>
                <w:iCs/>
                <w:sz w:val="20"/>
              </w:rPr>
              <w:t>Market Suspension Block Load Transfer Resource Amount per QSE per Settlement Point per BLT Point</w:t>
            </w:r>
            <w:r w:rsidRPr="0086627E">
              <w:rPr>
                <w:i/>
                <w:sz w:val="20"/>
              </w:rPr>
              <w:t xml:space="preserve"> – </w:t>
            </w:r>
            <w:r w:rsidRPr="0086627E">
              <w:rPr>
                <w:iCs/>
                <w:sz w:val="20"/>
              </w:rPr>
              <w:t xml:space="preserve">The payment to QSE </w:t>
            </w:r>
            <w:r w:rsidRPr="0086627E">
              <w:rPr>
                <w:i/>
                <w:iCs/>
                <w:sz w:val="20"/>
              </w:rPr>
              <w:t>q</w:t>
            </w:r>
            <w:r w:rsidRPr="0086627E">
              <w:rPr>
                <w:iCs/>
                <w:sz w:val="20"/>
              </w:rPr>
              <w:t xml:space="preserve"> for the BLT Resource that delivers energy to Load Zone </w:t>
            </w:r>
            <w:r w:rsidRPr="0086627E">
              <w:rPr>
                <w:i/>
                <w:iCs/>
                <w:sz w:val="20"/>
              </w:rPr>
              <w:t>p</w:t>
            </w:r>
            <w:r w:rsidRPr="0086627E">
              <w:rPr>
                <w:iCs/>
                <w:sz w:val="20"/>
              </w:rPr>
              <w:t xml:space="preserve"> through BLT Point </w:t>
            </w:r>
            <w:r w:rsidRPr="0086627E">
              <w:rPr>
                <w:i/>
                <w:iCs/>
                <w:sz w:val="20"/>
              </w:rPr>
              <w:t xml:space="preserve">bltp </w:t>
            </w:r>
            <w:r w:rsidRPr="0086627E">
              <w:rPr>
                <w:iCs/>
                <w:sz w:val="20"/>
              </w:rPr>
              <w:t xml:space="preserve">during a Market Suspension, for the Operating Day </w:t>
            </w:r>
            <w:r w:rsidRPr="0086627E">
              <w:rPr>
                <w:i/>
                <w:iCs/>
                <w:sz w:val="20"/>
              </w:rPr>
              <w:t>d</w:t>
            </w:r>
            <w:r w:rsidRPr="0086627E">
              <w:rPr>
                <w:iCs/>
                <w:sz w:val="20"/>
              </w:rPr>
              <w:t>.</w:t>
            </w:r>
          </w:p>
        </w:tc>
      </w:tr>
      <w:tr w:rsidR="00424F6A" w:rsidRPr="0086627E" w14:paraId="1F9D5513" w14:textId="77777777" w:rsidTr="00424F6A">
        <w:tc>
          <w:tcPr>
            <w:tcW w:w="2635" w:type="dxa"/>
          </w:tcPr>
          <w:p w14:paraId="25CB4861" w14:textId="77777777" w:rsidR="00424F6A" w:rsidRPr="0086627E" w:rsidRDefault="00424F6A" w:rsidP="00424F6A">
            <w:pPr>
              <w:spacing w:after="60"/>
              <w:rPr>
                <w:iCs/>
                <w:sz w:val="20"/>
              </w:rPr>
            </w:pPr>
            <w:r w:rsidRPr="0086627E">
              <w:rPr>
                <w:iCs/>
                <w:sz w:val="20"/>
              </w:rPr>
              <w:t xml:space="preserve">MSVEEPBLTP </w:t>
            </w:r>
            <w:r w:rsidRPr="0086627E">
              <w:rPr>
                <w:i/>
                <w:iCs/>
                <w:sz w:val="20"/>
                <w:vertAlign w:val="subscript"/>
              </w:rPr>
              <w:t>q, bltp, i</w:t>
            </w:r>
          </w:p>
        </w:tc>
        <w:tc>
          <w:tcPr>
            <w:tcW w:w="900" w:type="dxa"/>
          </w:tcPr>
          <w:p w14:paraId="02A47F18" w14:textId="77777777" w:rsidR="00424F6A" w:rsidRPr="0086627E" w:rsidRDefault="00424F6A" w:rsidP="00424F6A">
            <w:pPr>
              <w:spacing w:after="60"/>
              <w:rPr>
                <w:iCs/>
                <w:sz w:val="20"/>
              </w:rPr>
            </w:pPr>
            <w:r w:rsidRPr="0086627E">
              <w:rPr>
                <w:iCs/>
                <w:sz w:val="20"/>
              </w:rPr>
              <w:t>$/MWh</w:t>
            </w:r>
          </w:p>
        </w:tc>
        <w:tc>
          <w:tcPr>
            <w:tcW w:w="6678" w:type="dxa"/>
          </w:tcPr>
          <w:p w14:paraId="7BAC64A0" w14:textId="77777777" w:rsidR="00424F6A" w:rsidRPr="0086627E" w:rsidRDefault="00424F6A" w:rsidP="00424F6A">
            <w:pPr>
              <w:spacing w:after="60"/>
              <w:rPr>
                <w:i/>
                <w:iCs/>
                <w:sz w:val="20"/>
              </w:rPr>
            </w:pPr>
            <w:r w:rsidRPr="0086627E">
              <w:rPr>
                <w:i/>
                <w:iCs/>
                <w:sz w:val="20"/>
              </w:rPr>
              <w:t>Market Suspension Verified Emergency Energy Price at BLT Point</w:t>
            </w:r>
            <w:r w:rsidRPr="0086627E">
              <w:rPr>
                <w:i/>
                <w:sz w:val="20"/>
              </w:rPr>
              <w:t xml:space="preserve"> – </w:t>
            </w:r>
            <w:r w:rsidRPr="0086627E">
              <w:rPr>
                <w:iCs/>
                <w:sz w:val="20"/>
              </w:rPr>
              <w:t xml:space="preserve">The ERCOT verified cost for the energy delivered to an ERCOT Load through BLT Point </w:t>
            </w:r>
            <w:r w:rsidRPr="0086627E">
              <w:rPr>
                <w:i/>
                <w:iCs/>
                <w:sz w:val="20"/>
              </w:rPr>
              <w:t>bltp</w:t>
            </w:r>
            <w:r w:rsidRPr="0086627E">
              <w:rPr>
                <w:iCs/>
                <w:sz w:val="20"/>
              </w:rPr>
              <w:t xml:space="preserve">, represented by QSE </w:t>
            </w:r>
            <w:r w:rsidRPr="0086627E">
              <w:rPr>
                <w:i/>
                <w:iCs/>
                <w:sz w:val="20"/>
              </w:rPr>
              <w:t>q</w:t>
            </w:r>
            <w:r w:rsidRPr="0086627E">
              <w:rPr>
                <w:iCs/>
                <w:sz w:val="20"/>
              </w:rPr>
              <w:t xml:space="preserve"> during a Market Suspension event in ERCOT as determined by an ERCOT VDI, for the 15-minute Settlement Interval </w:t>
            </w:r>
            <w:r w:rsidRPr="0086627E">
              <w:rPr>
                <w:i/>
                <w:iCs/>
                <w:sz w:val="20"/>
              </w:rPr>
              <w:t>i</w:t>
            </w:r>
            <w:r w:rsidRPr="0086627E">
              <w:rPr>
                <w:iCs/>
                <w:sz w:val="20"/>
              </w:rPr>
              <w:t>.</w:t>
            </w:r>
          </w:p>
        </w:tc>
      </w:tr>
      <w:tr w:rsidR="00424F6A" w:rsidRPr="0086627E" w14:paraId="57DAB27A" w14:textId="77777777" w:rsidTr="00424F6A">
        <w:tc>
          <w:tcPr>
            <w:tcW w:w="2635" w:type="dxa"/>
          </w:tcPr>
          <w:p w14:paraId="71D5898C" w14:textId="77777777" w:rsidR="00424F6A" w:rsidRPr="0086627E" w:rsidRDefault="00424F6A" w:rsidP="00424F6A">
            <w:pPr>
              <w:spacing w:after="60"/>
              <w:rPr>
                <w:iCs/>
                <w:sz w:val="20"/>
              </w:rPr>
            </w:pPr>
            <w:r w:rsidRPr="0086627E">
              <w:rPr>
                <w:iCs/>
                <w:sz w:val="20"/>
              </w:rPr>
              <w:t>MSCABLT</w:t>
            </w:r>
          </w:p>
        </w:tc>
        <w:tc>
          <w:tcPr>
            <w:tcW w:w="900" w:type="dxa"/>
          </w:tcPr>
          <w:p w14:paraId="280AC349" w14:textId="77777777" w:rsidR="00424F6A" w:rsidRPr="0086627E" w:rsidRDefault="00424F6A" w:rsidP="00424F6A">
            <w:pPr>
              <w:spacing w:after="60"/>
              <w:rPr>
                <w:iCs/>
                <w:sz w:val="20"/>
              </w:rPr>
            </w:pPr>
            <w:r w:rsidRPr="0086627E">
              <w:rPr>
                <w:iCs/>
                <w:sz w:val="20"/>
              </w:rPr>
              <w:t>none</w:t>
            </w:r>
          </w:p>
        </w:tc>
        <w:tc>
          <w:tcPr>
            <w:tcW w:w="6678" w:type="dxa"/>
          </w:tcPr>
          <w:p w14:paraId="3FF29213" w14:textId="77777777" w:rsidR="00424F6A" w:rsidRPr="0086627E" w:rsidRDefault="00424F6A" w:rsidP="00424F6A">
            <w:pPr>
              <w:spacing w:after="60"/>
              <w:rPr>
                <w:i/>
                <w:iCs/>
                <w:sz w:val="20"/>
              </w:rPr>
            </w:pPr>
            <w:r w:rsidRPr="0086627E">
              <w:rPr>
                <w:i/>
                <w:iCs/>
                <w:sz w:val="20"/>
              </w:rPr>
              <w:t>Market Suspension Cost Adder for Block Load Transfer</w:t>
            </w:r>
            <w:r w:rsidRPr="0086627E">
              <w:rPr>
                <w:i/>
                <w:sz w:val="20"/>
              </w:rPr>
              <w:t xml:space="preserve"> – </w:t>
            </w:r>
            <w:r w:rsidRPr="0086627E">
              <w:rPr>
                <w:iCs/>
                <w:sz w:val="20"/>
              </w:rPr>
              <w:t>A multiplier of 1.10.</w:t>
            </w:r>
          </w:p>
        </w:tc>
      </w:tr>
      <w:tr w:rsidR="00424F6A" w:rsidRPr="0086627E" w14:paraId="16859644" w14:textId="77777777" w:rsidTr="00424F6A">
        <w:tc>
          <w:tcPr>
            <w:tcW w:w="2635" w:type="dxa"/>
          </w:tcPr>
          <w:p w14:paraId="7BFDC869" w14:textId="77777777" w:rsidR="00424F6A" w:rsidRPr="0086627E" w:rsidRDefault="00424F6A" w:rsidP="00424F6A">
            <w:pPr>
              <w:spacing w:after="60"/>
              <w:rPr>
                <w:iCs/>
                <w:sz w:val="20"/>
              </w:rPr>
            </w:pPr>
            <w:r w:rsidRPr="0086627E">
              <w:rPr>
                <w:iCs/>
                <w:sz w:val="20"/>
              </w:rPr>
              <w:t xml:space="preserve">BLTR </w:t>
            </w:r>
            <w:r w:rsidRPr="0086627E">
              <w:rPr>
                <w:iCs/>
                <w:sz w:val="20"/>
                <w:vertAlign w:val="subscript"/>
              </w:rPr>
              <w:t xml:space="preserve"> </w:t>
            </w:r>
            <w:r w:rsidRPr="0086627E">
              <w:rPr>
                <w:i/>
                <w:iCs/>
                <w:sz w:val="20"/>
                <w:vertAlign w:val="subscript"/>
              </w:rPr>
              <w:t>q, p, bltp, i</w:t>
            </w:r>
          </w:p>
        </w:tc>
        <w:tc>
          <w:tcPr>
            <w:tcW w:w="900" w:type="dxa"/>
          </w:tcPr>
          <w:p w14:paraId="51FE5908" w14:textId="77777777" w:rsidR="00424F6A" w:rsidRPr="0086627E" w:rsidRDefault="00424F6A" w:rsidP="00424F6A">
            <w:pPr>
              <w:spacing w:after="60"/>
              <w:rPr>
                <w:iCs/>
                <w:sz w:val="20"/>
              </w:rPr>
            </w:pPr>
            <w:r w:rsidRPr="0086627E">
              <w:rPr>
                <w:iCs/>
                <w:sz w:val="20"/>
              </w:rPr>
              <w:t>MWh</w:t>
            </w:r>
          </w:p>
        </w:tc>
        <w:tc>
          <w:tcPr>
            <w:tcW w:w="6678" w:type="dxa"/>
          </w:tcPr>
          <w:p w14:paraId="25AA6F89" w14:textId="77777777" w:rsidR="00424F6A" w:rsidRPr="0086627E" w:rsidRDefault="00424F6A" w:rsidP="00424F6A">
            <w:pPr>
              <w:spacing w:after="60"/>
              <w:rPr>
                <w:iCs/>
                <w:sz w:val="20"/>
              </w:rPr>
            </w:pPr>
            <w:r w:rsidRPr="0086627E">
              <w:rPr>
                <w:i/>
                <w:iCs/>
                <w:sz w:val="20"/>
              </w:rPr>
              <w:t>Block Load Transfer Resource per QSE per Settlement Point per BLT Point</w:t>
            </w:r>
            <w:r w:rsidRPr="0086627E">
              <w:rPr>
                <w:i/>
                <w:sz w:val="20"/>
              </w:rPr>
              <w:t xml:space="preserve"> – </w:t>
            </w:r>
            <w:r w:rsidRPr="0086627E">
              <w:rPr>
                <w:iCs/>
                <w:sz w:val="20"/>
              </w:rPr>
              <w:t xml:space="preserve">The energy delivered to an ERCOT Load in Load Zone </w:t>
            </w:r>
            <w:r w:rsidRPr="0086627E">
              <w:rPr>
                <w:i/>
                <w:iCs/>
                <w:sz w:val="20"/>
              </w:rPr>
              <w:t>p</w:t>
            </w:r>
            <w:r w:rsidRPr="0086627E">
              <w:rPr>
                <w:iCs/>
                <w:sz w:val="20"/>
              </w:rPr>
              <w:t xml:space="preserve"> through BLT Point </w:t>
            </w:r>
            <w:r w:rsidRPr="0086627E">
              <w:rPr>
                <w:i/>
                <w:iCs/>
                <w:sz w:val="20"/>
              </w:rPr>
              <w:t>bltp</w:t>
            </w:r>
            <w:r w:rsidRPr="0086627E">
              <w:rPr>
                <w:iCs/>
                <w:sz w:val="20"/>
              </w:rPr>
              <w:t xml:space="preserve"> represented by QSE </w:t>
            </w:r>
            <w:r w:rsidRPr="0086627E">
              <w:rPr>
                <w:i/>
                <w:iCs/>
                <w:sz w:val="20"/>
              </w:rPr>
              <w:t>q</w:t>
            </w:r>
            <w:r w:rsidRPr="0086627E">
              <w:rPr>
                <w:iCs/>
                <w:sz w:val="20"/>
              </w:rPr>
              <w:t xml:space="preserve">, during a Market Suspension event, for the 15-minute Settlement Interval </w:t>
            </w:r>
            <w:r w:rsidRPr="0086627E">
              <w:rPr>
                <w:i/>
                <w:iCs/>
                <w:sz w:val="20"/>
              </w:rPr>
              <w:t>i</w:t>
            </w:r>
            <w:r w:rsidRPr="0086627E">
              <w:rPr>
                <w:iCs/>
                <w:sz w:val="20"/>
              </w:rPr>
              <w:t xml:space="preserve">.  </w:t>
            </w:r>
          </w:p>
        </w:tc>
      </w:tr>
      <w:tr w:rsidR="00424F6A" w:rsidRPr="0086627E" w14:paraId="5432CD9D" w14:textId="77777777" w:rsidTr="00424F6A">
        <w:tc>
          <w:tcPr>
            <w:tcW w:w="2635" w:type="dxa"/>
          </w:tcPr>
          <w:p w14:paraId="1DE26AB9" w14:textId="77777777" w:rsidR="00424F6A" w:rsidRPr="0086627E" w:rsidRDefault="00424F6A" w:rsidP="00424F6A">
            <w:pPr>
              <w:spacing w:after="60"/>
              <w:rPr>
                <w:i/>
                <w:iCs/>
                <w:sz w:val="20"/>
              </w:rPr>
            </w:pPr>
            <w:r w:rsidRPr="0086627E">
              <w:rPr>
                <w:i/>
                <w:iCs/>
                <w:sz w:val="20"/>
              </w:rPr>
              <w:t>q</w:t>
            </w:r>
          </w:p>
        </w:tc>
        <w:tc>
          <w:tcPr>
            <w:tcW w:w="900" w:type="dxa"/>
          </w:tcPr>
          <w:p w14:paraId="122501A5" w14:textId="77777777" w:rsidR="00424F6A" w:rsidRPr="0086627E" w:rsidRDefault="00424F6A" w:rsidP="00424F6A">
            <w:pPr>
              <w:spacing w:after="60"/>
              <w:rPr>
                <w:iCs/>
                <w:sz w:val="20"/>
              </w:rPr>
            </w:pPr>
            <w:r w:rsidRPr="0086627E">
              <w:rPr>
                <w:iCs/>
                <w:sz w:val="20"/>
              </w:rPr>
              <w:t>none</w:t>
            </w:r>
          </w:p>
        </w:tc>
        <w:tc>
          <w:tcPr>
            <w:tcW w:w="6678" w:type="dxa"/>
          </w:tcPr>
          <w:p w14:paraId="30BCC087" w14:textId="77777777" w:rsidR="00424F6A" w:rsidRPr="0086627E" w:rsidRDefault="00424F6A" w:rsidP="00424F6A">
            <w:pPr>
              <w:spacing w:after="60"/>
              <w:rPr>
                <w:i/>
                <w:iCs/>
                <w:sz w:val="20"/>
              </w:rPr>
            </w:pPr>
            <w:r w:rsidRPr="0086627E">
              <w:rPr>
                <w:iCs/>
                <w:sz w:val="20"/>
              </w:rPr>
              <w:t>A QSE.</w:t>
            </w:r>
          </w:p>
        </w:tc>
      </w:tr>
      <w:tr w:rsidR="00424F6A" w:rsidRPr="0086627E" w14:paraId="0BC96E7E" w14:textId="77777777" w:rsidTr="00424F6A">
        <w:tc>
          <w:tcPr>
            <w:tcW w:w="2635" w:type="dxa"/>
          </w:tcPr>
          <w:p w14:paraId="3C06E052" w14:textId="77777777" w:rsidR="00424F6A" w:rsidRPr="0086627E" w:rsidRDefault="00424F6A" w:rsidP="00424F6A">
            <w:pPr>
              <w:spacing w:after="60"/>
              <w:rPr>
                <w:i/>
                <w:iCs/>
                <w:sz w:val="20"/>
              </w:rPr>
            </w:pPr>
            <w:r w:rsidRPr="0086627E">
              <w:rPr>
                <w:i/>
                <w:iCs/>
                <w:sz w:val="20"/>
              </w:rPr>
              <w:t>p</w:t>
            </w:r>
          </w:p>
        </w:tc>
        <w:tc>
          <w:tcPr>
            <w:tcW w:w="900" w:type="dxa"/>
          </w:tcPr>
          <w:p w14:paraId="6ED86CEC" w14:textId="77777777" w:rsidR="00424F6A" w:rsidRPr="0086627E" w:rsidRDefault="00424F6A" w:rsidP="00424F6A">
            <w:pPr>
              <w:spacing w:after="60"/>
              <w:rPr>
                <w:iCs/>
                <w:sz w:val="20"/>
              </w:rPr>
            </w:pPr>
            <w:r w:rsidRPr="0086627E">
              <w:rPr>
                <w:iCs/>
                <w:sz w:val="20"/>
              </w:rPr>
              <w:t>none</w:t>
            </w:r>
          </w:p>
        </w:tc>
        <w:tc>
          <w:tcPr>
            <w:tcW w:w="6678" w:type="dxa"/>
          </w:tcPr>
          <w:p w14:paraId="7FD79058" w14:textId="77777777" w:rsidR="00424F6A" w:rsidRPr="0086627E" w:rsidRDefault="00424F6A" w:rsidP="00424F6A">
            <w:pPr>
              <w:spacing w:after="60"/>
              <w:rPr>
                <w:i/>
                <w:iCs/>
                <w:sz w:val="20"/>
              </w:rPr>
            </w:pPr>
            <w:r w:rsidRPr="0086627E">
              <w:rPr>
                <w:iCs/>
                <w:sz w:val="20"/>
              </w:rPr>
              <w:t>A Load Zone Settlement Point.</w:t>
            </w:r>
          </w:p>
        </w:tc>
      </w:tr>
      <w:tr w:rsidR="00424F6A" w:rsidRPr="0086627E" w14:paraId="74ED6BBD" w14:textId="77777777" w:rsidTr="00424F6A">
        <w:tc>
          <w:tcPr>
            <w:tcW w:w="2635" w:type="dxa"/>
          </w:tcPr>
          <w:p w14:paraId="49A08840" w14:textId="77777777" w:rsidR="00424F6A" w:rsidRPr="0086627E" w:rsidRDefault="00424F6A" w:rsidP="00424F6A">
            <w:pPr>
              <w:spacing w:after="60"/>
              <w:rPr>
                <w:i/>
                <w:iCs/>
                <w:sz w:val="20"/>
              </w:rPr>
            </w:pPr>
            <w:r w:rsidRPr="0086627E">
              <w:rPr>
                <w:i/>
                <w:iCs/>
                <w:sz w:val="20"/>
              </w:rPr>
              <w:t>bltp</w:t>
            </w:r>
          </w:p>
        </w:tc>
        <w:tc>
          <w:tcPr>
            <w:tcW w:w="900" w:type="dxa"/>
          </w:tcPr>
          <w:p w14:paraId="2E97ED19" w14:textId="77777777" w:rsidR="00424F6A" w:rsidRPr="0086627E" w:rsidRDefault="00424F6A" w:rsidP="00424F6A">
            <w:pPr>
              <w:spacing w:after="60"/>
              <w:rPr>
                <w:iCs/>
                <w:sz w:val="20"/>
              </w:rPr>
            </w:pPr>
            <w:r w:rsidRPr="0086627E">
              <w:rPr>
                <w:iCs/>
                <w:sz w:val="20"/>
              </w:rPr>
              <w:t>none</w:t>
            </w:r>
          </w:p>
        </w:tc>
        <w:tc>
          <w:tcPr>
            <w:tcW w:w="6678" w:type="dxa"/>
          </w:tcPr>
          <w:p w14:paraId="156F9680" w14:textId="77777777" w:rsidR="00424F6A" w:rsidRPr="0086627E" w:rsidRDefault="00424F6A" w:rsidP="00424F6A">
            <w:pPr>
              <w:spacing w:after="60"/>
              <w:rPr>
                <w:iCs/>
                <w:sz w:val="20"/>
              </w:rPr>
            </w:pPr>
            <w:r w:rsidRPr="0086627E">
              <w:rPr>
                <w:iCs/>
                <w:sz w:val="20"/>
              </w:rPr>
              <w:t>A BLT Point.</w:t>
            </w:r>
          </w:p>
        </w:tc>
      </w:tr>
      <w:tr w:rsidR="00424F6A" w:rsidRPr="0086627E" w14:paraId="02E7BEA1" w14:textId="77777777" w:rsidTr="00424F6A">
        <w:tc>
          <w:tcPr>
            <w:tcW w:w="2635" w:type="dxa"/>
          </w:tcPr>
          <w:p w14:paraId="534B1730" w14:textId="77777777" w:rsidR="00424F6A" w:rsidRPr="0086627E" w:rsidRDefault="00424F6A" w:rsidP="00424F6A">
            <w:pPr>
              <w:spacing w:after="60"/>
              <w:rPr>
                <w:i/>
                <w:iCs/>
                <w:sz w:val="20"/>
              </w:rPr>
            </w:pPr>
            <w:r w:rsidRPr="0086627E">
              <w:rPr>
                <w:i/>
                <w:iCs/>
                <w:sz w:val="20"/>
              </w:rPr>
              <w:t>i</w:t>
            </w:r>
          </w:p>
        </w:tc>
        <w:tc>
          <w:tcPr>
            <w:tcW w:w="900" w:type="dxa"/>
          </w:tcPr>
          <w:p w14:paraId="02C56B13" w14:textId="77777777" w:rsidR="00424F6A" w:rsidRPr="0086627E" w:rsidRDefault="00424F6A" w:rsidP="00424F6A">
            <w:pPr>
              <w:spacing w:after="60"/>
              <w:rPr>
                <w:iCs/>
                <w:sz w:val="20"/>
              </w:rPr>
            </w:pPr>
            <w:r w:rsidRPr="0086627E">
              <w:rPr>
                <w:iCs/>
                <w:sz w:val="20"/>
              </w:rPr>
              <w:t>none</w:t>
            </w:r>
          </w:p>
        </w:tc>
        <w:tc>
          <w:tcPr>
            <w:tcW w:w="6678" w:type="dxa"/>
          </w:tcPr>
          <w:p w14:paraId="6AA97B30" w14:textId="77777777" w:rsidR="00424F6A" w:rsidRPr="0086627E" w:rsidRDefault="00424F6A" w:rsidP="00424F6A">
            <w:pPr>
              <w:spacing w:after="60"/>
              <w:rPr>
                <w:iCs/>
                <w:sz w:val="20"/>
              </w:rPr>
            </w:pPr>
            <w:r w:rsidRPr="0086627E">
              <w:rPr>
                <w:iCs/>
                <w:sz w:val="20"/>
              </w:rPr>
              <w:t>A 15-minute Settlement Interval within the hour of an Operating Day of a Market Suspension</w:t>
            </w:r>
            <w:r w:rsidRPr="0086627E">
              <w:rPr>
                <w:i/>
                <w:iCs/>
                <w:sz w:val="20"/>
              </w:rPr>
              <w:t xml:space="preserve"> </w:t>
            </w:r>
            <w:r w:rsidRPr="0086627E">
              <w:rPr>
                <w:iCs/>
                <w:sz w:val="20"/>
              </w:rPr>
              <w:t>event.</w:t>
            </w:r>
          </w:p>
        </w:tc>
      </w:tr>
      <w:tr w:rsidR="00424F6A" w:rsidRPr="0086627E" w14:paraId="483D659C" w14:textId="77777777" w:rsidTr="00424F6A">
        <w:tc>
          <w:tcPr>
            <w:tcW w:w="2635" w:type="dxa"/>
          </w:tcPr>
          <w:p w14:paraId="0F88D6F8" w14:textId="77777777" w:rsidR="00424F6A" w:rsidRPr="0086627E" w:rsidRDefault="00424F6A" w:rsidP="00424F6A">
            <w:pPr>
              <w:spacing w:after="60"/>
              <w:rPr>
                <w:i/>
                <w:iCs/>
                <w:sz w:val="20"/>
              </w:rPr>
            </w:pPr>
            <w:r w:rsidRPr="0086627E">
              <w:rPr>
                <w:i/>
                <w:iCs/>
                <w:sz w:val="20"/>
              </w:rPr>
              <w:t>d</w:t>
            </w:r>
          </w:p>
        </w:tc>
        <w:tc>
          <w:tcPr>
            <w:tcW w:w="900" w:type="dxa"/>
          </w:tcPr>
          <w:p w14:paraId="0FABAF95" w14:textId="77777777" w:rsidR="00424F6A" w:rsidRPr="0086627E" w:rsidRDefault="00424F6A" w:rsidP="00424F6A">
            <w:pPr>
              <w:spacing w:after="60"/>
              <w:rPr>
                <w:iCs/>
                <w:sz w:val="20"/>
              </w:rPr>
            </w:pPr>
            <w:r w:rsidRPr="0086627E">
              <w:rPr>
                <w:iCs/>
                <w:sz w:val="20"/>
              </w:rPr>
              <w:t>none</w:t>
            </w:r>
          </w:p>
        </w:tc>
        <w:tc>
          <w:tcPr>
            <w:tcW w:w="6678" w:type="dxa"/>
          </w:tcPr>
          <w:p w14:paraId="487B962F" w14:textId="77777777" w:rsidR="00424F6A" w:rsidRPr="0086627E" w:rsidRDefault="00424F6A" w:rsidP="00424F6A">
            <w:pPr>
              <w:spacing w:after="60"/>
              <w:rPr>
                <w:iCs/>
                <w:sz w:val="20"/>
              </w:rPr>
            </w:pPr>
            <w:r w:rsidRPr="0086627E">
              <w:rPr>
                <w:iCs/>
                <w:sz w:val="20"/>
              </w:rPr>
              <w:t>An Operating Day during a Market Suspension</w:t>
            </w:r>
            <w:r w:rsidRPr="0086627E">
              <w:rPr>
                <w:i/>
                <w:iCs/>
                <w:sz w:val="20"/>
              </w:rPr>
              <w:t xml:space="preserve"> </w:t>
            </w:r>
            <w:r w:rsidRPr="0086627E">
              <w:rPr>
                <w:iCs/>
                <w:sz w:val="20"/>
              </w:rPr>
              <w:t>event.</w:t>
            </w:r>
          </w:p>
        </w:tc>
      </w:tr>
    </w:tbl>
    <w:p w14:paraId="766FF805" w14:textId="77777777" w:rsidR="00424F6A" w:rsidRPr="0086627E" w:rsidRDefault="00424F6A" w:rsidP="00424F6A">
      <w:pPr>
        <w:spacing w:before="240" w:after="240"/>
        <w:ind w:left="720" w:hanging="720"/>
        <w:rPr>
          <w:iCs/>
        </w:rPr>
      </w:pPr>
      <w:bookmarkStart w:id="31" w:name="_Toc87951789"/>
      <w:bookmarkStart w:id="32" w:name="_Toc109009394"/>
      <w:r w:rsidRPr="0086627E">
        <w:rPr>
          <w:iCs/>
        </w:rPr>
        <w:t>(2)</w:t>
      </w:r>
      <w:r w:rsidRPr="0086627E">
        <w:rPr>
          <w:iCs/>
        </w:rPr>
        <w:tab/>
        <w:t>The total payment to each QSE for all energy delivered to ERCOT Loads through BLT Points during a Market Suspension event</w:t>
      </w:r>
      <w:r w:rsidRPr="0086627E">
        <w:rPr>
          <w:i/>
          <w:iCs/>
        </w:rPr>
        <w:t xml:space="preserve"> </w:t>
      </w:r>
      <w:r w:rsidRPr="0086627E">
        <w:rPr>
          <w:iCs/>
        </w:rPr>
        <w:t>for the Operating Day is calculated as follows:</w:t>
      </w:r>
    </w:p>
    <w:p w14:paraId="408ADCAA" w14:textId="70AEE725" w:rsidR="00424F6A" w:rsidRPr="0086627E" w:rsidRDefault="00424F6A" w:rsidP="00424F6A">
      <w:pPr>
        <w:tabs>
          <w:tab w:val="left" w:pos="1440"/>
          <w:tab w:val="left" w:pos="3420"/>
        </w:tabs>
        <w:spacing w:before="240" w:after="240"/>
        <w:ind w:left="3420" w:hanging="2700"/>
        <w:rPr>
          <w:bCs/>
          <w:i/>
          <w:vertAlign w:val="subscript"/>
        </w:rPr>
      </w:pPr>
      <w:r w:rsidRPr="0086627E">
        <w:rPr>
          <w:bCs/>
        </w:rPr>
        <w:lastRenderedPageBreak/>
        <w:t xml:space="preserve">MSBLTRAMTQSETOT </w:t>
      </w:r>
      <w:r w:rsidRPr="0086627E">
        <w:rPr>
          <w:bCs/>
          <w:i/>
          <w:vertAlign w:val="subscript"/>
        </w:rPr>
        <w:t>q,</w:t>
      </w:r>
      <w:r w:rsidR="0016529C">
        <w:rPr>
          <w:bCs/>
          <w:i/>
          <w:vertAlign w:val="subscript"/>
        </w:rPr>
        <w:t xml:space="preserve"> </w:t>
      </w:r>
      <w:r w:rsidRPr="0086627E">
        <w:rPr>
          <w:bCs/>
          <w:i/>
          <w:vertAlign w:val="subscript"/>
        </w:rPr>
        <w:t>d</w:t>
      </w:r>
      <w:r w:rsidRPr="0086627E">
        <w:rPr>
          <w:bCs/>
        </w:rPr>
        <w:tab/>
        <w:t>=</w:t>
      </w:r>
      <w:r w:rsidR="00F617A5">
        <w:rPr>
          <w:noProof/>
          <w:position w:val="-22"/>
        </w:rPr>
        <w:drawing>
          <wp:inline distT="0" distB="0" distL="0" distR="0" wp14:anchorId="102D9291" wp14:editId="074B5956">
            <wp:extent cx="142875" cy="30226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00F617A5">
        <w:rPr>
          <w:noProof/>
          <w:position w:val="-22"/>
        </w:rPr>
        <w:drawing>
          <wp:inline distT="0" distB="0" distL="0" distR="0" wp14:anchorId="3F5C7DEC" wp14:editId="1AE081B7">
            <wp:extent cx="191135" cy="30226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135" cy="302260"/>
                    </a:xfrm>
                    <a:prstGeom prst="rect">
                      <a:avLst/>
                    </a:prstGeom>
                    <a:noFill/>
                    <a:ln>
                      <a:noFill/>
                    </a:ln>
                  </pic:spPr>
                </pic:pic>
              </a:graphicData>
            </a:graphic>
          </wp:inline>
        </w:drawing>
      </w:r>
      <w:r w:rsidRPr="0086627E">
        <w:rPr>
          <w:bCs/>
        </w:rPr>
        <w:t xml:space="preserve">MSBLTRAMT </w:t>
      </w:r>
      <w:r w:rsidRPr="0086627E">
        <w:rPr>
          <w:bCs/>
          <w:i/>
          <w:vertAlign w:val="subscript"/>
        </w:rPr>
        <w:t>q, bltp, p,</w:t>
      </w:r>
      <w:r w:rsidR="0016529C">
        <w:rPr>
          <w:bCs/>
          <w:i/>
          <w:vertAlign w:val="subscript"/>
        </w:rPr>
        <w:t xml:space="preserve"> </w:t>
      </w:r>
      <w:r w:rsidRPr="0086627E">
        <w:rPr>
          <w:bCs/>
          <w:i/>
          <w:vertAlign w:val="subscript"/>
        </w:rPr>
        <w:t>d</w:t>
      </w:r>
    </w:p>
    <w:p w14:paraId="2A40418C" w14:textId="77777777" w:rsidR="00424F6A" w:rsidRPr="0086627E" w:rsidRDefault="00424F6A" w:rsidP="00424F6A">
      <w:pPr>
        <w:tabs>
          <w:tab w:val="left" w:pos="1440"/>
          <w:tab w:val="left" w:pos="3420"/>
        </w:tabs>
        <w:spacing w:before="240" w:after="240"/>
        <w:ind w:left="3420" w:hanging="2700"/>
        <w:rPr>
          <w:b/>
          <w:bCs/>
          <w:i/>
          <w:vertAlign w:val="subscript"/>
        </w:rPr>
      </w:pPr>
      <w:r w:rsidRPr="0086627E">
        <w:rPr>
          <w:bCs/>
        </w:rPr>
        <w:t>And,</w:t>
      </w:r>
    </w:p>
    <w:p w14:paraId="7E1F5EE3" w14:textId="173D76F9" w:rsidR="00424F6A" w:rsidRPr="0086627E" w:rsidRDefault="00424F6A" w:rsidP="00424F6A">
      <w:pPr>
        <w:tabs>
          <w:tab w:val="left" w:pos="1440"/>
          <w:tab w:val="left" w:pos="3420"/>
        </w:tabs>
        <w:spacing w:before="240" w:after="240"/>
        <w:ind w:left="3420" w:hanging="2700"/>
        <w:rPr>
          <w:bCs/>
        </w:rPr>
      </w:pPr>
      <w:r w:rsidRPr="0086627E">
        <w:rPr>
          <w:bCs/>
        </w:rPr>
        <w:t>MSBLTRAMTTOT</w:t>
      </w:r>
      <w:r w:rsidRPr="0086627E">
        <w:rPr>
          <w:bCs/>
          <w:i/>
          <w:vertAlign w:val="subscript"/>
        </w:rPr>
        <w:t xml:space="preserve"> d</w:t>
      </w:r>
      <w:r w:rsidRPr="0086627E">
        <w:rPr>
          <w:bCs/>
        </w:rPr>
        <w:t xml:space="preserve"> = </w:t>
      </w:r>
      <w:r w:rsidR="00F617A5">
        <w:rPr>
          <w:noProof/>
          <w:position w:val="-22"/>
        </w:rPr>
        <w:drawing>
          <wp:inline distT="0" distB="0" distL="0" distR="0" wp14:anchorId="5A5797E1" wp14:editId="43B1CE20">
            <wp:extent cx="142875" cy="30226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86627E">
        <w:rPr>
          <w:bCs/>
        </w:rPr>
        <w:t xml:space="preserve"> MSBLTRAMTQSETOT </w:t>
      </w:r>
      <w:r w:rsidRPr="0086627E">
        <w:rPr>
          <w:bCs/>
          <w:i/>
          <w:vertAlign w:val="subscript"/>
        </w:rPr>
        <w:t>q,</w:t>
      </w:r>
      <w:r w:rsidR="0016529C">
        <w:rPr>
          <w:bCs/>
          <w:i/>
          <w:vertAlign w:val="subscript"/>
        </w:rPr>
        <w:t xml:space="preserve"> </w:t>
      </w:r>
      <w:r w:rsidRPr="0086627E">
        <w:rPr>
          <w:bCs/>
          <w:i/>
          <w:vertAlign w:val="subscript"/>
        </w:rPr>
        <w:t>d</w:t>
      </w:r>
    </w:p>
    <w:p w14:paraId="1488322A" w14:textId="77777777" w:rsidR="00424F6A" w:rsidRPr="0086627E" w:rsidRDefault="00424F6A" w:rsidP="00424F6A">
      <w:r w:rsidRPr="0086627E">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606"/>
        <w:gridCol w:w="6354"/>
      </w:tblGrid>
      <w:tr w:rsidR="00424F6A" w:rsidRPr="0086627E" w14:paraId="79AA6267" w14:textId="77777777" w:rsidTr="00424F6A">
        <w:tc>
          <w:tcPr>
            <w:tcW w:w="1278" w:type="pct"/>
          </w:tcPr>
          <w:p w14:paraId="47F926EF" w14:textId="77777777" w:rsidR="00424F6A" w:rsidRPr="0086627E" w:rsidRDefault="00424F6A" w:rsidP="00424F6A">
            <w:pPr>
              <w:spacing w:after="240"/>
              <w:rPr>
                <w:b/>
                <w:iCs/>
                <w:sz w:val="20"/>
              </w:rPr>
            </w:pPr>
            <w:r w:rsidRPr="0086627E">
              <w:rPr>
                <w:b/>
                <w:iCs/>
                <w:sz w:val="20"/>
              </w:rPr>
              <w:t>Variable</w:t>
            </w:r>
          </w:p>
        </w:tc>
        <w:tc>
          <w:tcPr>
            <w:tcW w:w="324" w:type="pct"/>
          </w:tcPr>
          <w:p w14:paraId="3C578913" w14:textId="77777777" w:rsidR="00424F6A" w:rsidRPr="0086627E" w:rsidRDefault="00424F6A" w:rsidP="00424F6A">
            <w:pPr>
              <w:spacing w:after="240"/>
              <w:rPr>
                <w:b/>
                <w:iCs/>
                <w:sz w:val="20"/>
              </w:rPr>
            </w:pPr>
            <w:r w:rsidRPr="0086627E">
              <w:rPr>
                <w:b/>
                <w:iCs/>
                <w:sz w:val="20"/>
              </w:rPr>
              <w:t>Unit</w:t>
            </w:r>
          </w:p>
        </w:tc>
        <w:tc>
          <w:tcPr>
            <w:tcW w:w="3398" w:type="pct"/>
          </w:tcPr>
          <w:p w14:paraId="0532671C" w14:textId="77777777" w:rsidR="00424F6A" w:rsidRPr="0086627E" w:rsidRDefault="00424F6A" w:rsidP="00424F6A">
            <w:pPr>
              <w:spacing w:after="240"/>
              <w:rPr>
                <w:b/>
                <w:iCs/>
                <w:sz w:val="20"/>
              </w:rPr>
            </w:pPr>
            <w:r w:rsidRPr="0086627E">
              <w:rPr>
                <w:b/>
                <w:iCs/>
                <w:sz w:val="20"/>
              </w:rPr>
              <w:t>Definition</w:t>
            </w:r>
          </w:p>
        </w:tc>
      </w:tr>
      <w:tr w:rsidR="00424F6A" w:rsidRPr="0086627E" w14:paraId="03C0BC91" w14:textId="77777777" w:rsidTr="00424F6A">
        <w:tc>
          <w:tcPr>
            <w:tcW w:w="1278" w:type="pct"/>
          </w:tcPr>
          <w:p w14:paraId="188E0354" w14:textId="77777777" w:rsidR="00424F6A" w:rsidRPr="0086627E" w:rsidRDefault="00424F6A" w:rsidP="00424F6A">
            <w:pPr>
              <w:spacing w:after="60"/>
              <w:rPr>
                <w:iCs/>
                <w:sz w:val="20"/>
              </w:rPr>
            </w:pPr>
            <w:r w:rsidRPr="0086627E">
              <w:rPr>
                <w:iCs/>
                <w:sz w:val="20"/>
              </w:rPr>
              <w:t>MSBLTRAMTQSETOT</w:t>
            </w:r>
            <w:r w:rsidR="0016529C">
              <w:rPr>
                <w:iCs/>
                <w:sz w:val="20"/>
              </w:rPr>
              <w:t xml:space="preserve"> </w:t>
            </w:r>
            <w:r w:rsidRPr="0086627E">
              <w:rPr>
                <w:i/>
                <w:iCs/>
                <w:sz w:val="20"/>
                <w:vertAlign w:val="subscript"/>
              </w:rPr>
              <w:t>q,</w:t>
            </w:r>
            <w:r w:rsidR="0016529C">
              <w:rPr>
                <w:i/>
                <w:iCs/>
                <w:sz w:val="20"/>
                <w:vertAlign w:val="subscript"/>
              </w:rPr>
              <w:t xml:space="preserve"> </w:t>
            </w:r>
            <w:r w:rsidRPr="0086627E">
              <w:rPr>
                <w:i/>
                <w:iCs/>
                <w:sz w:val="20"/>
                <w:vertAlign w:val="subscript"/>
              </w:rPr>
              <w:t>d</w:t>
            </w:r>
          </w:p>
        </w:tc>
        <w:tc>
          <w:tcPr>
            <w:tcW w:w="324" w:type="pct"/>
          </w:tcPr>
          <w:p w14:paraId="1B227560" w14:textId="77777777" w:rsidR="00424F6A" w:rsidRPr="0086627E" w:rsidRDefault="00424F6A" w:rsidP="00424F6A">
            <w:pPr>
              <w:spacing w:after="60"/>
              <w:rPr>
                <w:iCs/>
                <w:sz w:val="20"/>
              </w:rPr>
            </w:pPr>
            <w:r w:rsidRPr="0086627E">
              <w:rPr>
                <w:iCs/>
                <w:sz w:val="20"/>
              </w:rPr>
              <w:t>$</w:t>
            </w:r>
          </w:p>
        </w:tc>
        <w:tc>
          <w:tcPr>
            <w:tcW w:w="3398" w:type="pct"/>
          </w:tcPr>
          <w:p w14:paraId="13FD9EC6" w14:textId="77777777" w:rsidR="00424F6A" w:rsidRPr="0086627E" w:rsidRDefault="00424F6A" w:rsidP="00424F6A">
            <w:pPr>
              <w:spacing w:after="60"/>
              <w:rPr>
                <w:iCs/>
                <w:sz w:val="20"/>
              </w:rPr>
            </w:pPr>
            <w:r w:rsidRPr="0086627E">
              <w:rPr>
                <w:i/>
                <w:iCs/>
                <w:sz w:val="20"/>
              </w:rPr>
              <w:t>Market Suspension Block Load Transfer Amount Total per QSE</w:t>
            </w:r>
            <w:r w:rsidRPr="0086627E">
              <w:rPr>
                <w:i/>
                <w:sz w:val="20"/>
              </w:rPr>
              <w:t xml:space="preserve"> – </w:t>
            </w:r>
            <w:r w:rsidRPr="0086627E">
              <w:rPr>
                <w:iCs/>
                <w:sz w:val="20"/>
              </w:rPr>
              <w:t xml:space="preserve">The total payment to QSE </w:t>
            </w:r>
            <w:r w:rsidRPr="0086627E">
              <w:rPr>
                <w:i/>
                <w:iCs/>
                <w:sz w:val="20"/>
              </w:rPr>
              <w:t>q</w:t>
            </w:r>
            <w:r w:rsidRPr="0086627E">
              <w:rPr>
                <w:iCs/>
                <w:sz w:val="20"/>
              </w:rPr>
              <w:t xml:space="preserve"> for energy delivered into the ERCOT System through BLT Points during a Market Suspension</w:t>
            </w:r>
            <w:r w:rsidRPr="0086627E">
              <w:rPr>
                <w:i/>
                <w:iCs/>
                <w:sz w:val="20"/>
              </w:rPr>
              <w:t xml:space="preserve"> </w:t>
            </w:r>
            <w:r w:rsidRPr="0086627E">
              <w:rPr>
                <w:iCs/>
                <w:sz w:val="20"/>
              </w:rPr>
              <w:t xml:space="preserve">for the Operating Day </w:t>
            </w:r>
            <w:r w:rsidRPr="0086627E">
              <w:rPr>
                <w:i/>
                <w:iCs/>
                <w:sz w:val="20"/>
              </w:rPr>
              <w:t>d.</w:t>
            </w:r>
          </w:p>
        </w:tc>
      </w:tr>
      <w:tr w:rsidR="00424F6A" w:rsidRPr="0086627E" w14:paraId="52FF0B10" w14:textId="77777777" w:rsidTr="00424F6A">
        <w:tc>
          <w:tcPr>
            <w:tcW w:w="1278" w:type="pct"/>
          </w:tcPr>
          <w:p w14:paraId="140EC7B7" w14:textId="77777777" w:rsidR="00424F6A" w:rsidRPr="0086627E" w:rsidRDefault="00424F6A" w:rsidP="0079688B">
            <w:pPr>
              <w:spacing w:after="60"/>
              <w:rPr>
                <w:iCs/>
                <w:sz w:val="20"/>
              </w:rPr>
            </w:pPr>
            <w:r w:rsidRPr="0086627E">
              <w:rPr>
                <w:iCs/>
                <w:sz w:val="20"/>
              </w:rPr>
              <w:t xml:space="preserve">MSBLTRAMT </w:t>
            </w:r>
            <w:r w:rsidRPr="0086627E">
              <w:rPr>
                <w:i/>
                <w:iCs/>
                <w:sz w:val="20"/>
                <w:vertAlign w:val="subscript"/>
              </w:rPr>
              <w:t>q, bltp, p</w:t>
            </w:r>
          </w:p>
        </w:tc>
        <w:tc>
          <w:tcPr>
            <w:tcW w:w="324" w:type="pct"/>
          </w:tcPr>
          <w:p w14:paraId="1610846F" w14:textId="77777777" w:rsidR="00424F6A" w:rsidRPr="0086627E" w:rsidRDefault="00424F6A" w:rsidP="00424F6A">
            <w:pPr>
              <w:spacing w:after="60"/>
              <w:rPr>
                <w:iCs/>
                <w:sz w:val="20"/>
              </w:rPr>
            </w:pPr>
            <w:r w:rsidRPr="0086627E">
              <w:rPr>
                <w:iCs/>
                <w:sz w:val="20"/>
              </w:rPr>
              <w:t>$</w:t>
            </w:r>
          </w:p>
        </w:tc>
        <w:tc>
          <w:tcPr>
            <w:tcW w:w="3398" w:type="pct"/>
          </w:tcPr>
          <w:p w14:paraId="12B55EB5" w14:textId="77777777" w:rsidR="00424F6A" w:rsidRPr="0086627E" w:rsidRDefault="00424F6A" w:rsidP="00424F6A">
            <w:pPr>
              <w:spacing w:after="60"/>
              <w:rPr>
                <w:iCs/>
                <w:sz w:val="20"/>
              </w:rPr>
            </w:pPr>
            <w:r w:rsidRPr="0086627E">
              <w:rPr>
                <w:i/>
                <w:iCs/>
                <w:sz w:val="20"/>
              </w:rPr>
              <w:t>Market Suspension Block Load Transfer Resource Amount per QSE per Settlement Point per BLT Point</w:t>
            </w:r>
            <w:r w:rsidRPr="0086627E">
              <w:rPr>
                <w:i/>
                <w:sz w:val="20"/>
              </w:rPr>
              <w:t xml:space="preserve"> – </w:t>
            </w:r>
            <w:r w:rsidRPr="0086627E">
              <w:rPr>
                <w:iCs/>
                <w:sz w:val="20"/>
              </w:rPr>
              <w:t xml:space="preserve">The payment to QSE </w:t>
            </w:r>
            <w:r w:rsidRPr="0086627E">
              <w:rPr>
                <w:i/>
                <w:iCs/>
                <w:sz w:val="20"/>
              </w:rPr>
              <w:t>q</w:t>
            </w:r>
            <w:r w:rsidRPr="0086627E">
              <w:rPr>
                <w:iCs/>
                <w:sz w:val="20"/>
              </w:rPr>
              <w:t xml:space="preserve"> for the BLT Resource that delivers energy to Load Zone </w:t>
            </w:r>
            <w:r w:rsidRPr="0086627E">
              <w:rPr>
                <w:i/>
                <w:iCs/>
                <w:sz w:val="20"/>
              </w:rPr>
              <w:t xml:space="preserve">p </w:t>
            </w:r>
            <w:r w:rsidRPr="0086627E">
              <w:rPr>
                <w:iCs/>
                <w:sz w:val="20"/>
              </w:rPr>
              <w:t xml:space="preserve">through BLT Point </w:t>
            </w:r>
            <w:r w:rsidRPr="0086627E">
              <w:rPr>
                <w:i/>
                <w:iCs/>
                <w:sz w:val="20"/>
              </w:rPr>
              <w:t xml:space="preserve">bltp </w:t>
            </w:r>
            <w:r w:rsidRPr="0086627E">
              <w:rPr>
                <w:iCs/>
                <w:sz w:val="20"/>
              </w:rPr>
              <w:t>during a Market Suspension</w:t>
            </w:r>
            <w:r w:rsidRPr="0086627E">
              <w:rPr>
                <w:i/>
                <w:iCs/>
                <w:sz w:val="20"/>
              </w:rPr>
              <w:t xml:space="preserve"> </w:t>
            </w:r>
            <w:r w:rsidRPr="0086627E">
              <w:rPr>
                <w:iCs/>
                <w:sz w:val="20"/>
              </w:rPr>
              <w:t xml:space="preserve">for the Operating Day </w:t>
            </w:r>
            <w:r w:rsidRPr="0086627E">
              <w:rPr>
                <w:i/>
                <w:iCs/>
                <w:sz w:val="20"/>
              </w:rPr>
              <w:t xml:space="preserve">d. </w:t>
            </w:r>
          </w:p>
        </w:tc>
      </w:tr>
      <w:tr w:rsidR="00424F6A" w:rsidRPr="0086627E" w14:paraId="6F2CBEAF" w14:textId="77777777" w:rsidTr="00424F6A">
        <w:tc>
          <w:tcPr>
            <w:tcW w:w="1278" w:type="pct"/>
          </w:tcPr>
          <w:p w14:paraId="1D583F54" w14:textId="77777777" w:rsidR="00424F6A" w:rsidRPr="0086627E" w:rsidRDefault="00424F6A" w:rsidP="00424F6A">
            <w:pPr>
              <w:spacing w:after="60"/>
              <w:rPr>
                <w:iCs/>
                <w:sz w:val="20"/>
              </w:rPr>
            </w:pPr>
            <w:r w:rsidRPr="0086627E">
              <w:rPr>
                <w:iCs/>
                <w:sz w:val="20"/>
              </w:rPr>
              <w:t>MSBLTRAMTTOT</w:t>
            </w:r>
            <w:r w:rsidRPr="0086627E">
              <w:rPr>
                <w:i/>
                <w:iCs/>
                <w:sz w:val="20"/>
                <w:vertAlign w:val="subscript"/>
              </w:rPr>
              <w:t xml:space="preserve"> d</w:t>
            </w:r>
          </w:p>
        </w:tc>
        <w:tc>
          <w:tcPr>
            <w:tcW w:w="324" w:type="pct"/>
          </w:tcPr>
          <w:p w14:paraId="5D823D2D" w14:textId="77777777" w:rsidR="00424F6A" w:rsidRPr="0086627E" w:rsidRDefault="00424F6A" w:rsidP="00424F6A">
            <w:pPr>
              <w:spacing w:after="60"/>
              <w:rPr>
                <w:iCs/>
                <w:sz w:val="20"/>
              </w:rPr>
            </w:pPr>
            <w:r w:rsidRPr="0086627E">
              <w:rPr>
                <w:iCs/>
                <w:sz w:val="20"/>
              </w:rPr>
              <w:t>$</w:t>
            </w:r>
          </w:p>
        </w:tc>
        <w:tc>
          <w:tcPr>
            <w:tcW w:w="3398" w:type="pct"/>
          </w:tcPr>
          <w:p w14:paraId="6871C202" w14:textId="77777777" w:rsidR="00424F6A" w:rsidRPr="0086627E" w:rsidRDefault="00424F6A" w:rsidP="00424F6A">
            <w:pPr>
              <w:spacing w:after="60"/>
              <w:rPr>
                <w:i/>
                <w:iCs/>
                <w:sz w:val="20"/>
              </w:rPr>
            </w:pPr>
            <w:r w:rsidRPr="0086627E">
              <w:rPr>
                <w:i/>
                <w:iCs/>
                <w:sz w:val="20"/>
              </w:rPr>
              <w:t xml:space="preserve">Market Suspension Block Load Transfer Amount Total – </w:t>
            </w:r>
            <w:r w:rsidRPr="0086627E">
              <w:rPr>
                <w:iCs/>
                <w:sz w:val="20"/>
              </w:rPr>
              <w:t xml:space="preserve">The total Market Suspension Block Load Transfer Amount for all QSEs for the Operating Day </w:t>
            </w:r>
            <w:r w:rsidRPr="0086627E">
              <w:rPr>
                <w:i/>
                <w:iCs/>
                <w:sz w:val="20"/>
              </w:rPr>
              <w:t>d</w:t>
            </w:r>
            <w:r w:rsidRPr="0086627E">
              <w:rPr>
                <w:iCs/>
                <w:sz w:val="20"/>
              </w:rPr>
              <w:t>.</w:t>
            </w:r>
          </w:p>
        </w:tc>
      </w:tr>
      <w:tr w:rsidR="00424F6A" w:rsidRPr="0086627E" w14:paraId="338FEE6A" w14:textId="77777777" w:rsidTr="00424F6A">
        <w:tc>
          <w:tcPr>
            <w:tcW w:w="1278" w:type="pct"/>
            <w:tcBorders>
              <w:top w:val="single" w:sz="4" w:space="0" w:color="auto"/>
              <w:left w:val="single" w:sz="4" w:space="0" w:color="auto"/>
              <w:bottom w:val="single" w:sz="4" w:space="0" w:color="auto"/>
              <w:right w:val="single" w:sz="4" w:space="0" w:color="auto"/>
            </w:tcBorders>
          </w:tcPr>
          <w:p w14:paraId="229C385C" w14:textId="77777777" w:rsidR="00424F6A" w:rsidRPr="0086627E" w:rsidRDefault="00424F6A" w:rsidP="00424F6A">
            <w:pPr>
              <w:spacing w:after="60"/>
              <w:rPr>
                <w:i/>
                <w:iCs/>
                <w:sz w:val="20"/>
              </w:rPr>
            </w:pPr>
            <w:r>
              <w:rPr>
                <w:i/>
                <w:iCs/>
                <w:sz w:val="20"/>
              </w:rPr>
              <w:t>q</w:t>
            </w:r>
          </w:p>
        </w:tc>
        <w:tc>
          <w:tcPr>
            <w:tcW w:w="324" w:type="pct"/>
            <w:tcBorders>
              <w:top w:val="single" w:sz="4" w:space="0" w:color="auto"/>
              <w:left w:val="single" w:sz="4" w:space="0" w:color="auto"/>
              <w:bottom w:val="single" w:sz="4" w:space="0" w:color="auto"/>
              <w:right w:val="single" w:sz="4" w:space="0" w:color="auto"/>
            </w:tcBorders>
          </w:tcPr>
          <w:p w14:paraId="5E2AF3C4" w14:textId="77777777" w:rsidR="00424F6A" w:rsidRPr="0086627E" w:rsidRDefault="00424F6A" w:rsidP="00424F6A">
            <w:pPr>
              <w:spacing w:after="60"/>
              <w:rPr>
                <w:iCs/>
                <w:sz w:val="20"/>
              </w:rPr>
            </w:pPr>
            <w:r w:rsidRPr="0086627E">
              <w:rPr>
                <w:iCs/>
                <w:sz w:val="20"/>
              </w:rPr>
              <w:t>none</w:t>
            </w:r>
          </w:p>
        </w:tc>
        <w:tc>
          <w:tcPr>
            <w:tcW w:w="3398" w:type="pct"/>
            <w:tcBorders>
              <w:top w:val="single" w:sz="4" w:space="0" w:color="auto"/>
              <w:left w:val="single" w:sz="4" w:space="0" w:color="auto"/>
              <w:bottom w:val="single" w:sz="4" w:space="0" w:color="auto"/>
              <w:right w:val="single" w:sz="4" w:space="0" w:color="auto"/>
            </w:tcBorders>
          </w:tcPr>
          <w:p w14:paraId="30D697F2" w14:textId="77777777" w:rsidR="00424F6A" w:rsidRPr="0086627E" w:rsidRDefault="00424F6A" w:rsidP="00424F6A">
            <w:pPr>
              <w:spacing w:after="60"/>
              <w:rPr>
                <w:iCs/>
                <w:sz w:val="20"/>
              </w:rPr>
            </w:pPr>
            <w:r w:rsidRPr="0086627E">
              <w:rPr>
                <w:iCs/>
                <w:sz w:val="20"/>
              </w:rPr>
              <w:t>A QSE.</w:t>
            </w:r>
          </w:p>
        </w:tc>
      </w:tr>
      <w:tr w:rsidR="00424F6A" w:rsidRPr="0086627E" w14:paraId="23DFF258" w14:textId="77777777" w:rsidTr="00424F6A">
        <w:tc>
          <w:tcPr>
            <w:tcW w:w="1278" w:type="pct"/>
            <w:tcBorders>
              <w:top w:val="single" w:sz="4" w:space="0" w:color="auto"/>
              <w:left w:val="single" w:sz="4" w:space="0" w:color="auto"/>
              <w:bottom w:val="single" w:sz="4" w:space="0" w:color="auto"/>
              <w:right w:val="single" w:sz="4" w:space="0" w:color="auto"/>
            </w:tcBorders>
          </w:tcPr>
          <w:p w14:paraId="33BA27A2" w14:textId="77777777" w:rsidR="00424F6A" w:rsidRPr="0086627E" w:rsidRDefault="00424F6A" w:rsidP="00424F6A">
            <w:pPr>
              <w:spacing w:after="60"/>
              <w:rPr>
                <w:i/>
                <w:iCs/>
                <w:sz w:val="20"/>
              </w:rPr>
            </w:pPr>
            <w:r>
              <w:rPr>
                <w:i/>
                <w:iCs/>
                <w:sz w:val="20"/>
              </w:rPr>
              <w:t>p</w:t>
            </w:r>
          </w:p>
        </w:tc>
        <w:tc>
          <w:tcPr>
            <w:tcW w:w="324" w:type="pct"/>
            <w:tcBorders>
              <w:top w:val="single" w:sz="4" w:space="0" w:color="auto"/>
              <w:left w:val="single" w:sz="4" w:space="0" w:color="auto"/>
              <w:bottom w:val="single" w:sz="4" w:space="0" w:color="auto"/>
              <w:right w:val="single" w:sz="4" w:space="0" w:color="auto"/>
            </w:tcBorders>
          </w:tcPr>
          <w:p w14:paraId="078F4480" w14:textId="77777777" w:rsidR="00424F6A" w:rsidRPr="0086627E" w:rsidRDefault="00424F6A" w:rsidP="00424F6A">
            <w:pPr>
              <w:spacing w:after="60"/>
              <w:rPr>
                <w:iCs/>
                <w:sz w:val="20"/>
              </w:rPr>
            </w:pPr>
            <w:r w:rsidRPr="0086627E">
              <w:rPr>
                <w:iCs/>
                <w:sz w:val="20"/>
              </w:rPr>
              <w:t>none</w:t>
            </w:r>
          </w:p>
        </w:tc>
        <w:tc>
          <w:tcPr>
            <w:tcW w:w="3398" w:type="pct"/>
            <w:tcBorders>
              <w:top w:val="single" w:sz="4" w:space="0" w:color="auto"/>
              <w:left w:val="single" w:sz="4" w:space="0" w:color="auto"/>
              <w:bottom w:val="single" w:sz="4" w:space="0" w:color="auto"/>
              <w:right w:val="single" w:sz="4" w:space="0" w:color="auto"/>
            </w:tcBorders>
          </w:tcPr>
          <w:p w14:paraId="1E43A364" w14:textId="77777777" w:rsidR="00424F6A" w:rsidRPr="0086627E" w:rsidRDefault="00424F6A" w:rsidP="00424F6A">
            <w:pPr>
              <w:spacing w:after="60"/>
              <w:rPr>
                <w:iCs/>
                <w:sz w:val="20"/>
              </w:rPr>
            </w:pPr>
            <w:r w:rsidRPr="0086627E">
              <w:rPr>
                <w:iCs/>
                <w:sz w:val="20"/>
              </w:rPr>
              <w:t>A Load Zone Settlement Point.</w:t>
            </w:r>
          </w:p>
        </w:tc>
      </w:tr>
      <w:tr w:rsidR="00424F6A" w:rsidRPr="0086627E" w14:paraId="0D7E2DB5" w14:textId="77777777" w:rsidTr="00424F6A">
        <w:tc>
          <w:tcPr>
            <w:tcW w:w="1278" w:type="pct"/>
            <w:tcBorders>
              <w:top w:val="single" w:sz="4" w:space="0" w:color="auto"/>
              <w:left w:val="single" w:sz="4" w:space="0" w:color="auto"/>
              <w:bottom w:val="single" w:sz="4" w:space="0" w:color="auto"/>
              <w:right w:val="single" w:sz="4" w:space="0" w:color="auto"/>
            </w:tcBorders>
          </w:tcPr>
          <w:p w14:paraId="6160EA97" w14:textId="77777777" w:rsidR="00424F6A" w:rsidRPr="0086627E" w:rsidRDefault="00424F6A" w:rsidP="00424F6A">
            <w:pPr>
              <w:spacing w:after="60"/>
              <w:rPr>
                <w:i/>
                <w:iCs/>
                <w:sz w:val="20"/>
              </w:rPr>
            </w:pPr>
            <w:r>
              <w:rPr>
                <w:i/>
                <w:iCs/>
                <w:sz w:val="20"/>
              </w:rPr>
              <w:t>b</w:t>
            </w:r>
            <w:r w:rsidRPr="0086627E">
              <w:rPr>
                <w:i/>
                <w:iCs/>
                <w:sz w:val="20"/>
              </w:rPr>
              <w:t>ltp</w:t>
            </w:r>
          </w:p>
        </w:tc>
        <w:tc>
          <w:tcPr>
            <w:tcW w:w="324" w:type="pct"/>
            <w:tcBorders>
              <w:top w:val="single" w:sz="4" w:space="0" w:color="auto"/>
              <w:left w:val="single" w:sz="4" w:space="0" w:color="auto"/>
              <w:bottom w:val="single" w:sz="4" w:space="0" w:color="auto"/>
              <w:right w:val="single" w:sz="4" w:space="0" w:color="auto"/>
            </w:tcBorders>
          </w:tcPr>
          <w:p w14:paraId="5E148DC7" w14:textId="77777777" w:rsidR="00424F6A" w:rsidRPr="0086627E" w:rsidRDefault="00424F6A" w:rsidP="00424F6A">
            <w:pPr>
              <w:spacing w:after="60"/>
              <w:rPr>
                <w:iCs/>
                <w:sz w:val="20"/>
              </w:rPr>
            </w:pPr>
            <w:r w:rsidRPr="0086627E">
              <w:rPr>
                <w:iCs/>
                <w:sz w:val="20"/>
              </w:rPr>
              <w:t>none</w:t>
            </w:r>
          </w:p>
        </w:tc>
        <w:tc>
          <w:tcPr>
            <w:tcW w:w="3398" w:type="pct"/>
            <w:tcBorders>
              <w:top w:val="single" w:sz="4" w:space="0" w:color="auto"/>
              <w:left w:val="single" w:sz="4" w:space="0" w:color="auto"/>
              <w:bottom w:val="single" w:sz="4" w:space="0" w:color="auto"/>
              <w:right w:val="single" w:sz="4" w:space="0" w:color="auto"/>
            </w:tcBorders>
          </w:tcPr>
          <w:p w14:paraId="558FECD9" w14:textId="77777777" w:rsidR="00424F6A" w:rsidRPr="0086627E" w:rsidRDefault="00424F6A" w:rsidP="00424F6A">
            <w:pPr>
              <w:spacing w:after="60"/>
              <w:rPr>
                <w:iCs/>
                <w:sz w:val="20"/>
              </w:rPr>
            </w:pPr>
            <w:r w:rsidRPr="0086627E">
              <w:rPr>
                <w:iCs/>
                <w:sz w:val="20"/>
              </w:rPr>
              <w:t>A BLT Point.</w:t>
            </w:r>
          </w:p>
        </w:tc>
      </w:tr>
      <w:tr w:rsidR="00424F6A" w:rsidRPr="0086627E" w14:paraId="4018F8D8" w14:textId="77777777" w:rsidTr="00424F6A">
        <w:tc>
          <w:tcPr>
            <w:tcW w:w="1278" w:type="pct"/>
            <w:tcBorders>
              <w:top w:val="single" w:sz="4" w:space="0" w:color="auto"/>
              <w:left w:val="single" w:sz="4" w:space="0" w:color="auto"/>
              <w:bottom w:val="single" w:sz="4" w:space="0" w:color="auto"/>
              <w:right w:val="single" w:sz="4" w:space="0" w:color="auto"/>
            </w:tcBorders>
          </w:tcPr>
          <w:p w14:paraId="3CAC294F" w14:textId="77777777" w:rsidR="00424F6A" w:rsidRPr="0086627E" w:rsidRDefault="00424F6A" w:rsidP="00424F6A">
            <w:pPr>
              <w:spacing w:after="60"/>
              <w:rPr>
                <w:i/>
                <w:iCs/>
                <w:sz w:val="20"/>
              </w:rPr>
            </w:pPr>
            <w:r>
              <w:rPr>
                <w:i/>
                <w:iCs/>
                <w:sz w:val="20"/>
              </w:rPr>
              <w:t>d</w:t>
            </w:r>
          </w:p>
        </w:tc>
        <w:tc>
          <w:tcPr>
            <w:tcW w:w="324" w:type="pct"/>
            <w:tcBorders>
              <w:top w:val="single" w:sz="4" w:space="0" w:color="auto"/>
              <w:left w:val="single" w:sz="4" w:space="0" w:color="auto"/>
              <w:bottom w:val="single" w:sz="4" w:space="0" w:color="auto"/>
              <w:right w:val="single" w:sz="4" w:space="0" w:color="auto"/>
            </w:tcBorders>
          </w:tcPr>
          <w:p w14:paraId="33B98A26" w14:textId="77777777" w:rsidR="00424F6A" w:rsidRPr="0086627E" w:rsidRDefault="00424F6A" w:rsidP="00424F6A">
            <w:pPr>
              <w:spacing w:after="60"/>
              <w:rPr>
                <w:iCs/>
                <w:sz w:val="20"/>
              </w:rPr>
            </w:pPr>
            <w:r w:rsidRPr="0086627E">
              <w:rPr>
                <w:iCs/>
                <w:sz w:val="20"/>
              </w:rPr>
              <w:t>none</w:t>
            </w:r>
          </w:p>
        </w:tc>
        <w:tc>
          <w:tcPr>
            <w:tcW w:w="3398" w:type="pct"/>
            <w:tcBorders>
              <w:top w:val="single" w:sz="4" w:space="0" w:color="auto"/>
              <w:left w:val="single" w:sz="4" w:space="0" w:color="auto"/>
              <w:bottom w:val="single" w:sz="4" w:space="0" w:color="auto"/>
              <w:right w:val="single" w:sz="4" w:space="0" w:color="auto"/>
            </w:tcBorders>
          </w:tcPr>
          <w:p w14:paraId="6FF5B476" w14:textId="77777777" w:rsidR="00424F6A" w:rsidRPr="0086627E" w:rsidRDefault="00424F6A" w:rsidP="00424F6A">
            <w:pPr>
              <w:spacing w:after="60"/>
              <w:rPr>
                <w:iCs/>
                <w:sz w:val="20"/>
              </w:rPr>
            </w:pPr>
            <w:r w:rsidRPr="0086627E">
              <w:rPr>
                <w:iCs/>
                <w:sz w:val="20"/>
              </w:rPr>
              <w:t>An Operating Day during a Market Suspension</w:t>
            </w:r>
            <w:r w:rsidRPr="0086627E">
              <w:rPr>
                <w:i/>
                <w:iCs/>
                <w:sz w:val="20"/>
              </w:rPr>
              <w:t xml:space="preserve"> </w:t>
            </w:r>
            <w:r w:rsidRPr="0086627E">
              <w:rPr>
                <w:iCs/>
                <w:sz w:val="20"/>
              </w:rPr>
              <w:t>event.</w:t>
            </w:r>
          </w:p>
        </w:tc>
      </w:tr>
    </w:tbl>
    <w:p w14:paraId="190F588D" w14:textId="77777777" w:rsidR="00424F6A" w:rsidRPr="0086627E" w:rsidRDefault="00424F6A" w:rsidP="00424F6A">
      <w:pPr>
        <w:keepNext/>
        <w:tabs>
          <w:tab w:val="left" w:pos="1080"/>
        </w:tabs>
        <w:spacing w:before="480" w:after="240"/>
        <w:outlineLvl w:val="2"/>
        <w:rPr>
          <w:b/>
          <w:bCs/>
          <w:i/>
        </w:rPr>
      </w:pPr>
      <w:bookmarkStart w:id="33" w:name="_Toc493250760"/>
      <w:bookmarkStart w:id="34" w:name="_Toc181498"/>
      <w:bookmarkStart w:id="35" w:name="_Toc181596"/>
      <w:bookmarkEnd w:id="31"/>
      <w:bookmarkEnd w:id="32"/>
      <w:r w:rsidRPr="0086627E">
        <w:rPr>
          <w:b/>
          <w:bCs/>
          <w:i/>
        </w:rPr>
        <w:t>25.5.5</w:t>
      </w:r>
      <w:r w:rsidRPr="0086627E">
        <w:rPr>
          <w:b/>
          <w:bCs/>
          <w:i/>
        </w:rPr>
        <w:tab/>
        <w:t>Market Suspension Charge Allocation</w:t>
      </w:r>
      <w:bookmarkEnd w:id="33"/>
      <w:bookmarkEnd w:id="34"/>
      <w:bookmarkEnd w:id="35"/>
    </w:p>
    <w:p w14:paraId="7CC4EA24" w14:textId="77777777" w:rsidR="00424F6A" w:rsidRPr="0086627E" w:rsidRDefault="00424F6A" w:rsidP="00424F6A">
      <w:pPr>
        <w:spacing w:after="240"/>
        <w:ind w:left="720" w:hanging="720"/>
      </w:pPr>
      <w:r w:rsidRPr="0086627E">
        <w:t>(1)</w:t>
      </w:r>
      <w:r w:rsidRPr="0086627E">
        <w:tab/>
        <w:t>After resumption of the RTM, and in accordance with Section 25.5.1, Settlement Activity for a Market Suspension, ERCOT shall allocate the cost on a Load Ratio Share (LRS) basis for the cost to:</w:t>
      </w:r>
    </w:p>
    <w:p w14:paraId="29576DE0" w14:textId="77777777" w:rsidR="00424F6A" w:rsidRPr="0086627E" w:rsidRDefault="00424F6A" w:rsidP="00424F6A">
      <w:pPr>
        <w:spacing w:after="240"/>
        <w:ind w:left="1440" w:hanging="720"/>
      </w:pPr>
      <w:r w:rsidRPr="0086627E">
        <w:t xml:space="preserve">(a) </w:t>
      </w:r>
      <w:r w:rsidRPr="0086627E">
        <w:tab/>
        <w:t>Reimburse QSEs representing Resources for Market Suspension Make-Whole Payments in accordance with Section 25.5.2, Market Suspension Make-Whole Payment;</w:t>
      </w:r>
    </w:p>
    <w:p w14:paraId="1A1EFB86" w14:textId="77777777" w:rsidR="00424F6A" w:rsidRPr="0086627E" w:rsidRDefault="00424F6A" w:rsidP="00424F6A">
      <w:pPr>
        <w:spacing w:after="240"/>
        <w:ind w:left="1440" w:hanging="720"/>
      </w:pPr>
      <w:r w:rsidRPr="0086627E">
        <w:t xml:space="preserve">(b) </w:t>
      </w:r>
      <w:r w:rsidRPr="0086627E">
        <w:tab/>
        <w:t>Reimburse QSEs for Market Suspension DC Tie Import Payments in accordance with Section 25.5.3, Market Suspension DC Tie Import Payment;</w:t>
      </w:r>
    </w:p>
    <w:p w14:paraId="31A412A8" w14:textId="77777777" w:rsidR="00424F6A" w:rsidRPr="0086627E" w:rsidRDefault="00424F6A" w:rsidP="00424F6A">
      <w:pPr>
        <w:spacing w:after="240"/>
        <w:ind w:left="1440" w:hanging="720"/>
      </w:pPr>
      <w:r w:rsidRPr="0086627E">
        <w:t xml:space="preserve">(c) </w:t>
      </w:r>
      <w:r w:rsidRPr="0086627E">
        <w:tab/>
        <w:t>Reimburse QSEs for Market Suspension Block Load Transfer Payments in accordance with Section 25.5.4, Market Suspension Block Load Transfer Payment;</w:t>
      </w:r>
    </w:p>
    <w:p w14:paraId="7E6C7BBD" w14:textId="77777777" w:rsidR="00424F6A" w:rsidRPr="0086627E" w:rsidRDefault="00424F6A" w:rsidP="00424F6A">
      <w:pPr>
        <w:spacing w:after="240"/>
        <w:ind w:left="1440" w:hanging="720"/>
      </w:pPr>
      <w:r w:rsidRPr="004502BD">
        <w:t>(d)</w:t>
      </w:r>
      <w:r w:rsidRPr="004502BD">
        <w:tab/>
      </w:r>
      <w:r w:rsidRPr="0086627E">
        <w:t>Reimburse QSEs for Market Suspension RMR Standby Payments in accordance with Section 6.6.6.1, RMR Standby Payment;</w:t>
      </w:r>
    </w:p>
    <w:p w14:paraId="22D3F128" w14:textId="6F0D712B" w:rsidR="00424F6A" w:rsidRDefault="00424F6A" w:rsidP="00424F6A">
      <w:pPr>
        <w:spacing w:after="240"/>
        <w:ind w:left="1440" w:hanging="720"/>
      </w:pPr>
      <w:r w:rsidRPr="0086627E">
        <w:lastRenderedPageBreak/>
        <w:t>(e)</w:t>
      </w:r>
      <w:r w:rsidRPr="0086627E">
        <w:tab/>
        <w:t>Reimburse QSEs for Market Suspension RMR Payment for Energy in accordance with Section 6.6.6.2, RMR Payment for Energy;</w:t>
      </w:r>
    </w:p>
    <w:p w14:paraId="71BB62DF" w14:textId="3CCD06B7" w:rsidR="00002C72" w:rsidRPr="0086627E" w:rsidRDefault="00002C72" w:rsidP="00424F6A">
      <w:pPr>
        <w:spacing w:after="240"/>
        <w:ind w:left="1440" w:hanging="720"/>
      </w:pPr>
      <w:r>
        <w:t>(f)</w:t>
      </w:r>
      <w:r>
        <w:tab/>
      </w:r>
      <w:r w:rsidRPr="0086627E">
        <w:t xml:space="preserve">Reimburse QSEs for Market Suspension </w:t>
      </w:r>
      <w:r>
        <w:t>Firm Fuel Supply Service Standby Payment and Fuel Replacement Cost Recovery</w:t>
      </w:r>
      <w:r w:rsidRPr="0086627E">
        <w:t xml:space="preserve"> Payment in accordance with Section 6.6.</w:t>
      </w:r>
      <w:r>
        <w:t>14</w:t>
      </w:r>
      <w:r w:rsidRPr="0086627E">
        <w:t>.</w:t>
      </w:r>
      <w:r>
        <w:t>2</w:t>
      </w:r>
      <w:r w:rsidRPr="0086627E">
        <w:t xml:space="preserve">, </w:t>
      </w:r>
      <w:r w:rsidRPr="00F777AB">
        <w:t>Firm Fuel Supply Service Hourly Standby Fee Payment and Fuel Replacement Cost Recovery</w:t>
      </w:r>
      <w:r>
        <w:t>;</w:t>
      </w:r>
    </w:p>
    <w:p w14:paraId="782E23D6" w14:textId="556A713C" w:rsidR="00424F6A" w:rsidRPr="0086627E" w:rsidRDefault="00424F6A" w:rsidP="0033130E">
      <w:pPr>
        <w:spacing w:after="240"/>
        <w:ind w:left="1440" w:hanging="720"/>
      </w:pPr>
      <w:r w:rsidRPr="0086627E">
        <w:t>(</w:t>
      </w:r>
      <w:r w:rsidR="00002C72">
        <w:t>g</w:t>
      </w:r>
      <w:r w:rsidRPr="0086627E">
        <w:t>)</w:t>
      </w:r>
      <w:r w:rsidRPr="0086627E">
        <w:tab/>
        <w:t>Reimburse QSEs for Market Suspension Black Start Service in accordance with Section 6.6.8.1, Black Start Hourly Standby Fee Payment; 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5B1CA7" w:rsidRPr="00DE2E54" w14:paraId="12C2C58E" w14:textId="77777777" w:rsidTr="00253557">
        <w:tc>
          <w:tcPr>
            <w:tcW w:w="9576" w:type="dxa"/>
            <w:shd w:val="clear" w:color="auto" w:fill="E0E0E0"/>
          </w:tcPr>
          <w:p w14:paraId="1D21B278" w14:textId="6F86E1DC" w:rsidR="005B1CA7" w:rsidRPr="00DE2E54" w:rsidRDefault="005B1CA7" w:rsidP="00253557">
            <w:pPr>
              <w:spacing w:before="120" w:after="240"/>
              <w:rPr>
                <w:b/>
                <w:i/>
                <w:iCs/>
              </w:rPr>
            </w:pPr>
            <w:r>
              <w:rPr>
                <w:b/>
                <w:i/>
                <w:iCs/>
              </w:rPr>
              <w:t>[NPRR1029</w:t>
            </w:r>
            <w:r w:rsidRPr="00DE2E54">
              <w:rPr>
                <w:b/>
                <w:i/>
                <w:iCs/>
              </w:rPr>
              <w:t xml:space="preserve">:  </w:t>
            </w:r>
            <w:r>
              <w:rPr>
                <w:b/>
                <w:i/>
                <w:iCs/>
              </w:rPr>
              <w:t>Insert</w:t>
            </w:r>
            <w:r w:rsidRPr="00DE2E54">
              <w:rPr>
                <w:b/>
                <w:i/>
                <w:iCs/>
              </w:rPr>
              <w:t xml:space="preserve"> paragraph (</w:t>
            </w:r>
            <w:r w:rsidR="00002C72">
              <w:rPr>
                <w:b/>
                <w:i/>
                <w:iCs/>
              </w:rPr>
              <w:t>h</w:t>
            </w:r>
            <w:r w:rsidRPr="00DE2E54">
              <w:rPr>
                <w:b/>
                <w:i/>
                <w:iCs/>
              </w:rPr>
              <w:t xml:space="preserve">) </w:t>
            </w:r>
            <w:r>
              <w:rPr>
                <w:b/>
                <w:i/>
                <w:iCs/>
              </w:rPr>
              <w:t>below</w:t>
            </w:r>
            <w:r w:rsidRPr="00DE2E54">
              <w:rPr>
                <w:b/>
                <w:i/>
                <w:iCs/>
              </w:rPr>
              <w:t xml:space="preserve"> upon system implementation</w:t>
            </w:r>
            <w:r>
              <w:rPr>
                <w:b/>
                <w:i/>
                <w:iCs/>
              </w:rPr>
              <w:t xml:space="preserve"> and renumber accordingly</w:t>
            </w:r>
            <w:r w:rsidRPr="00DE2E54">
              <w:rPr>
                <w:b/>
                <w:i/>
                <w:iCs/>
              </w:rPr>
              <w:t>:]</w:t>
            </w:r>
          </w:p>
          <w:p w14:paraId="30C86476" w14:textId="2493B7AC" w:rsidR="005B1CA7" w:rsidRPr="00E774AE" w:rsidRDefault="005B1CA7" w:rsidP="005B1CA7">
            <w:pPr>
              <w:spacing w:after="240"/>
              <w:ind w:left="1440" w:hanging="720"/>
            </w:pPr>
            <w:r>
              <w:t>(</w:t>
            </w:r>
            <w:r w:rsidR="00002C72">
              <w:t>h</w:t>
            </w:r>
            <w:r>
              <w:t xml:space="preserve">) </w:t>
            </w:r>
            <w:r>
              <w:tab/>
            </w:r>
            <w:r w:rsidRPr="002855C3">
              <w:t xml:space="preserve">Reimburse QSEs representing </w:t>
            </w:r>
            <w:r>
              <w:t>ESRs for approved charging costs incurred prior to the Market Suspension</w:t>
            </w:r>
            <w:r w:rsidRPr="002855C3">
              <w:t>;</w:t>
            </w:r>
            <w:r>
              <w:t xml:space="preserve"> </w:t>
            </w:r>
            <w:r w:rsidRPr="003C2A11">
              <w:t>and</w:t>
            </w:r>
          </w:p>
        </w:tc>
      </w:tr>
    </w:tbl>
    <w:p w14:paraId="5521A563" w14:textId="51FA19F9" w:rsidR="00424F6A" w:rsidRPr="0086627E" w:rsidRDefault="00424F6A" w:rsidP="0003274B">
      <w:pPr>
        <w:spacing w:before="240" w:after="240"/>
        <w:ind w:left="1440" w:hanging="720"/>
      </w:pPr>
      <w:r w:rsidRPr="0086627E">
        <w:t>(</w:t>
      </w:r>
      <w:r w:rsidR="00002C72">
        <w:t>h</w:t>
      </w:r>
      <w:r w:rsidRPr="0086627E">
        <w:t>)</w:t>
      </w:r>
      <w:r w:rsidRPr="0086627E">
        <w:tab/>
        <w:t>Pay any other unfunded non-recurring costs incurred in restarting ERCOT markets.</w:t>
      </w:r>
    </w:p>
    <w:p w14:paraId="06D2A7C7" w14:textId="77777777" w:rsidR="00424F6A" w:rsidRDefault="00424F6A" w:rsidP="00424F6A">
      <w:pPr>
        <w:spacing w:after="240"/>
        <w:ind w:left="720" w:hanging="720"/>
      </w:pPr>
      <w:r w:rsidRPr="0086627E">
        <w:t>(2)</w:t>
      </w:r>
      <w:r w:rsidRPr="0086627E">
        <w:tab/>
        <w:t xml:space="preserve">ERCOT shall charge for the costs described above through the Market Suspension Charge Allocation. </w:t>
      </w:r>
    </w:p>
    <w:p w14:paraId="5A7B247B" w14:textId="77777777" w:rsidR="00424F6A" w:rsidRPr="00674F48" w:rsidRDefault="00424F6A" w:rsidP="00424F6A">
      <w:pPr>
        <w:spacing w:after="240"/>
        <w:ind w:left="1440" w:hanging="720"/>
      </w:pPr>
      <w:r>
        <w:t>(a)</w:t>
      </w:r>
      <w:r>
        <w:tab/>
      </w:r>
      <w:r w:rsidRPr="0086627E">
        <w:t xml:space="preserve">These charges shall be </w:t>
      </w:r>
      <w:r>
        <w:t xml:space="preserve">initially </w:t>
      </w:r>
      <w:r w:rsidRPr="0086627E">
        <w:t>allocated on an LRS basis for the most recent 30 days prior to the Market Suspension event for which Initial Settlement has been completed.</w:t>
      </w:r>
      <w:r w:rsidRPr="00674F48">
        <w:t xml:space="preserve"> </w:t>
      </w:r>
      <w:r w:rsidR="00934039">
        <w:t xml:space="preserve"> </w:t>
      </w:r>
      <w:r w:rsidRPr="00674F48">
        <w:t>For purposes of this charge, a QSE’s basis shall be the QSE’s total Real-Time Adjusted Metered Load (AML) for the 30 days prior to the Market Suspension divided by the total ERCOT Real-Time AML for the same period. The</w:t>
      </w:r>
      <w:r>
        <w:t xml:space="preserve"> initial</w:t>
      </w:r>
      <w:r w:rsidRPr="00674F48">
        <w:t xml:space="preserve"> Market Suspension Charge</w:t>
      </w:r>
      <w:r>
        <w:t xml:space="preserve"> to each QSE for a given Operating Day</w:t>
      </w:r>
      <w:r w:rsidRPr="00674F48">
        <w:t xml:space="preserve"> is calculated as follows: </w:t>
      </w:r>
    </w:p>
    <w:p w14:paraId="41335C73" w14:textId="403D302F" w:rsidR="00424F6A" w:rsidRPr="0086627E" w:rsidRDefault="00424F6A" w:rsidP="00424F6A">
      <w:pPr>
        <w:spacing w:after="240"/>
        <w:ind w:left="3960" w:hanging="3240"/>
      </w:pPr>
      <w:r w:rsidRPr="0086627E">
        <w:t>LARTMSAMT</w:t>
      </w:r>
      <w:r w:rsidRPr="0086627E">
        <w:rPr>
          <w:vertAlign w:val="subscript"/>
        </w:rPr>
        <w:t xml:space="preserve"> </w:t>
      </w:r>
      <w:r w:rsidRPr="0086627E">
        <w:rPr>
          <w:i/>
          <w:vertAlign w:val="subscript"/>
        </w:rPr>
        <w:t>q</w:t>
      </w:r>
      <w:r w:rsidRPr="0086627E">
        <w:rPr>
          <w:vertAlign w:val="subscript"/>
        </w:rPr>
        <w:t xml:space="preserve">            </w:t>
      </w:r>
      <w:r w:rsidRPr="0086627E">
        <w:t xml:space="preserve"> = </w:t>
      </w:r>
      <w:r w:rsidRPr="0086627E">
        <w:tab/>
        <w:t>(-1) * (MSMWAMTTOT</w:t>
      </w:r>
      <w:r w:rsidRPr="0086627E">
        <w:rPr>
          <w:i/>
          <w:vertAlign w:val="subscript"/>
        </w:rPr>
        <w:t xml:space="preserve"> d</w:t>
      </w:r>
      <w:r w:rsidRPr="0086627E">
        <w:t xml:space="preserve"> + MSEDCIMPAMTTOT</w:t>
      </w:r>
      <w:r w:rsidRPr="0086627E">
        <w:rPr>
          <w:i/>
          <w:vertAlign w:val="subscript"/>
        </w:rPr>
        <w:t xml:space="preserve"> d</w:t>
      </w:r>
      <w:r w:rsidRPr="0086627E">
        <w:t xml:space="preserve"> + MSBLTRAMTTOT</w:t>
      </w:r>
      <w:r w:rsidRPr="0086627E">
        <w:rPr>
          <w:i/>
          <w:vertAlign w:val="subscript"/>
        </w:rPr>
        <w:t xml:space="preserve"> d</w:t>
      </w:r>
      <w:r w:rsidRPr="0086627E">
        <w:t xml:space="preserve"> + </w:t>
      </w:r>
      <w:r w:rsidR="00F617A5">
        <w:rPr>
          <w:noProof/>
          <w:position w:val="-20"/>
        </w:rPr>
        <w:drawing>
          <wp:inline distT="0" distB="0" distL="0" distR="0" wp14:anchorId="6D6A8813" wp14:editId="4AF8A776">
            <wp:extent cx="142875" cy="27813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86627E">
        <w:t xml:space="preserve">RMRSBAMTTOT + </w:t>
      </w:r>
      <w:r w:rsidR="00F617A5">
        <w:rPr>
          <w:noProof/>
          <w:position w:val="-20"/>
        </w:rPr>
        <w:drawing>
          <wp:inline distT="0" distB="0" distL="0" distR="0" wp14:anchorId="2AF32BFA" wp14:editId="71F3CB37">
            <wp:extent cx="142875" cy="27813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86627E">
        <w:t xml:space="preserve">RMREAMTTOT + </w:t>
      </w:r>
      <w:r w:rsidR="00F617A5">
        <w:rPr>
          <w:noProof/>
          <w:position w:val="-20"/>
        </w:rPr>
        <w:drawing>
          <wp:inline distT="0" distB="0" distL="0" distR="0" wp14:anchorId="4DEADF06" wp14:editId="16526DB8">
            <wp:extent cx="142875" cy="27813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86627E">
        <w:t xml:space="preserve">BSSAMTTOT) * RTMSLRS </w:t>
      </w:r>
      <w:r w:rsidRPr="0086627E">
        <w:rPr>
          <w:i/>
          <w:vertAlign w:val="subscript"/>
        </w:rPr>
        <w:t>q</w:t>
      </w:r>
      <w:r w:rsidRPr="0086627E">
        <w:rPr>
          <w:vertAlign w:val="subscript"/>
        </w:rPr>
        <w:t xml:space="preserve"> </w:t>
      </w:r>
    </w:p>
    <w:p w14:paraId="6A6E727B" w14:textId="77777777" w:rsidR="00424F6A" w:rsidRPr="0086627E" w:rsidRDefault="00424F6A" w:rsidP="00424F6A">
      <w:pPr>
        <w:spacing w:after="240"/>
        <w:ind w:left="720"/>
      </w:pPr>
      <w:r w:rsidRPr="0086627E">
        <w:t>Where:</w:t>
      </w:r>
    </w:p>
    <w:p w14:paraId="2A2AB632" w14:textId="5CAECC5A" w:rsidR="00424F6A" w:rsidRPr="0086627E" w:rsidRDefault="00424F6A" w:rsidP="00424F6A">
      <w:pPr>
        <w:spacing w:after="240"/>
        <w:ind w:left="720"/>
      </w:pPr>
      <w:r w:rsidRPr="0086627E">
        <w:t xml:space="preserve">RTMSLRS </w:t>
      </w:r>
      <w:r w:rsidRPr="0086627E">
        <w:rPr>
          <w:i/>
          <w:vertAlign w:val="subscript"/>
        </w:rPr>
        <w:t>q</w:t>
      </w:r>
      <w:r w:rsidRPr="0086627E">
        <w:rPr>
          <w:vertAlign w:val="subscript"/>
        </w:rPr>
        <w:t xml:space="preserve"> </w:t>
      </w:r>
      <w:r w:rsidRPr="0086627E">
        <w:rPr>
          <w:vertAlign w:val="subscript"/>
        </w:rPr>
        <w:tab/>
      </w:r>
      <w:r w:rsidRPr="0086627E">
        <w:t xml:space="preserve">= </w:t>
      </w:r>
      <w:r w:rsidRPr="00812686">
        <w:t>M</w:t>
      </w:r>
      <w:r w:rsidRPr="00812686">
        <w:rPr>
          <w:bCs/>
        </w:rPr>
        <w:t>ax(0,</w:t>
      </w:r>
      <w:r w:rsidR="00F617A5">
        <w:rPr>
          <w:noProof/>
          <w:position w:val="-20"/>
        </w:rPr>
        <w:drawing>
          <wp:inline distT="0" distB="0" distL="0" distR="0" wp14:anchorId="467AD4C7" wp14:editId="53FAEEFA">
            <wp:extent cx="246380" cy="365760"/>
            <wp:effectExtent l="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380" cy="365760"/>
                    </a:xfrm>
                    <a:prstGeom prst="rect">
                      <a:avLst/>
                    </a:prstGeom>
                    <a:noFill/>
                    <a:ln>
                      <a:noFill/>
                    </a:ln>
                  </pic:spPr>
                </pic:pic>
              </a:graphicData>
            </a:graphic>
          </wp:inline>
        </w:drawing>
      </w:r>
      <w:r w:rsidR="00F617A5">
        <w:rPr>
          <w:noProof/>
          <w:position w:val="-20"/>
        </w:rPr>
        <w:drawing>
          <wp:inline distT="0" distB="0" distL="0" distR="0" wp14:anchorId="7141A9D6" wp14:editId="562B9EB4">
            <wp:extent cx="230505" cy="365760"/>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505" cy="365760"/>
                    </a:xfrm>
                    <a:prstGeom prst="rect">
                      <a:avLst/>
                    </a:prstGeom>
                    <a:noFill/>
                    <a:ln>
                      <a:noFill/>
                    </a:ln>
                  </pic:spPr>
                </pic:pic>
              </a:graphicData>
            </a:graphic>
          </wp:inline>
        </w:drawing>
      </w:r>
      <w:r w:rsidR="00F617A5">
        <w:rPr>
          <w:noProof/>
          <w:position w:val="-22"/>
        </w:rPr>
        <w:drawing>
          <wp:inline distT="0" distB="0" distL="0" distR="0" wp14:anchorId="7F1D64E2" wp14:editId="06EEC91E">
            <wp:extent cx="142875" cy="294005"/>
            <wp:effectExtent l="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294005"/>
                    </a:xfrm>
                    <a:prstGeom prst="rect">
                      <a:avLst/>
                    </a:prstGeom>
                    <a:noFill/>
                    <a:ln>
                      <a:noFill/>
                    </a:ln>
                  </pic:spPr>
                </pic:pic>
              </a:graphicData>
            </a:graphic>
          </wp:inline>
        </w:drawing>
      </w:r>
      <w:r w:rsidRPr="00812686">
        <w:rPr>
          <w:bCs/>
        </w:rPr>
        <w:t xml:space="preserve">RTAML </w:t>
      </w:r>
      <w:r w:rsidRPr="00812686">
        <w:rPr>
          <w:bCs/>
          <w:i/>
          <w:iCs/>
          <w:vertAlign w:val="subscript"/>
        </w:rPr>
        <w:t>q, p, i</w:t>
      </w:r>
      <w:r w:rsidRPr="00812686">
        <w:rPr>
          <w:bCs/>
        </w:rPr>
        <w:t>)</w:t>
      </w:r>
      <w:r w:rsidRPr="00812686">
        <w:t xml:space="preserve"> /</w:t>
      </w:r>
      <w:r w:rsidRPr="00812686">
        <w:rPr>
          <w:bCs/>
        </w:rPr>
        <w:t xml:space="preserve"> </w:t>
      </w:r>
      <w:r w:rsidR="00F617A5">
        <w:rPr>
          <w:noProof/>
          <w:position w:val="-22"/>
        </w:rPr>
        <w:drawing>
          <wp:inline distT="0" distB="0" distL="0" distR="0" wp14:anchorId="25B432E8" wp14:editId="7C211245">
            <wp:extent cx="142875" cy="294005"/>
            <wp:effectExtent l="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294005"/>
                    </a:xfrm>
                    <a:prstGeom prst="rect">
                      <a:avLst/>
                    </a:prstGeom>
                    <a:noFill/>
                    <a:ln>
                      <a:noFill/>
                    </a:ln>
                  </pic:spPr>
                </pic:pic>
              </a:graphicData>
            </a:graphic>
          </wp:inline>
        </w:drawing>
      </w:r>
      <w:r>
        <w:rPr>
          <w:bCs/>
        </w:rPr>
        <w:t>(M</w:t>
      </w:r>
      <w:r w:rsidRPr="00812686">
        <w:rPr>
          <w:bCs/>
        </w:rPr>
        <w:t>ax(0,</w:t>
      </w:r>
      <w:r w:rsidR="00F617A5">
        <w:rPr>
          <w:noProof/>
          <w:position w:val="-20"/>
        </w:rPr>
        <w:drawing>
          <wp:inline distT="0" distB="0" distL="0" distR="0" wp14:anchorId="0D11AB0D" wp14:editId="50DAB1E2">
            <wp:extent cx="246380" cy="36576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380" cy="365760"/>
                    </a:xfrm>
                    <a:prstGeom prst="rect">
                      <a:avLst/>
                    </a:prstGeom>
                    <a:noFill/>
                    <a:ln>
                      <a:noFill/>
                    </a:ln>
                  </pic:spPr>
                </pic:pic>
              </a:graphicData>
            </a:graphic>
          </wp:inline>
        </w:drawing>
      </w:r>
      <w:r w:rsidR="00F617A5">
        <w:rPr>
          <w:noProof/>
          <w:position w:val="-20"/>
        </w:rPr>
        <w:drawing>
          <wp:inline distT="0" distB="0" distL="0" distR="0" wp14:anchorId="79DBD11C" wp14:editId="385169E4">
            <wp:extent cx="302260" cy="365760"/>
            <wp:effectExtent l="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260" cy="365760"/>
                    </a:xfrm>
                    <a:prstGeom prst="rect">
                      <a:avLst/>
                    </a:prstGeom>
                    <a:noFill/>
                    <a:ln>
                      <a:noFill/>
                    </a:ln>
                  </pic:spPr>
                </pic:pic>
              </a:graphicData>
            </a:graphic>
          </wp:inline>
        </w:drawing>
      </w:r>
      <w:r w:rsidR="00F617A5">
        <w:rPr>
          <w:noProof/>
          <w:position w:val="-22"/>
        </w:rPr>
        <w:drawing>
          <wp:inline distT="0" distB="0" distL="0" distR="0" wp14:anchorId="00F212A4" wp14:editId="250F1195">
            <wp:extent cx="142875" cy="294005"/>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294005"/>
                    </a:xfrm>
                    <a:prstGeom prst="rect">
                      <a:avLst/>
                    </a:prstGeom>
                    <a:noFill/>
                    <a:ln>
                      <a:noFill/>
                    </a:ln>
                  </pic:spPr>
                </pic:pic>
              </a:graphicData>
            </a:graphic>
          </wp:inline>
        </w:drawing>
      </w:r>
      <w:r w:rsidRPr="00812686">
        <w:rPr>
          <w:bCs/>
        </w:rPr>
        <w:t xml:space="preserve">RTAML </w:t>
      </w:r>
      <w:r w:rsidRPr="00812686">
        <w:rPr>
          <w:bCs/>
          <w:i/>
          <w:iCs/>
          <w:vertAlign w:val="subscript"/>
        </w:rPr>
        <w:t>q, p, i</w:t>
      </w:r>
      <w:r w:rsidRPr="00812686">
        <w:rPr>
          <w:bCs/>
        </w:rPr>
        <w:t>))</w:t>
      </w:r>
    </w:p>
    <w:p w14:paraId="439C6A04" w14:textId="77777777" w:rsidR="00424F6A" w:rsidRPr="0086627E" w:rsidRDefault="00424F6A" w:rsidP="00424F6A">
      <w:pPr>
        <w:spacing w:before="120"/>
      </w:pPr>
      <w:r w:rsidRPr="0086627E">
        <w:tab/>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4"/>
        <w:gridCol w:w="1122"/>
        <w:gridCol w:w="5784"/>
      </w:tblGrid>
      <w:tr w:rsidR="00424F6A" w:rsidRPr="0086627E" w14:paraId="7AA47179" w14:textId="77777777" w:rsidTr="00424F6A">
        <w:trPr>
          <w:cantSplit/>
          <w:tblHeader/>
        </w:trPr>
        <w:tc>
          <w:tcPr>
            <w:tcW w:w="1307" w:type="pct"/>
            <w:tcBorders>
              <w:top w:val="single" w:sz="4" w:space="0" w:color="auto"/>
              <w:left w:val="single" w:sz="4" w:space="0" w:color="auto"/>
              <w:bottom w:val="single" w:sz="4" w:space="0" w:color="auto"/>
              <w:right w:val="single" w:sz="4" w:space="0" w:color="auto"/>
            </w:tcBorders>
            <w:hideMark/>
          </w:tcPr>
          <w:p w14:paraId="629BEABA" w14:textId="77777777" w:rsidR="00424F6A" w:rsidRPr="0086627E" w:rsidRDefault="00424F6A" w:rsidP="00424F6A">
            <w:pPr>
              <w:spacing w:after="240"/>
              <w:rPr>
                <w:b/>
                <w:iCs/>
                <w:sz w:val="20"/>
              </w:rPr>
            </w:pPr>
            <w:r w:rsidRPr="0086627E">
              <w:rPr>
                <w:b/>
                <w:iCs/>
                <w:sz w:val="20"/>
              </w:rPr>
              <w:lastRenderedPageBreak/>
              <w:t>Variable</w:t>
            </w:r>
          </w:p>
        </w:tc>
        <w:tc>
          <w:tcPr>
            <w:tcW w:w="600" w:type="pct"/>
            <w:tcBorders>
              <w:top w:val="single" w:sz="4" w:space="0" w:color="auto"/>
              <w:left w:val="single" w:sz="4" w:space="0" w:color="auto"/>
              <w:bottom w:val="single" w:sz="4" w:space="0" w:color="auto"/>
              <w:right w:val="single" w:sz="4" w:space="0" w:color="auto"/>
            </w:tcBorders>
            <w:hideMark/>
          </w:tcPr>
          <w:p w14:paraId="1288C228" w14:textId="77777777" w:rsidR="00424F6A" w:rsidRPr="0086627E" w:rsidRDefault="00424F6A" w:rsidP="00424F6A">
            <w:pPr>
              <w:spacing w:after="240"/>
              <w:rPr>
                <w:b/>
                <w:iCs/>
                <w:sz w:val="20"/>
              </w:rPr>
            </w:pPr>
            <w:r w:rsidRPr="0086627E">
              <w:rPr>
                <w:b/>
                <w:iCs/>
                <w:sz w:val="20"/>
              </w:rPr>
              <w:t>Unit</w:t>
            </w:r>
          </w:p>
        </w:tc>
        <w:tc>
          <w:tcPr>
            <w:tcW w:w="3092" w:type="pct"/>
            <w:tcBorders>
              <w:top w:val="single" w:sz="4" w:space="0" w:color="auto"/>
              <w:left w:val="single" w:sz="4" w:space="0" w:color="auto"/>
              <w:bottom w:val="single" w:sz="4" w:space="0" w:color="auto"/>
              <w:right w:val="single" w:sz="4" w:space="0" w:color="auto"/>
            </w:tcBorders>
            <w:hideMark/>
          </w:tcPr>
          <w:p w14:paraId="238D312E" w14:textId="77777777" w:rsidR="00424F6A" w:rsidRPr="0086627E" w:rsidRDefault="00424F6A" w:rsidP="00424F6A">
            <w:pPr>
              <w:spacing w:after="240"/>
              <w:rPr>
                <w:b/>
                <w:iCs/>
                <w:sz w:val="20"/>
              </w:rPr>
            </w:pPr>
            <w:r w:rsidRPr="0086627E">
              <w:rPr>
                <w:b/>
                <w:iCs/>
                <w:sz w:val="20"/>
              </w:rPr>
              <w:t>Definition</w:t>
            </w:r>
          </w:p>
        </w:tc>
      </w:tr>
      <w:tr w:rsidR="00424F6A" w:rsidRPr="0086627E" w14:paraId="3ED8072F"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11A21EE7" w14:textId="77777777" w:rsidR="00424F6A" w:rsidRPr="0086627E" w:rsidRDefault="00424F6A" w:rsidP="00424F6A">
            <w:pPr>
              <w:spacing w:after="60"/>
              <w:rPr>
                <w:iCs/>
                <w:sz w:val="20"/>
              </w:rPr>
            </w:pPr>
            <w:r w:rsidRPr="0086627E">
              <w:rPr>
                <w:iCs/>
                <w:sz w:val="20"/>
              </w:rPr>
              <w:t>LARTMSAMT</w:t>
            </w:r>
            <w:r w:rsidRPr="0086627E">
              <w:rPr>
                <w:iCs/>
                <w:sz w:val="20"/>
                <w:vertAlign w:val="subscript"/>
              </w:rPr>
              <w:t xml:space="preserve"> </w:t>
            </w:r>
            <w:r w:rsidRPr="0086627E">
              <w:rPr>
                <w:i/>
                <w:iCs/>
                <w:sz w:val="20"/>
                <w:vertAlign w:val="subscript"/>
              </w:rPr>
              <w:t>q</w:t>
            </w:r>
          </w:p>
        </w:tc>
        <w:tc>
          <w:tcPr>
            <w:tcW w:w="600" w:type="pct"/>
            <w:tcBorders>
              <w:top w:val="single" w:sz="4" w:space="0" w:color="auto"/>
              <w:left w:val="single" w:sz="4" w:space="0" w:color="auto"/>
              <w:bottom w:val="single" w:sz="4" w:space="0" w:color="auto"/>
              <w:right w:val="single" w:sz="4" w:space="0" w:color="auto"/>
            </w:tcBorders>
          </w:tcPr>
          <w:p w14:paraId="138845C8"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6DE9D688" w14:textId="77777777" w:rsidR="00424F6A" w:rsidRPr="0086627E" w:rsidRDefault="00424F6A" w:rsidP="00424F6A">
            <w:pPr>
              <w:spacing w:after="60"/>
              <w:rPr>
                <w:i/>
                <w:iCs/>
                <w:sz w:val="20"/>
              </w:rPr>
            </w:pPr>
            <w:r w:rsidRPr="0086627E">
              <w:rPr>
                <w:i/>
                <w:iCs/>
                <w:sz w:val="20"/>
              </w:rPr>
              <w:t>Load Allocated Real-Time Market Suspension Charge</w:t>
            </w:r>
            <w:r w:rsidRPr="0086627E">
              <w:rPr>
                <w:i/>
                <w:sz w:val="20"/>
              </w:rPr>
              <w:t xml:space="preserve"> – </w:t>
            </w:r>
            <w:r w:rsidRPr="0086627E">
              <w:rPr>
                <w:iCs/>
                <w:sz w:val="20"/>
              </w:rPr>
              <w:t xml:space="preserve">The allocated charge to QSE </w:t>
            </w:r>
            <w:r w:rsidRPr="0086627E">
              <w:rPr>
                <w:i/>
                <w:iCs/>
                <w:sz w:val="20"/>
              </w:rPr>
              <w:t>q</w:t>
            </w:r>
            <w:r w:rsidRPr="0086627E">
              <w:rPr>
                <w:iCs/>
                <w:sz w:val="20"/>
              </w:rPr>
              <w:t xml:space="preserve"> for Market Suspension activities for the Operating Day.</w:t>
            </w:r>
          </w:p>
        </w:tc>
      </w:tr>
      <w:tr w:rsidR="00424F6A" w:rsidRPr="0086627E" w14:paraId="5777FA95"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00985F95" w14:textId="77777777" w:rsidR="00424F6A" w:rsidRPr="0086627E" w:rsidRDefault="00424F6A" w:rsidP="00424F6A">
            <w:pPr>
              <w:spacing w:after="60"/>
              <w:rPr>
                <w:iCs/>
                <w:sz w:val="20"/>
              </w:rPr>
            </w:pPr>
            <w:r w:rsidRPr="0086627E">
              <w:rPr>
                <w:iCs/>
                <w:sz w:val="20"/>
              </w:rPr>
              <w:t>MSEDCIMPAMTTOT</w:t>
            </w:r>
            <w:r w:rsidRPr="0086627E">
              <w:rPr>
                <w:i/>
                <w:iCs/>
                <w:sz w:val="20"/>
                <w:vertAlign w:val="subscript"/>
              </w:rPr>
              <w:t xml:space="preserve"> d</w:t>
            </w:r>
            <w:r w:rsidRPr="0086627E">
              <w:rPr>
                <w:iCs/>
                <w:sz w:val="20"/>
              </w:rPr>
              <w:t xml:space="preserve">  </w:t>
            </w:r>
          </w:p>
        </w:tc>
        <w:tc>
          <w:tcPr>
            <w:tcW w:w="600" w:type="pct"/>
            <w:tcBorders>
              <w:top w:val="single" w:sz="4" w:space="0" w:color="auto"/>
              <w:left w:val="single" w:sz="4" w:space="0" w:color="auto"/>
              <w:bottom w:val="single" w:sz="4" w:space="0" w:color="auto"/>
              <w:right w:val="single" w:sz="4" w:space="0" w:color="auto"/>
            </w:tcBorders>
          </w:tcPr>
          <w:p w14:paraId="709791DF"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01C40171" w14:textId="77777777" w:rsidR="00424F6A" w:rsidRPr="0086627E" w:rsidRDefault="00424F6A" w:rsidP="00424F6A">
            <w:pPr>
              <w:spacing w:after="60"/>
              <w:rPr>
                <w:i/>
                <w:iCs/>
                <w:sz w:val="20"/>
              </w:rPr>
            </w:pPr>
            <w:r w:rsidRPr="0086627E">
              <w:rPr>
                <w:i/>
                <w:sz w:val="20"/>
              </w:rPr>
              <w:t xml:space="preserve">Market Suspension Emergency DC Import Amount Total – </w:t>
            </w:r>
            <w:r w:rsidRPr="0086627E">
              <w:rPr>
                <w:sz w:val="20"/>
              </w:rPr>
              <w:t xml:space="preserve">The total Market Suspension Emergency DC Import Amount charges for all QSEs for the Operating Day </w:t>
            </w:r>
            <w:r w:rsidRPr="0086627E">
              <w:rPr>
                <w:i/>
                <w:sz w:val="20"/>
              </w:rPr>
              <w:t>d</w:t>
            </w:r>
            <w:r w:rsidRPr="0086627E">
              <w:rPr>
                <w:sz w:val="20"/>
              </w:rPr>
              <w:t>.</w:t>
            </w:r>
          </w:p>
        </w:tc>
      </w:tr>
      <w:tr w:rsidR="00424F6A" w:rsidRPr="0086627E" w14:paraId="3674B312"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30D4F841" w14:textId="77777777" w:rsidR="00424F6A" w:rsidRPr="0086627E" w:rsidRDefault="00424F6A" w:rsidP="00424F6A">
            <w:pPr>
              <w:spacing w:after="60"/>
              <w:rPr>
                <w:iCs/>
                <w:sz w:val="20"/>
              </w:rPr>
            </w:pPr>
            <w:r w:rsidRPr="0086627E">
              <w:rPr>
                <w:iCs/>
                <w:sz w:val="20"/>
              </w:rPr>
              <w:t>MSMWAMTTOT</w:t>
            </w:r>
            <w:r w:rsidRPr="0086627E">
              <w:rPr>
                <w:i/>
                <w:iCs/>
                <w:sz w:val="20"/>
                <w:vertAlign w:val="subscript"/>
              </w:rPr>
              <w:t xml:space="preserve"> d</w:t>
            </w:r>
            <w:r w:rsidRPr="0086627E">
              <w:rPr>
                <w:iCs/>
                <w:sz w:val="20"/>
              </w:rPr>
              <w:t xml:space="preserve"> </w:t>
            </w:r>
          </w:p>
        </w:tc>
        <w:tc>
          <w:tcPr>
            <w:tcW w:w="600" w:type="pct"/>
            <w:tcBorders>
              <w:top w:val="single" w:sz="4" w:space="0" w:color="auto"/>
              <w:left w:val="single" w:sz="4" w:space="0" w:color="auto"/>
              <w:bottom w:val="single" w:sz="4" w:space="0" w:color="auto"/>
              <w:right w:val="single" w:sz="4" w:space="0" w:color="auto"/>
            </w:tcBorders>
          </w:tcPr>
          <w:p w14:paraId="7544A316"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65317C26" w14:textId="77777777" w:rsidR="00424F6A" w:rsidRPr="0086627E" w:rsidRDefault="00424F6A" w:rsidP="00424F6A">
            <w:pPr>
              <w:spacing w:after="60"/>
              <w:rPr>
                <w:i/>
                <w:iCs/>
                <w:sz w:val="20"/>
              </w:rPr>
            </w:pPr>
            <w:r w:rsidRPr="0086627E">
              <w:rPr>
                <w:i/>
                <w:iCs/>
                <w:sz w:val="20"/>
              </w:rPr>
              <w:t>Market Suspension Make-Whole Payment Total</w:t>
            </w:r>
            <w:r w:rsidRPr="0086627E">
              <w:rPr>
                <w:i/>
                <w:sz w:val="20"/>
              </w:rPr>
              <w:t xml:space="preserve"> – </w:t>
            </w:r>
            <w:r w:rsidRPr="0086627E">
              <w:rPr>
                <w:iCs/>
                <w:sz w:val="20"/>
              </w:rPr>
              <w:t>The total payment to all QSEs for Market Suspension</w:t>
            </w:r>
            <w:r w:rsidRPr="0086627E">
              <w:rPr>
                <w:i/>
                <w:iCs/>
                <w:sz w:val="20"/>
              </w:rPr>
              <w:t xml:space="preserve"> </w:t>
            </w:r>
            <w:r w:rsidRPr="0086627E">
              <w:rPr>
                <w:sz w:val="20"/>
              </w:rPr>
              <w:t xml:space="preserve">Make-Whole Payments </w:t>
            </w:r>
            <w:r w:rsidRPr="0086627E">
              <w:rPr>
                <w:iCs/>
                <w:sz w:val="20"/>
              </w:rPr>
              <w:t xml:space="preserve">for the Operating Day.  </w:t>
            </w:r>
          </w:p>
        </w:tc>
      </w:tr>
      <w:tr w:rsidR="00424F6A" w:rsidRPr="0086627E" w14:paraId="379B6875"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36067748" w14:textId="77777777" w:rsidR="00424F6A" w:rsidRPr="0086627E" w:rsidRDefault="00424F6A" w:rsidP="00424F6A">
            <w:pPr>
              <w:spacing w:after="60"/>
              <w:rPr>
                <w:iCs/>
                <w:sz w:val="20"/>
              </w:rPr>
            </w:pPr>
            <w:r w:rsidRPr="0086627E">
              <w:rPr>
                <w:iCs/>
                <w:sz w:val="20"/>
              </w:rPr>
              <w:t>MSBLTRAMTTOT</w:t>
            </w:r>
            <w:r w:rsidRPr="0086627E">
              <w:rPr>
                <w:i/>
                <w:iCs/>
                <w:sz w:val="20"/>
                <w:vertAlign w:val="subscript"/>
              </w:rPr>
              <w:t xml:space="preserve"> d</w:t>
            </w:r>
          </w:p>
        </w:tc>
        <w:tc>
          <w:tcPr>
            <w:tcW w:w="600" w:type="pct"/>
            <w:tcBorders>
              <w:top w:val="single" w:sz="4" w:space="0" w:color="auto"/>
              <w:left w:val="single" w:sz="4" w:space="0" w:color="auto"/>
              <w:bottom w:val="single" w:sz="4" w:space="0" w:color="auto"/>
              <w:right w:val="single" w:sz="4" w:space="0" w:color="auto"/>
            </w:tcBorders>
          </w:tcPr>
          <w:p w14:paraId="311AD269"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6D06C408" w14:textId="77777777" w:rsidR="00424F6A" w:rsidRPr="0086627E" w:rsidRDefault="00424F6A" w:rsidP="00424F6A">
            <w:pPr>
              <w:spacing w:after="60"/>
              <w:rPr>
                <w:i/>
                <w:iCs/>
                <w:sz w:val="20"/>
              </w:rPr>
            </w:pPr>
            <w:r w:rsidRPr="0086627E">
              <w:rPr>
                <w:i/>
                <w:iCs/>
                <w:sz w:val="20"/>
              </w:rPr>
              <w:t xml:space="preserve">Market Suspension Block Load Transfer Amount Total – </w:t>
            </w:r>
            <w:r w:rsidRPr="0086627E">
              <w:rPr>
                <w:iCs/>
                <w:sz w:val="20"/>
              </w:rPr>
              <w:t>The total Market Suspension Block Load Transfer Amount for all QSEs</w:t>
            </w:r>
            <w:r w:rsidRPr="0086627E">
              <w:rPr>
                <w:sz w:val="20"/>
              </w:rPr>
              <w:t xml:space="preserve"> for the Operating Day </w:t>
            </w:r>
            <w:r w:rsidRPr="0086627E">
              <w:rPr>
                <w:i/>
                <w:sz w:val="20"/>
              </w:rPr>
              <w:t>d</w:t>
            </w:r>
            <w:r w:rsidRPr="0086627E">
              <w:rPr>
                <w:iCs/>
                <w:sz w:val="20"/>
              </w:rPr>
              <w:t>.</w:t>
            </w:r>
          </w:p>
        </w:tc>
      </w:tr>
      <w:tr w:rsidR="00424F6A" w:rsidRPr="0086627E" w14:paraId="18CB357B"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60032C97" w14:textId="77777777" w:rsidR="00424F6A" w:rsidRPr="0086627E" w:rsidRDefault="00424F6A" w:rsidP="00424F6A">
            <w:pPr>
              <w:spacing w:after="60"/>
              <w:rPr>
                <w:iCs/>
                <w:sz w:val="20"/>
              </w:rPr>
            </w:pPr>
            <w:r w:rsidRPr="0086627E">
              <w:rPr>
                <w:iCs/>
                <w:sz w:val="20"/>
              </w:rPr>
              <w:t>BSSAMTTOT</w:t>
            </w:r>
          </w:p>
        </w:tc>
        <w:tc>
          <w:tcPr>
            <w:tcW w:w="600" w:type="pct"/>
            <w:tcBorders>
              <w:top w:val="single" w:sz="4" w:space="0" w:color="auto"/>
              <w:left w:val="single" w:sz="4" w:space="0" w:color="auto"/>
              <w:bottom w:val="single" w:sz="4" w:space="0" w:color="auto"/>
              <w:right w:val="single" w:sz="4" w:space="0" w:color="auto"/>
            </w:tcBorders>
          </w:tcPr>
          <w:p w14:paraId="74D27FC2"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4A7C2CB0" w14:textId="77777777" w:rsidR="00424F6A" w:rsidRPr="0086627E" w:rsidRDefault="00424F6A" w:rsidP="00934039">
            <w:pPr>
              <w:spacing w:after="60"/>
              <w:rPr>
                <w:i/>
                <w:iCs/>
                <w:sz w:val="20"/>
              </w:rPr>
            </w:pPr>
            <w:r w:rsidRPr="0086627E">
              <w:rPr>
                <w:i/>
                <w:iCs/>
                <w:sz w:val="20"/>
              </w:rPr>
              <w:t xml:space="preserve">Black Start Service Amount QSE Total ERCOT-Wide – </w:t>
            </w:r>
            <w:r w:rsidRPr="0086627E">
              <w:rPr>
                <w:iCs/>
                <w:sz w:val="20"/>
              </w:rPr>
              <w:t xml:space="preserve">The total of the payments to QSE </w:t>
            </w:r>
            <w:r w:rsidRPr="0086627E">
              <w:rPr>
                <w:i/>
                <w:iCs/>
                <w:sz w:val="20"/>
              </w:rPr>
              <w:t>q</w:t>
            </w:r>
            <w:r w:rsidRPr="0086627E">
              <w:rPr>
                <w:iCs/>
                <w:sz w:val="20"/>
              </w:rPr>
              <w:t xml:space="preserve"> for </w:t>
            </w:r>
            <w:r w:rsidR="00934039">
              <w:rPr>
                <w:iCs/>
                <w:sz w:val="20"/>
              </w:rPr>
              <w:t>Black Start Service (</w:t>
            </w:r>
            <w:r w:rsidRPr="0086627E">
              <w:rPr>
                <w:iCs/>
                <w:sz w:val="20"/>
              </w:rPr>
              <w:t>BSS</w:t>
            </w:r>
            <w:r w:rsidR="00934039">
              <w:rPr>
                <w:iCs/>
                <w:sz w:val="20"/>
              </w:rPr>
              <w:t>)</w:t>
            </w:r>
            <w:r w:rsidRPr="0086627E">
              <w:rPr>
                <w:iCs/>
                <w:sz w:val="20"/>
              </w:rPr>
              <w:t xml:space="preserve"> provided by all the BSS Resource represented by this QSE for the hour </w:t>
            </w:r>
            <w:r w:rsidRPr="0086627E">
              <w:rPr>
                <w:i/>
                <w:iCs/>
                <w:sz w:val="20"/>
              </w:rPr>
              <w:t>h</w:t>
            </w:r>
            <w:r w:rsidRPr="0086627E">
              <w:rPr>
                <w:iCs/>
                <w:sz w:val="20"/>
              </w:rPr>
              <w:t>.</w:t>
            </w:r>
          </w:p>
        </w:tc>
      </w:tr>
      <w:tr w:rsidR="00424F6A" w:rsidRPr="0086627E" w14:paraId="4ABAE9B0"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46CF657B" w14:textId="77777777" w:rsidR="00424F6A" w:rsidRPr="0086627E" w:rsidRDefault="00424F6A" w:rsidP="00424F6A">
            <w:pPr>
              <w:spacing w:after="60"/>
              <w:rPr>
                <w:iCs/>
                <w:sz w:val="20"/>
              </w:rPr>
            </w:pPr>
            <w:r w:rsidRPr="0086627E">
              <w:rPr>
                <w:iCs/>
                <w:sz w:val="20"/>
              </w:rPr>
              <w:t>RMREAMTTOT</w:t>
            </w:r>
          </w:p>
        </w:tc>
        <w:tc>
          <w:tcPr>
            <w:tcW w:w="600" w:type="pct"/>
            <w:tcBorders>
              <w:top w:val="single" w:sz="4" w:space="0" w:color="auto"/>
              <w:left w:val="single" w:sz="4" w:space="0" w:color="auto"/>
              <w:bottom w:val="single" w:sz="4" w:space="0" w:color="auto"/>
              <w:right w:val="single" w:sz="4" w:space="0" w:color="auto"/>
            </w:tcBorders>
          </w:tcPr>
          <w:p w14:paraId="1D75098F"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2DFC7FAD" w14:textId="77777777" w:rsidR="00424F6A" w:rsidRPr="0086627E" w:rsidRDefault="00424F6A" w:rsidP="00424F6A">
            <w:pPr>
              <w:spacing w:after="60"/>
              <w:rPr>
                <w:i/>
                <w:iCs/>
                <w:sz w:val="20"/>
              </w:rPr>
            </w:pPr>
            <w:r w:rsidRPr="0086627E">
              <w:rPr>
                <w:i/>
                <w:iCs/>
                <w:sz w:val="20"/>
              </w:rPr>
              <w:t>RMR Energy Amount Total</w:t>
            </w:r>
            <w:r>
              <w:rPr>
                <w:i/>
                <w:iCs/>
                <w:sz w:val="20"/>
              </w:rPr>
              <w:t xml:space="preserve"> </w:t>
            </w:r>
            <w:r w:rsidRPr="0086627E">
              <w:rPr>
                <w:i/>
                <w:iCs/>
                <w:sz w:val="20"/>
              </w:rPr>
              <w:t>–</w:t>
            </w:r>
            <w:r>
              <w:rPr>
                <w:i/>
                <w:iCs/>
                <w:sz w:val="20"/>
              </w:rPr>
              <w:t xml:space="preserve"> </w:t>
            </w:r>
            <w:r w:rsidRPr="0086627E">
              <w:rPr>
                <w:iCs/>
                <w:sz w:val="20"/>
              </w:rPr>
              <w:t>The total of the energy cost payments to all QSEs for all RMR Units, for the hour.</w:t>
            </w:r>
          </w:p>
        </w:tc>
      </w:tr>
      <w:tr w:rsidR="00424F6A" w:rsidRPr="0086627E" w14:paraId="64F5C741"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7FA3D69B" w14:textId="77777777" w:rsidR="00424F6A" w:rsidRPr="0086627E" w:rsidRDefault="00424F6A" w:rsidP="00424F6A">
            <w:pPr>
              <w:spacing w:after="60"/>
              <w:rPr>
                <w:iCs/>
                <w:sz w:val="20"/>
              </w:rPr>
            </w:pPr>
            <w:r w:rsidRPr="0086627E">
              <w:rPr>
                <w:iCs/>
                <w:sz w:val="20"/>
              </w:rPr>
              <w:t>RMRSBAMTTOT</w:t>
            </w:r>
          </w:p>
        </w:tc>
        <w:tc>
          <w:tcPr>
            <w:tcW w:w="600" w:type="pct"/>
            <w:tcBorders>
              <w:top w:val="single" w:sz="4" w:space="0" w:color="auto"/>
              <w:left w:val="single" w:sz="4" w:space="0" w:color="auto"/>
              <w:bottom w:val="single" w:sz="4" w:space="0" w:color="auto"/>
              <w:right w:val="single" w:sz="4" w:space="0" w:color="auto"/>
            </w:tcBorders>
          </w:tcPr>
          <w:p w14:paraId="4B6CF810" w14:textId="77777777" w:rsidR="00424F6A" w:rsidRPr="0086627E" w:rsidRDefault="00424F6A" w:rsidP="00424F6A">
            <w:pPr>
              <w:spacing w:after="60"/>
              <w:rPr>
                <w:iCs/>
                <w:sz w:val="20"/>
              </w:rPr>
            </w:pPr>
            <w:r w:rsidRPr="0086627E">
              <w:rPr>
                <w:iCs/>
                <w:sz w:val="20"/>
              </w:rPr>
              <w:t>$</w:t>
            </w:r>
          </w:p>
        </w:tc>
        <w:tc>
          <w:tcPr>
            <w:tcW w:w="3092" w:type="pct"/>
            <w:tcBorders>
              <w:top w:val="single" w:sz="4" w:space="0" w:color="auto"/>
              <w:left w:val="single" w:sz="4" w:space="0" w:color="auto"/>
              <w:bottom w:val="single" w:sz="4" w:space="0" w:color="auto"/>
              <w:right w:val="single" w:sz="4" w:space="0" w:color="auto"/>
            </w:tcBorders>
          </w:tcPr>
          <w:p w14:paraId="2E754C1D" w14:textId="77777777" w:rsidR="00424F6A" w:rsidRPr="0086627E" w:rsidRDefault="00424F6A" w:rsidP="00424F6A">
            <w:pPr>
              <w:spacing w:after="60"/>
              <w:rPr>
                <w:i/>
                <w:iCs/>
                <w:sz w:val="20"/>
              </w:rPr>
            </w:pPr>
            <w:r w:rsidRPr="0086627E">
              <w:rPr>
                <w:i/>
                <w:iCs/>
                <w:sz w:val="20"/>
              </w:rPr>
              <w:t>RMR Standby Amount Total</w:t>
            </w:r>
            <w:r>
              <w:rPr>
                <w:i/>
                <w:iCs/>
                <w:sz w:val="20"/>
              </w:rPr>
              <w:t xml:space="preserve"> </w:t>
            </w:r>
            <w:r w:rsidRPr="0086627E">
              <w:rPr>
                <w:i/>
                <w:iCs/>
                <w:sz w:val="20"/>
              </w:rPr>
              <w:t>–</w:t>
            </w:r>
            <w:r>
              <w:rPr>
                <w:i/>
                <w:iCs/>
                <w:sz w:val="20"/>
              </w:rPr>
              <w:t xml:space="preserve"> </w:t>
            </w:r>
            <w:r w:rsidRPr="0086627E">
              <w:rPr>
                <w:iCs/>
                <w:sz w:val="20"/>
              </w:rPr>
              <w:t>The total of the Standby Payments to all QSEs for all RMR Units, for the hour.</w:t>
            </w:r>
          </w:p>
        </w:tc>
      </w:tr>
      <w:tr w:rsidR="00424F6A" w:rsidRPr="0086627E" w14:paraId="795A7F04" w14:textId="77777777" w:rsidTr="00424F6A">
        <w:trPr>
          <w:cantSplit/>
        </w:trPr>
        <w:tc>
          <w:tcPr>
            <w:tcW w:w="1307" w:type="pct"/>
            <w:tcBorders>
              <w:top w:val="single" w:sz="4" w:space="0" w:color="auto"/>
              <w:left w:val="single" w:sz="4" w:space="0" w:color="auto"/>
              <w:bottom w:val="single" w:sz="4" w:space="0" w:color="auto"/>
              <w:right w:val="single" w:sz="4" w:space="0" w:color="auto"/>
            </w:tcBorders>
            <w:hideMark/>
          </w:tcPr>
          <w:p w14:paraId="43E9F6D5" w14:textId="77777777" w:rsidR="00424F6A" w:rsidRPr="0086627E" w:rsidRDefault="00424F6A" w:rsidP="00424F6A">
            <w:pPr>
              <w:spacing w:after="60"/>
              <w:rPr>
                <w:iCs/>
                <w:sz w:val="20"/>
              </w:rPr>
            </w:pPr>
            <w:r w:rsidRPr="0086627E">
              <w:rPr>
                <w:iCs/>
                <w:sz w:val="20"/>
              </w:rPr>
              <w:t xml:space="preserve">RTMSLRS </w:t>
            </w:r>
            <w:r w:rsidRPr="0086627E">
              <w:rPr>
                <w:i/>
                <w:iCs/>
                <w:sz w:val="20"/>
                <w:vertAlign w:val="subscript"/>
              </w:rPr>
              <w:t>q</w:t>
            </w:r>
          </w:p>
        </w:tc>
        <w:tc>
          <w:tcPr>
            <w:tcW w:w="600" w:type="pct"/>
            <w:tcBorders>
              <w:top w:val="single" w:sz="4" w:space="0" w:color="auto"/>
              <w:left w:val="single" w:sz="4" w:space="0" w:color="auto"/>
              <w:bottom w:val="single" w:sz="4" w:space="0" w:color="auto"/>
              <w:right w:val="single" w:sz="4" w:space="0" w:color="auto"/>
            </w:tcBorders>
            <w:hideMark/>
          </w:tcPr>
          <w:p w14:paraId="01AF2AA4" w14:textId="77777777" w:rsidR="00424F6A" w:rsidRPr="0086627E" w:rsidRDefault="00424F6A" w:rsidP="00424F6A">
            <w:pPr>
              <w:spacing w:after="60"/>
              <w:rPr>
                <w:iCs/>
                <w:sz w:val="20"/>
              </w:rPr>
            </w:pPr>
            <w:r>
              <w:rPr>
                <w:iCs/>
                <w:sz w:val="20"/>
              </w:rPr>
              <w:t>none</w:t>
            </w:r>
          </w:p>
        </w:tc>
        <w:tc>
          <w:tcPr>
            <w:tcW w:w="3092" w:type="pct"/>
            <w:tcBorders>
              <w:top w:val="single" w:sz="4" w:space="0" w:color="auto"/>
              <w:left w:val="single" w:sz="4" w:space="0" w:color="auto"/>
              <w:bottom w:val="single" w:sz="4" w:space="0" w:color="auto"/>
              <w:right w:val="single" w:sz="4" w:space="0" w:color="auto"/>
            </w:tcBorders>
            <w:hideMark/>
          </w:tcPr>
          <w:p w14:paraId="38038037" w14:textId="77777777" w:rsidR="00424F6A" w:rsidRPr="0086627E" w:rsidRDefault="00424F6A" w:rsidP="00424F6A">
            <w:pPr>
              <w:spacing w:after="60"/>
              <w:rPr>
                <w:iCs/>
                <w:sz w:val="20"/>
              </w:rPr>
            </w:pPr>
            <w:r w:rsidRPr="0086627E">
              <w:rPr>
                <w:i/>
                <w:iCs/>
                <w:sz w:val="20"/>
              </w:rPr>
              <w:t>Real-Time Market Suspension Load Ratio Share</w:t>
            </w:r>
            <w:r w:rsidRPr="0086627E">
              <w:rPr>
                <w:i/>
                <w:sz w:val="20"/>
              </w:rPr>
              <w:t xml:space="preserve"> – </w:t>
            </w:r>
            <w:r w:rsidRPr="0086627E">
              <w:rPr>
                <w:iCs/>
                <w:sz w:val="20"/>
              </w:rPr>
              <w:t xml:space="preserve">The ratio of the QSE </w:t>
            </w:r>
            <w:r w:rsidRPr="0086627E">
              <w:rPr>
                <w:i/>
                <w:iCs/>
                <w:sz w:val="20"/>
              </w:rPr>
              <w:t>q</w:t>
            </w:r>
            <w:r w:rsidRPr="0086627E">
              <w:rPr>
                <w:iCs/>
                <w:sz w:val="20"/>
              </w:rPr>
              <w:t>’s Real-Time AML to the total ERCOT Real-Time AML for the 30 day period prior to the Market Suspension for which Initial Settlement has been completed.</w:t>
            </w:r>
          </w:p>
        </w:tc>
      </w:tr>
      <w:tr w:rsidR="00424F6A" w:rsidRPr="0086627E" w14:paraId="78BA4A08"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1FC7C6C6" w14:textId="77777777" w:rsidR="00424F6A" w:rsidRPr="0086627E" w:rsidRDefault="00424F6A" w:rsidP="00424F6A">
            <w:pPr>
              <w:spacing w:after="60"/>
              <w:rPr>
                <w:b/>
                <w:iCs/>
                <w:sz w:val="20"/>
              </w:rPr>
            </w:pPr>
            <w:r w:rsidRPr="0086627E">
              <w:rPr>
                <w:iCs/>
                <w:sz w:val="20"/>
              </w:rPr>
              <w:t xml:space="preserve">RTAML </w:t>
            </w:r>
            <w:r w:rsidRPr="0086627E">
              <w:rPr>
                <w:i/>
                <w:iCs/>
                <w:sz w:val="20"/>
                <w:vertAlign w:val="subscript"/>
              </w:rPr>
              <w:t>q, p, i</w:t>
            </w:r>
          </w:p>
        </w:tc>
        <w:tc>
          <w:tcPr>
            <w:tcW w:w="600" w:type="pct"/>
            <w:tcBorders>
              <w:top w:val="single" w:sz="4" w:space="0" w:color="auto"/>
              <w:left w:val="single" w:sz="4" w:space="0" w:color="auto"/>
              <w:bottom w:val="single" w:sz="4" w:space="0" w:color="auto"/>
              <w:right w:val="single" w:sz="4" w:space="0" w:color="auto"/>
            </w:tcBorders>
          </w:tcPr>
          <w:p w14:paraId="4E215965" w14:textId="77777777" w:rsidR="00424F6A" w:rsidRPr="0086627E" w:rsidRDefault="00424F6A" w:rsidP="00424F6A">
            <w:pPr>
              <w:spacing w:after="60"/>
              <w:rPr>
                <w:iCs/>
                <w:sz w:val="20"/>
              </w:rPr>
            </w:pPr>
            <w:r w:rsidRPr="0086627E">
              <w:rPr>
                <w:iCs/>
                <w:sz w:val="20"/>
              </w:rPr>
              <w:t>MWh</w:t>
            </w:r>
          </w:p>
        </w:tc>
        <w:tc>
          <w:tcPr>
            <w:tcW w:w="3092" w:type="pct"/>
            <w:tcBorders>
              <w:top w:val="single" w:sz="4" w:space="0" w:color="auto"/>
              <w:left w:val="single" w:sz="4" w:space="0" w:color="auto"/>
              <w:bottom w:val="single" w:sz="4" w:space="0" w:color="auto"/>
              <w:right w:val="single" w:sz="4" w:space="0" w:color="auto"/>
            </w:tcBorders>
          </w:tcPr>
          <w:p w14:paraId="706F4BC2" w14:textId="77777777" w:rsidR="00424F6A" w:rsidRPr="0086627E" w:rsidRDefault="00424F6A" w:rsidP="00424F6A">
            <w:pPr>
              <w:spacing w:after="60"/>
              <w:rPr>
                <w:i/>
                <w:iCs/>
                <w:sz w:val="20"/>
              </w:rPr>
            </w:pPr>
            <w:r w:rsidRPr="0086627E">
              <w:rPr>
                <w:i/>
                <w:iCs/>
                <w:sz w:val="20"/>
              </w:rPr>
              <w:t xml:space="preserve">Real-Time Adjusted Metered Load – </w:t>
            </w:r>
            <w:r w:rsidRPr="0086627E">
              <w:rPr>
                <w:iCs/>
                <w:sz w:val="20"/>
              </w:rPr>
              <w:t xml:space="preserve">The sum of the AML at the Electrical Buses that are included in Settlement Point </w:t>
            </w:r>
            <w:r w:rsidRPr="0086627E">
              <w:rPr>
                <w:i/>
                <w:iCs/>
                <w:sz w:val="20"/>
              </w:rPr>
              <w:t>p</w:t>
            </w:r>
            <w:r w:rsidRPr="0086627E">
              <w:rPr>
                <w:iCs/>
                <w:sz w:val="20"/>
              </w:rPr>
              <w:t xml:space="preserve">, represented by QSE </w:t>
            </w:r>
            <w:r w:rsidRPr="0086627E">
              <w:rPr>
                <w:i/>
                <w:iCs/>
                <w:sz w:val="20"/>
              </w:rPr>
              <w:t>q</w:t>
            </w:r>
            <w:r w:rsidRPr="0086627E">
              <w:rPr>
                <w:iCs/>
                <w:sz w:val="20"/>
              </w:rPr>
              <w:t xml:space="preserve">, for the 15-minute Settlement Interval </w:t>
            </w:r>
            <w:r w:rsidRPr="0086627E">
              <w:rPr>
                <w:i/>
                <w:iCs/>
                <w:sz w:val="20"/>
              </w:rPr>
              <w:t>i</w:t>
            </w:r>
            <w:r w:rsidRPr="0086627E">
              <w:rPr>
                <w:iCs/>
                <w:sz w:val="20"/>
              </w:rPr>
              <w:t>.</w:t>
            </w:r>
          </w:p>
        </w:tc>
      </w:tr>
      <w:tr w:rsidR="00424F6A" w:rsidRPr="0086627E" w14:paraId="518AEA35"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1DB71F27" w14:textId="77777777" w:rsidR="00424F6A" w:rsidRPr="0086627E" w:rsidRDefault="00424F6A" w:rsidP="00424F6A">
            <w:pPr>
              <w:spacing w:after="60"/>
              <w:rPr>
                <w:i/>
                <w:iCs/>
                <w:sz w:val="20"/>
              </w:rPr>
            </w:pPr>
            <w:r w:rsidRPr="0086627E">
              <w:rPr>
                <w:i/>
                <w:iCs/>
                <w:sz w:val="20"/>
              </w:rPr>
              <w:t>i</w:t>
            </w:r>
          </w:p>
        </w:tc>
        <w:tc>
          <w:tcPr>
            <w:tcW w:w="600" w:type="pct"/>
            <w:tcBorders>
              <w:top w:val="single" w:sz="4" w:space="0" w:color="auto"/>
              <w:left w:val="single" w:sz="4" w:space="0" w:color="auto"/>
              <w:bottom w:val="single" w:sz="4" w:space="0" w:color="auto"/>
              <w:right w:val="single" w:sz="4" w:space="0" w:color="auto"/>
            </w:tcBorders>
          </w:tcPr>
          <w:p w14:paraId="1532D398" w14:textId="77777777" w:rsidR="00424F6A" w:rsidRPr="0086627E" w:rsidRDefault="00424F6A" w:rsidP="00424F6A">
            <w:pPr>
              <w:spacing w:after="60"/>
              <w:rPr>
                <w:iCs/>
                <w:sz w:val="20"/>
              </w:rPr>
            </w:pPr>
            <w:r w:rsidRPr="0086627E">
              <w:rPr>
                <w:iCs/>
                <w:sz w:val="20"/>
              </w:rPr>
              <w:t>none</w:t>
            </w:r>
          </w:p>
        </w:tc>
        <w:tc>
          <w:tcPr>
            <w:tcW w:w="3092" w:type="pct"/>
            <w:tcBorders>
              <w:top w:val="single" w:sz="4" w:space="0" w:color="auto"/>
              <w:left w:val="single" w:sz="4" w:space="0" w:color="auto"/>
              <w:bottom w:val="single" w:sz="4" w:space="0" w:color="auto"/>
              <w:right w:val="single" w:sz="4" w:space="0" w:color="auto"/>
            </w:tcBorders>
          </w:tcPr>
          <w:p w14:paraId="59EC1914" w14:textId="77777777" w:rsidR="00424F6A" w:rsidRPr="0086627E" w:rsidRDefault="00424F6A" w:rsidP="00424F6A">
            <w:pPr>
              <w:spacing w:after="60"/>
              <w:rPr>
                <w:iCs/>
                <w:sz w:val="20"/>
              </w:rPr>
            </w:pPr>
            <w:r w:rsidRPr="0086627E">
              <w:rPr>
                <w:iCs/>
                <w:sz w:val="20"/>
              </w:rPr>
              <w:t>A 15-minute Settlement Interval.</w:t>
            </w:r>
          </w:p>
        </w:tc>
      </w:tr>
      <w:tr w:rsidR="00424F6A" w:rsidRPr="0086627E" w14:paraId="18C1D08E"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5947DA34" w14:textId="77777777" w:rsidR="00424F6A" w:rsidRPr="0086627E" w:rsidRDefault="00424F6A" w:rsidP="00424F6A">
            <w:pPr>
              <w:spacing w:after="60"/>
              <w:rPr>
                <w:i/>
                <w:iCs/>
                <w:sz w:val="20"/>
              </w:rPr>
            </w:pPr>
            <w:r w:rsidRPr="0086627E">
              <w:rPr>
                <w:i/>
                <w:iCs/>
                <w:sz w:val="20"/>
              </w:rPr>
              <w:t>q</w:t>
            </w:r>
          </w:p>
        </w:tc>
        <w:tc>
          <w:tcPr>
            <w:tcW w:w="600" w:type="pct"/>
            <w:tcBorders>
              <w:top w:val="single" w:sz="4" w:space="0" w:color="auto"/>
              <w:left w:val="single" w:sz="4" w:space="0" w:color="auto"/>
              <w:bottom w:val="single" w:sz="4" w:space="0" w:color="auto"/>
              <w:right w:val="single" w:sz="4" w:space="0" w:color="auto"/>
            </w:tcBorders>
          </w:tcPr>
          <w:p w14:paraId="348AECC2" w14:textId="77777777" w:rsidR="00424F6A" w:rsidRPr="0086627E" w:rsidRDefault="00424F6A" w:rsidP="00424F6A">
            <w:pPr>
              <w:spacing w:after="60"/>
              <w:rPr>
                <w:iCs/>
                <w:sz w:val="20"/>
              </w:rPr>
            </w:pPr>
            <w:r w:rsidRPr="0086627E">
              <w:rPr>
                <w:iCs/>
                <w:sz w:val="20"/>
              </w:rPr>
              <w:t>none</w:t>
            </w:r>
          </w:p>
        </w:tc>
        <w:tc>
          <w:tcPr>
            <w:tcW w:w="3092" w:type="pct"/>
            <w:tcBorders>
              <w:top w:val="single" w:sz="4" w:space="0" w:color="auto"/>
              <w:left w:val="single" w:sz="4" w:space="0" w:color="auto"/>
              <w:bottom w:val="single" w:sz="4" w:space="0" w:color="auto"/>
              <w:right w:val="single" w:sz="4" w:space="0" w:color="auto"/>
            </w:tcBorders>
          </w:tcPr>
          <w:p w14:paraId="50A9AF95" w14:textId="77777777" w:rsidR="00424F6A" w:rsidRPr="0086627E" w:rsidRDefault="00424F6A" w:rsidP="00424F6A">
            <w:pPr>
              <w:spacing w:after="60"/>
              <w:rPr>
                <w:iCs/>
                <w:sz w:val="20"/>
              </w:rPr>
            </w:pPr>
            <w:r w:rsidRPr="0086627E">
              <w:rPr>
                <w:iCs/>
                <w:sz w:val="20"/>
              </w:rPr>
              <w:t>A QSE.</w:t>
            </w:r>
          </w:p>
        </w:tc>
      </w:tr>
      <w:tr w:rsidR="00424F6A" w:rsidRPr="0086627E" w14:paraId="08D59DEC"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5E6AA0DD" w14:textId="77777777" w:rsidR="00424F6A" w:rsidRPr="0086627E" w:rsidRDefault="00424F6A" w:rsidP="00424F6A">
            <w:pPr>
              <w:spacing w:after="60"/>
              <w:rPr>
                <w:i/>
                <w:iCs/>
                <w:sz w:val="20"/>
              </w:rPr>
            </w:pPr>
            <w:r w:rsidRPr="0086627E">
              <w:rPr>
                <w:i/>
                <w:iCs/>
                <w:sz w:val="20"/>
              </w:rPr>
              <w:t>p</w:t>
            </w:r>
          </w:p>
        </w:tc>
        <w:tc>
          <w:tcPr>
            <w:tcW w:w="600" w:type="pct"/>
            <w:tcBorders>
              <w:top w:val="single" w:sz="4" w:space="0" w:color="auto"/>
              <w:left w:val="single" w:sz="4" w:space="0" w:color="auto"/>
              <w:bottom w:val="single" w:sz="4" w:space="0" w:color="auto"/>
              <w:right w:val="single" w:sz="4" w:space="0" w:color="auto"/>
            </w:tcBorders>
          </w:tcPr>
          <w:p w14:paraId="3BAA30DA" w14:textId="77777777" w:rsidR="00424F6A" w:rsidRPr="0086627E" w:rsidRDefault="00424F6A" w:rsidP="00424F6A">
            <w:pPr>
              <w:spacing w:after="60"/>
              <w:rPr>
                <w:iCs/>
                <w:sz w:val="20"/>
              </w:rPr>
            </w:pPr>
            <w:r w:rsidRPr="0086627E">
              <w:rPr>
                <w:iCs/>
                <w:sz w:val="20"/>
              </w:rPr>
              <w:t>none</w:t>
            </w:r>
          </w:p>
        </w:tc>
        <w:tc>
          <w:tcPr>
            <w:tcW w:w="3092" w:type="pct"/>
            <w:tcBorders>
              <w:top w:val="single" w:sz="4" w:space="0" w:color="auto"/>
              <w:left w:val="single" w:sz="4" w:space="0" w:color="auto"/>
              <w:bottom w:val="single" w:sz="4" w:space="0" w:color="auto"/>
              <w:right w:val="single" w:sz="4" w:space="0" w:color="auto"/>
            </w:tcBorders>
          </w:tcPr>
          <w:p w14:paraId="0B20EA9F" w14:textId="77777777" w:rsidR="00424F6A" w:rsidRPr="0086627E" w:rsidRDefault="00424F6A" w:rsidP="00424F6A">
            <w:pPr>
              <w:spacing w:after="60"/>
              <w:rPr>
                <w:iCs/>
                <w:sz w:val="20"/>
              </w:rPr>
            </w:pPr>
            <w:r w:rsidRPr="0086627E">
              <w:rPr>
                <w:iCs/>
                <w:sz w:val="20"/>
              </w:rPr>
              <w:t>A Load Zone Settlement Point.</w:t>
            </w:r>
          </w:p>
        </w:tc>
      </w:tr>
      <w:tr w:rsidR="00424F6A" w:rsidRPr="0086627E" w14:paraId="64691657"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06181724" w14:textId="77777777" w:rsidR="00424F6A" w:rsidRPr="0086627E" w:rsidRDefault="00424F6A" w:rsidP="00424F6A">
            <w:pPr>
              <w:spacing w:after="60"/>
              <w:rPr>
                <w:i/>
                <w:iCs/>
                <w:sz w:val="20"/>
              </w:rPr>
            </w:pPr>
            <w:r w:rsidRPr="0086627E">
              <w:rPr>
                <w:i/>
                <w:iCs/>
                <w:sz w:val="20"/>
              </w:rPr>
              <w:t>d</w:t>
            </w:r>
          </w:p>
        </w:tc>
        <w:tc>
          <w:tcPr>
            <w:tcW w:w="600" w:type="pct"/>
            <w:tcBorders>
              <w:top w:val="single" w:sz="4" w:space="0" w:color="auto"/>
              <w:left w:val="single" w:sz="4" w:space="0" w:color="auto"/>
              <w:bottom w:val="single" w:sz="4" w:space="0" w:color="auto"/>
              <w:right w:val="single" w:sz="4" w:space="0" w:color="auto"/>
            </w:tcBorders>
          </w:tcPr>
          <w:p w14:paraId="653C8097" w14:textId="77777777" w:rsidR="00424F6A" w:rsidRPr="0086627E" w:rsidRDefault="00424F6A" w:rsidP="00424F6A">
            <w:pPr>
              <w:spacing w:after="60"/>
              <w:rPr>
                <w:iCs/>
                <w:sz w:val="20"/>
              </w:rPr>
            </w:pPr>
            <w:r w:rsidRPr="0086627E">
              <w:rPr>
                <w:iCs/>
                <w:sz w:val="20"/>
              </w:rPr>
              <w:t>none</w:t>
            </w:r>
          </w:p>
        </w:tc>
        <w:tc>
          <w:tcPr>
            <w:tcW w:w="3092" w:type="pct"/>
            <w:tcBorders>
              <w:top w:val="single" w:sz="4" w:space="0" w:color="auto"/>
              <w:left w:val="single" w:sz="4" w:space="0" w:color="auto"/>
              <w:bottom w:val="single" w:sz="4" w:space="0" w:color="auto"/>
              <w:right w:val="single" w:sz="4" w:space="0" w:color="auto"/>
            </w:tcBorders>
          </w:tcPr>
          <w:p w14:paraId="5D1E09C1" w14:textId="77777777" w:rsidR="00424F6A" w:rsidRPr="0086627E" w:rsidRDefault="00424F6A" w:rsidP="00424F6A">
            <w:pPr>
              <w:spacing w:after="60"/>
              <w:rPr>
                <w:iCs/>
                <w:sz w:val="20"/>
              </w:rPr>
            </w:pPr>
            <w:r w:rsidRPr="0086627E">
              <w:rPr>
                <w:iCs/>
                <w:sz w:val="20"/>
              </w:rPr>
              <w:t>An Operating Day.</w:t>
            </w:r>
          </w:p>
        </w:tc>
      </w:tr>
      <w:tr w:rsidR="00424F6A" w:rsidRPr="0086627E" w14:paraId="057E4BFE" w14:textId="77777777" w:rsidTr="00424F6A">
        <w:trPr>
          <w:cantSplit/>
        </w:trPr>
        <w:tc>
          <w:tcPr>
            <w:tcW w:w="1307" w:type="pct"/>
            <w:tcBorders>
              <w:top w:val="single" w:sz="4" w:space="0" w:color="auto"/>
              <w:left w:val="single" w:sz="4" w:space="0" w:color="auto"/>
              <w:bottom w:val="single" w:sz="4" w:space="0" w:color="auto"/>
              <w:right w:val="single" w:sz="4" w:space="0" w:color="auto"/>
            </w:tcBorders>
          </w:tcPr>
          <w:p w14:paraId="2E8AF0A8" w14:textId="77777777" w:rsidR="00424F6A" w:rsidRPr="0086627E" w:rsidRDefault="00424F6A" w:rsidP="00424F6A">
            <w:pPr>
              <w:spacing w:after="60"/>
              <w:rPr>
                <w:i/>
                <w:iCs/>
                <w:sz w:val="20"/>
              </w:rPr>
            </w:pPr>
            <w:r w:rsidRPr="0086627E">
              <w:rPr>
                <w:i/>
                <w:sz w:val="20"/>
              </w:rPr>
              <w:t>h</w:t>
            </w:r>
          </w:p>
        </w:tc>
        <w:tc>
          <w:tcPr>
            <w:tcW w:w="600" w:type="pct"/>
            <w:tcBorders>
              <w:top w:val="single" w:sz="4" w:space="0" w:color="auto"/>
              <w:left w:val="single" w:sz="4" w:space="0" w:color="auto"/>
              <w:bottom w:val="single" w:sz="4" w:space="0" w:color="auto"/>
              <w:right w:val="single" w:sz="4" w:space="0" w:color="auto"/>
            </w:tcBorders>
          </w:tcPr>
          <w:p w14:paraId="233F29D6" w14:textId="77777777" w:rsidR="00424F6A" w:rsidRPr="0086627E" w:rsidRDefault="00424F6A" w:rsidP="00424F6A">
            <w:pPr>
              <w:spacing w:after="60"/>
              <w:rPr>
                <w:iCs/>
                <w:sz w:val="20"/>
              </w:rPr>
            </w:pPr>
            <w:r w:rsidRPr="0086627E">
              <w:rPr>
                <w:iCs/>
                <w:sz w:val="20"/>
              </w:rPr>
              <w:t>none</w:t>
            </w:r>
          </w:p>
        </w:tc>
        <w:tc>
          <w:tcPr>
            <w:tcW w:w="3092" w:type="pct"/>
            <w:tcBorders>
              <w:top w:val="single" w:sz="4" w:space="0" w:color="auto"/>
              <w:left w:val="single" w:sz="4" w:space="0" w:color="auto"/>
              <w:bottom w:val="single" w:sz="4" w:space="0" w:color="auto"/>
              <w:right w:val="single" w:sz="4" w:space="0" w:color="auto"/>
            </w:tcBorders>
          </w:tcPr>
          <w:p w14:paraId="4934B130" w14:textId="77777777" w:rsidR="00424F6A" w:rsidRPr="0086627E" w:rsidRDefault="00424F6A" w:rsidP="00424F6A">
            <w:pPr>
              <w:spacing w:after="60"/>
              <w:rPr>
                <w:iCs/>
                <w:sz w:val="20"/>
              </w:rPr>
            </w:pPr>
            <w:r w:rsidRPr="0086627E">
              <w:rPr>
                <w:iCs/>
                <w:sz w:val="20"/>
              </w:rPr>
              <w:t>An hour within a Market Suspension.</w:t>
            </w:r>
          </w:p>
        </w:tc>
      </w:tr>
    </w:tbl>
    <w:p w14:paraId="593602AC" w14:textId="77777777" w:rsidR="00424F6A" w:rsidRPr="00D36F7C" w:rsidRDefault="00424F6A" w:rsidP="00424F6A">
      <w:pPr>
        <w:spacing w:before="240" w:after="240"/>
        <w:ind w:left="1440" w:hanging="720"/>
      </w:pPr>
      <w:bookmarkStart w:id="36" w:name="_Toc493250761"/>
      <w:r w:rsidRPr="00D36F7C">
        <w:t>(b)</w:t>
      </w:r>
      <w:r w:rsidRPr="00D36F7C">
        <w:tab/>
        <w:t xml:space="preserve">This Market Suspension Charge shall be resettled </w:t>
      </w:r>
      <w:r>
        <w:t>using</w:t>
      </w:r>
      <w:r w:rsidRPr="00D36F7C">
        <w:t xml:space="preserve"> </w:t>
      </w:r>
      <w:r w:rsidR="00934039">
        <w:t>Transmission and/or Distribution Service Provider (</w:t>
      </w:r>
      <w:r>
        <w:t>TDSP</w:t>
      </w:r>
      <w:r w:rsidR="00934039">
        <w:t>)</w:t>
      </w:r>
      <w:r>
        <w:t>-submitted</w:t>
      </w:r>
      <w:r w:rsidRPr="00D36F7C">
        <w:t xml:space="preserve"> actual </w:t>
      </w:r>
      <w:r>
        <w:t>and estimated L</w:t>
      </w:r>
      <w:r w:rsidRPr="00D36F7C">
        <w:t>oad data</w:t>
      </w:r>
      <w:r w:rsidR="00D60E1F">
        <w:t xml:space="preserve">. </w:t>
      </w:r>
      <w:r w:rsidRPr="00D36F7C">
        <w:t xml:space="preserve"> ERCOT</w:t>
      </w:r>
      <w:r>
        <w:t>-estimated data will be excluded</w:t>
      </w:r>
      <w:r w:rsidRPr="00D36F7C">
        <w:t xml:space="preserve">.  The most recent 30 day LRS prior to the Market Suspension event, as described in </w:t>
      </w:r>
      <w:r>
        <w:t xml:space="preserve">paragraph </w:t>
      </w:r>
      <w:r w:rsidRPr="00D36F7C">
        <w:t xml:space="preserve">(a) above, will continue to be used to allocate </w:t>
      </w:r>
      <w:r>
        <w:t>S</w:t>
      </w:r>
      <w:r w:rsidRPr="00D36F7C">
        <w:t xml:space="preserve">tartup </w:t>
      </w:r>
      <w:r>
        <w:t>C</w:t>
      </w:r>
      <w:r w:rsidRPr="00D36F7C">
        <w:t>osts and standby payments for RMR</w:t>
      </w:r>
      <w:r>
        <w:t xml:space="preserve"> Units</w:t>
      </w:r>
      <w:r w:rsidRPr="00D36F7C">
        <w:t xml:space="preserve"> and Black Start </w:t>
      </w:r>
      <w:r>
        <w:t>R</w:t>
      </w:r>
      <w:r w:rsidRPr="00D36F7C">
        <w:t>esources.  The resettled Market Suspension Charge</w:t>
      </w:r>
      <w:r>
        <w:t xml:space="preserve"> to each QSE for a given Operating Day</w:t>
      </w:r>
      <w:r w:rsidRPr="00D36F7C">
        <w:t xml:space="preserve"> is calculated as follows: </w:t>
      </w:r>
    </w:p>
    <w:p w14:paraId="0811718E" w14:textId="5AA67997" w:rsidR="00424F6A" w:rsidRPr="00D36F7C" w:rsidRDefault="00424F6A" w:rsidP="00424F6A">
      <w:pPr>
        <w:pStyle w:val="BodyText"/>
        <w:ind w:left="3060" w:hanging="2340"/>
      </w:pPr>
      <w:r w:rsidRPr="00D36F7C">
        <w:t>LARTMSAMT</w:t>
      </w:r>
      <w:r w:rsidRPr="00D36F7C">
        <w:rPr>
          <w:vertAlign w:val="subscript"/>
        </w:rPr>
        <w:t xml:space="preserve"> </w:t>
      </w:r>
      <w:r w:rsidRPr="00D36F7C">
        <w:rPr>
          <w:i/>
          <w:vertAlign w:val="subscript"/>
        </w:rPr>
        <w:t>q</w:t>
      </w:r>
      <w:r w:rsidRPr="00D36F7C">
        <w:rPr>
          <w:vertAlign w:val="subscript"/>
        </w:rPr>
        <w:t xml:space="preserve">            </w:t>
      </w:r>
      <w:r w:rsidRPr="00D36F7C">
        <w:t xml:space="preserve">= (-1) * </w:t>
      </w:r>
      <w:r>
        <w:t>{</w:t>
      </w:r>
      <w:r w:rsidRPr="00D36F7C">
        <w:t>(</w:t>
      </w:r>
      <w:r w:rsidR="00F617A5">
        <w:rPr>
          <w:noProof/>
          <w:position w:val="-22"/>
        </w:rPr>
        <w:drawing>
          <wp:inline distT="0" distB="0" distL="0" distR="0" wp14:anchorId="61C1CD9B" wp14:editId="329A0B0B">
            <wp:extent cx="142875" cy="302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F80C33">
        <w:rPr>
          <w:position w:val="-18"/>
        </w:rPr>
        <w:object w:dxaOrig="220" w:dyaOrig="420" w14:anchorId="62F99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21pt" o:ole="">
            <v:imagedata r:id="rId27" o:title=""/>
          </v:shape>
          <o:OLEObject Type="Embed" ProgID="Equation.3" ShapeID="_x0000_i1025" DrawAspect="Content" ObjectID="_1756887907" r:id="rId28"/>
        </w:object>
      </w:r>
      <w:r>
        <w:t>(</w:t>
      </w:r>
      <w:r w:rsidRPr="00D36F7C">
        <w:t xml:space="preserve">MSSUC </w:t>
      </w:r>
      <w:r w:rsidRPr="00D36F7C">
        <w:rPr>
          <w:i/>
          <w:vertAlign w:val="subscript"/>
        </w:rPr>
        <w:t>q,</w:t>
      </w:r>
      <w:r>
        <w:rPr>
          <w:i/>
          <w:vertAlign w:val="subscript"/>
        </w:rPr>
        <w:t xml:space="preserve"> </w:t>
      </w:r>
      <w:r w:rsidRPr="00D36F7C">
        <w:rPr>
          <w:i/>
          <w:vertAlign w:val="subscript"/>
        </w:rPr>
        <w:t>r,</w:t>
      </w:r>
      <w:r>
        <w:rPr>
          <w:i/>
          <w:vertAlign w:val="subscript"/>
        </w:rPr>
        <w:t xml:space="preserve"> </w:t>
      </w:r>
      <w:r w:rsidRPr="00D36F7C">
        <w:rPr>
          <w:i/>
          <w:vertAlign w:val="subscript"/>
        </w:rPr>
        <w:t>d</w:t>
      </w:r>
      <w:r w:rsidRPr="00D36F7C">
        <w:t xml:space="preserve"> + </w:t>
      </w:r>
      <w:r w:rsidRPr="0086627E">
        <w:t>MS</w:t>
      </w:r>
      <w:r>
        <w:t>SU</w:t>
      </w:r>
      <w:r w:rsidRPr="0086627E">
        <w:t>CADJ</w:t>
      </w:r>
      <w:r w:rsidRPr="0086627E">
        <w:rPr>
          <w:i/>
          <w:vertAlign w:val="subscript"/>
        </w:rPr>
        <w:t xml:space="preserve"> q,</w:t>
      </w:r>
      <w:r w:rsidR="00AF51C5">
        <w:rPr>
          <w:i/>
          <w:vertAlign w:val="subscript"/>
        </w:rPr>
        <w:t xml:space="preserve"> </w:t>
      </w:r>
      <w:r w:rsidRPr="0086627E">
        <w:rPr>
          <w:i/>
          <w:vertAlign w:val="subscript"/>
        </w:rPr>
        <w:t>r,</w:t>
      </w:r>
      <w:r w:rsidR="00AF51C5">
        <w:rPr>
          <w:i/>
          <w:vertAlign w:val="subscript"/>
        </w:rPr>
        <w:t xml:space="preserve"> </w:t>
      </w:r>
      <w:r w:rsidRPr="0086627E">
        <w:rPr>
          <w:i/>
          <w:vertAlign w:val="subscript"/>
        </w:rPr>
        <w:t>d</w:t>
      </w:r>
      <w:r w:rsidRPr="000577D5">
        <w:t xml:space="preserve">) </w:t>
      </w:r>
      <w:r w:rsidRPr="00067BD8">
        <w:t>+</w:t>
      </w:r>
      <w:r>
        <w:t xml:space="preserve"> </w:t>
      </w:r>
      <w:r w:rsidR="00F617A5">
        <w:rPr>
          <w:noProof/>
          <w:position w:val="-20"/>
        </w:rPr>
        <w:drawing>
          <wp:inline distT="0" distB="0" distL="0" distR="0" wp14:anchorId="1D240B5D" wp14:editId="7E2E8BB9">
            <wp:extent cx="142875" cy="278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D36F7C">
        <w:t>RMRSBAMTTOT +</w:t>
      </w:r>
      <w:r w:rsidR="00F617A5">
        <w:rPr>
          <w:noProof/>
          <w:position w:val="-20"/>
        </w:rPr>
        <w:drawing>
          <wp:inline distT="0" distB="0" distL="0" distR="0" wp14:anchorId="0AD4A3C3" wp14:editId="0452D509">
            <wp:extent cx="142875" cy="278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D36F7C">
        <w:t xml:space="preserve">BSSAMTTOT) * RTMSLRS </w:t>
      </w:r>
      <w:r w:rsidRPr="00D36F7C">
        <w:rPr>
          <w:i/>
          <w:vertAlign w:val="subscript"/>
        </w:rPr>
        <w:t>q</w:t>
      </w:r>
      <w:r w:rsidRPr="00D36F7C">
        <w:t xml:space="preserve"> + </w:t>
      </w:r>
      <w:r>
        <w:t>[</w:t>
      </w:r>
      <w:r w:rsidRPr="00D36F7C">
        <w:t>MSMWAMTTOT</w:t>
      </w:r>
      <w:r w:rsidRPr="00D36F7C">
        <w:rPr>
          <w:i/>
          <w:vertAlign w:val="subscript"/>
        </w:rPr>
        <w:t xml:space="preserve"> d</w:t>
      </w:r>
      <w:r w:rsidRPr="00D36F7C">
        <w:t xml:space="preserve"> - </w:t>
      </w:r>
      <w:r w:rsidR="00F617A5">
        <w:rPr>
          <w:noProof/>
          <w:position w:val="-22"/>
        </w:rPr>
        <w:drawing>
          <wp:inline distT="0" distB="0" distL="0" distR="0" wp14:anchorId="1A9B336E" wp14:editId="7E9210CF">
            <wp:extent cx="142875" cy="3022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F80C33">
        <w:rPr>
          <w:position w:val="-18"/>
        </w:rPr>
        <w:object w:dxaOrig="220" w:dyaOrig="420" w14:anchorId="4F10B04B">
          <v:shape id="_x0000_i1026" type="#_x0000_t75" style="width:12pt;height:21pt" o:ole="">
            <v:imagedata r:id="rId27" o:title=""/>
          </v:shape>
          <o:OLEObject Type="Embed" ProgID="Equation.3" ShapeID="_x0000_i1026" DrawAspect="Content" ObjectID="_1756887908" r:id="rId29"/>
        </w:object>
      </w:r>
      <w:r>
        <w:t>(</w:t>
      </w:r>
      <w:r w:rsidRPr="00D36F7C">
        <w:t xml:space="preserve">MSSUC </w:t>
      </w:r>
      <w:r w:rsidRPr="00D36F7C">
        <w:rPr>
          <w:i/>
          <w:vertAlign w:val="subscript"/>
        </w:rPr>
        <w:t>q,</w:t>
      </w:r>
      <w:r>
        <w:rPr>
          <w:i/>
          <w:vertAlign w:val="subscript"/>
        </w:rPr>
        <w:t xml:space="preserve"> </w:t>
      </w:r>
      <w:r w:rsidRPr="00D36F7C">
        <w:rPr>
          <w:i/>
          <w:vertAlign w:val="subscript"/>
        </w:rPr>
        <w:t>r,</w:t>
      </w:r>
      <w:r>
        <w:rPr>
          <w:i/>
          <w:vertAlign w:val="subscript"/>
        </w:rPr>
        <w:t xml:space="preserve"> </w:t>
      </w:r>
      <w:r w:rsidRPr="00D36F7C">
        <w:rPr>
          <w:i/>
          <w:vertAlign w:val="subscript"/>
        </w:rPr>
        <w:t>d</w:t>
      </w:r>
      <w:r w:rsidRPr="00D36F7C">
        <w:t xml:space="preserve"> </w:t>
      </w:r>
      <w:r>
        <w:t xml:space="preserve">+ </w:t>
      </w:r>
      <w:r w:rsidRPr="0086627E">
        <w:t>MS</w:t>
      </w:r>
      <w:r>
        <w:t>SU</w:t>
      </w:r>
      <w:r w:rsidRPr="0086627E">
        <w:t>CADJ</w:t>
      </w:r>
      <w:r w:rsidRPr="0086627E">
        <w:rPr>
          <w:i/>
          <w:vertAlign w:val="subscript"/>
        </w:rPr>
        <w:t xml:space="preserve"> q,</w:t>
      </w:r>
      <w:r w:rsidR="00AF51C5">
        <w:rPr>
          <w:i/>
          <w:vertAlign w:val="subscript"/>
        </w:rPr>
        <w:t xml:space="preserve"> </w:t>
      </w:r>
      <w:r w:rsidRPr="0086627E">
        <w:rPr>
          <w:i/>
          <w:vertAlign w:val="subscript"/>
        </w:rPr>
        <w:t>r,</w:t>
      </w:r>
      <w:r w:rsidR="00AF51C5">
        <w:rPr>
          <w:i/>
          <w:vertAlign w:val="subscript"/>
        </w:rPr>
        <w:t xml:space="preserve"> </w:t>
      </w:r>
      <w:r w:rsidRPr="0086627E">
        <w:rPr>
          <w:i/>
          <w:vertAlign w:val="subscript"/>
        </w:rPr>
        <w:t>d</w:t>
      </w:r>
      <w:r w:rsidRPr="000577D5">
        <w:t>)</w:t>
      </w:r>
      <w:r>
        <w:rPr>
          <w:i/>
          <w:vertAlign w:val="subscript"/>
        </w:rPr>
        <w:t xml:space="preserve"> </w:t>
      </w:r>
      <w:r w:rsidRPr="00D36F7C">
        <w:t xml:space="preserve">+ </w:t>
      </w:r>
      <w:r w:rsidRPr="00D36F7C">
        <w:lastRenderedPageBreak/>
        <w:t>MSEDCIMPAMTTOT</w:t>
      </w:r>
      <w:r w:rsidRPr="00D36F7C">
        <w:rPr>
          <w:i/>
          <w:vertAlign w:val="subscript"/>
        </w:rPr>
        <w:t xml:space="preserve"> d</w:t>
      </w:r>
      <w:r w:rsidRPr="00D36F7C">
        <w:t xml:space="preserve"> + MSBLTRAMTTOT</w:t>
      </w:r>
      <w:r w:rsidRPr="00D36F7C">
        <w:rPr>
          <w:i/>
          <w:vertAlign w:val="subscript"/>
        </w:rPr>
        <w:t xml:space="preserve"> d</w:t>
      </w:r>
      <w:r w:rsidRPr="00D36F7C">
        <w:t xml:space="preserve"> + </w:t>
      </w:r>
      <w:r w:rsidR="00F617A5">
        <w:rPr>
          <w:noProof/>
          <w:position w:val="-20"/>
        </w:rPr>
        <w:drawing>
          <wp:inline distT="0" distB="0" distL="0" distR="0" wp14:anchorId="4E4802F7" wp14:editId="3031668B">
            <wp:extent cx="142875" cy="2781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D36F7C">
        <w:t>RMREAMTTOT</w:t>
      </w:r>
      <w:r>
        <w:t>]</w:t>
      </w:r>
      <w:r w:rsidRPr="00D36F7C">
        <w:t xml:space="preserve"> * </w:t>
      </w:r>
      <w:r>
        <w:t>AM</w:t>
      </w:r>
      <w:r w:rsidRPr="00D36F7C">
        <w:t xml:space="preserve">RTSLRS </w:t>
      </w:r>
      <w:r w:rsidRPr="00D36F7C">
        <w:rPr>
          <w:i/>
          <w:vertAlign w:val="subscript"/>
        </w:rPr>
        <w:t>q</w:t>
      </w:r>
      <w:r>
        <w:rPr>
          <w:i/>
          <w:vertAlign w:val="subscript"/>
        </w:rPr>
        <w:t>,</w:t>
      </w:r>
      <w:r w:rsidRPr="00D36F7C">
        <w:rPr>
          <w:i/>
          <w:vertAlign w:val="subscript"/>
        </w:rPr>
        <w:t xml:space="preserve"> d</w:t>
      </w:r>
      <w:r>
        <w:t>}</w:t>
      </w:r>
    </w:p>
    <w:p w14:paraId="203E0BBC" w14:textId="77777777" w:rsidR="00424F6A" w:rsidRPr="00D36F7C" w:rsidRDefault="00424F6A" w:rsidP="00424F6A">
      <w:pPr>
        <w:pStyle w:val="BodyText"/>
        <w:ind w:left="720"/>
      </w:pPr>
      <w:r w:rsidRPr="00D36F7C">
        <w:t>Where:</w:t>
      </w:r>
    </w:p>
    <w:p w14:paraId="0754F927" w14:textId="13CC3AB2" w:rsidR="00424F6A" w:rsidRPr="00D36F7C" w:rsidRDefault="00424F6A" w:rsidP="00424F6A">
      <w:pPr>
        <w:pStyle w:val="BodyText"/>
        <w:ind w:left="2160" w:hanging="1440"/>
      </w:pPr>
      <w:r>
        <w:t>AM</w:t>
      </w:r>
      <w:r w:rsidRPr="00D36F7C">
        <w:t xml:space="preserve">RTSLRS </w:t>
      </w:r>
      <w:r w:rsidRPr="00D36F7C">
        <w:rPr>
          <w:i/>
          <w:vertAlign w:val="subscript"/>
        </w:rPr>
        <w:t>q</w:t>
      </w:r>
      <w:r>
        <w:rPr>
          <w:i/>
          <w:vertAlign w:val="subscript"/>
        </w:rPr>
        <w:t>,</w:t>
      </w:r>
      <w:r w:rsidRPr="00D36F7C">
        <w:rPr>
          <w:i/>
          <w:vertAlign w:val="subscript"/>
        </w:rPr>
        <w:t xml:space="preserve"> d</w:t>
      </w:r>
      <w:r w:rsidRPr="00D36F7C">
        <w:rPr>
          <w:vertAlign w:val="subscript"/>
        </w:rPr>
        <w:tab/>
      </w:r>
      <w:r w:rsidRPr="00D36F7C">
        <w:t xml:space="preserve">= </w:t>
      </w:r>
      <w:r>
        <w:t>Max(0, AM</w:t>
      </w:r>
      <w:r w:rsidRPr="00D36F7C">
        <w:t>RTAML</w:t>
      </w:r>
      <w:r w:rsidRPr="00D36F7C">
        <w:rPr>
          <w:i/>
          <w:vertAlign w:val="subscript"/>
        </w:rPr>
        <w:t xml:space="preserve"> q</w:t>
      </w:r>
      <w:r>
        <w:rPr>
          <w:i/>
          <w:vertAlign w:val="subscript"/>
        </w:rPr>
        <w:t>,</w:t>
      </w:r>
      <w:r w:rsidRPr="00D36F7C">
        <w:rPr>
          <w:i/>
          <w:vertAlign w:val="subscript"/>
        </w:rPr>
        <w:t xml:space="preserve"> d</w:t>
      </w:r>
      <w:r w:rsidRPr="00023B7B">
        <w:t>)</w:t>
      </w:r>
      <w:r w:rsidRPr="00496698">
        <w:t xml:space="preserve"> </w:t>
      </w:r>
      <w:r w:rsidRPr="00D36F7C">
        <w:t xml:space="preserve">/ </w:t>
      </w:r>
      <w:r w:rsidR="00F617A5">
        <w:rPr>
          <w:noProof/>
          <w:position w:val="-22"/>
        </w:rPr>
        <w:drawing>
          <wp:inline distT="0" distB="0" distL="0" distR="0" wp14:anchorId="3BA68FC7" wp14:editId="63461CD0">
            <wp:extent cx="142875" cy="3022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t>Max(0, AMRTAML</w:t>
      </w:r>
      <w:r w:rsidRPr="001129E4">
        <w:rPr>
          <w:i/>
          <w:vertAlign w:val="subscript"/>
        </w:rPr>
        <w:t xml:space="preserve"> </w:t>
      </w:r>
      <w:r w:rsidRPr="00D36F7C">
        <w:rPr>
          <w:i/>
          <w:vertAlign w:val="subscript"/>
        </w:rPr>
        <w:t>q</w:t>
      </w:r>
      <w:r>
        <w:rPr>
          <w:i/>
          <w:vertAlign w:val="subscript"/>
        </w:rPr>
        <w:t>,</w:t>
      </w:r>
      <w:r w:rsidRPr="00D62379">
        <w:rPr>
          <w:i/>
          <w:vertAlign w:val="subscript"/>
        </w:rPr>
        <w:t xml:space="preserve"> </w:t>
      </w:r>
      <w:r w:rsidRPr="00D36F7C">
        <w:rPr>
          <w:i/>
          <w:vertAlign w:val="subscript"/>
        </w:rPr>
        <w:t>d</w:t>
      </w:r>
      <w:r w:rsidRPr="00CD6673">
        <w:t>)</w:t>
      </w:r>
    </w:p>
    <w:p w14:paraId="61E6F614" w14:textId="77777777" w:rsidR="00424F6A" w:rsidRPr="00D36F7C" w:rsidRDefault="00424F6A" w:rsidP="00AF51C5">
      <w:pPr>
        <w:pStyle w:val="BodyText"/>
        <w:spacing w:after="0"/>
      </w:pPr>
      <w:r w:rsidRPr="00D36F7C">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810"/>
        <w:gridCol w:w="5935"/>
      </w:tblGrid>
      <w:tr w:rsidR="00424F6A" w:rsidRPr="00067BD8" w14:paraId="37B79961" w14:textId="77777777" w:rsidTr="00D60E1F">
        <w:trPr>
          <w:cantSplit/>
          <w:tblHeader/>
        </w:trPr>
        <w:tc>
          <w:tcPr>
            <w:tcW w:w="1393" w:type="pct"/>
            <w:tcBorders>
              <w:top w:val="single" w:sz="4" w:space="0" w:color="auto"/>
              <w:left w:val="single" w:sz="4" w:space="0" w:color="auto"/>
              <w:bottom w:val="single" w:sz="4" w:space="0" w:color="auto"/>
              <w:right w:val="single" w:sz="4" w:space="0" w:color="auto"/>
            </w:tcBorders>
            <w:hideMark/>
          </w:tcPr>
          <w:p w14:paraId="747B3DD8" w14:textId="77777777" w:rsidR="00424F6A" w:rsidRPr="00067BD8" w:rsidRDefault="00424F6A" w:rsidP="00424F6A">
            <w:pPr>
              <w:spacing w:after="240"/>
              <w:rPr>
                <w:b/>
                <w:iCs/>
                <w:sz w:val="20"/>
              </w:rPr>
            </w:pPr>
            <w:r w:rsidRPr="00067BD8">
              <w:rPr>
                <w:b/>
                <w:iCs/>
                <w:sz w:val="20"/>
              </w:rPr>
              <w:t>Variable</w:t>
            </w:r>
          </w:p>
        </w:tc>
        <w:tc>
          <w:tcPr>
            <w:tcW w:w="433" w:type="pct"/>
            <w:tcBorders>
              <w:top w:val="single" w:sz="4" w:space="0" w:color="auto"/>
              <w:left w:val="single" w:sz="4" w:space="0" w:color="auto"/>
              <w:bottom w:val="single" w:sz="4" w:space="0" w:color="auto"/>
              <w:right w:val="single" w:sz="4" w:space="0" w:color="auto"/>
            </w:tcBorders>
            <w:hideMark/>
          </w:tcPr>
          <w:p w14:paraId="37008CD8" w14:textId="77777777" w:rsidR="00424F6A" w:rsidRPr="00067BD8" w:rsidRDefault="00424F6A" w:rsidP="00424F6A">
            <w:pPr>
              <w:spacing w:after="240"/>
              <w:rPr>
                <w:b/>
                <w:iCs/>
                <w:sz w:val="20"/>
              </w:rPr>
            </w:pPr>
            <w:r w:rsidRPr="00067BD8">
              <w:rPr>
                <w:b/>
                <w:iCs/>
                <w:sz w:val="20"/>
              </w:rPr>
              <w:t>Unit</w:t>
            </w:r>
          </w:p>
        </w:tc>
        <w:tc>
          <w:tcPr>
            <w:tcW w:w="3174" w:type="pct"/>
            <w:tcBorders>
              <w:top w:val="single" w:sz="4" w:space="0" w:color="auto"/>
              <w:left w:val="single" w:sz="4" w:space="0" w:color="auto"/>
              <w:bottom w:val="single" w:sz="4" w:space="0" w:color="auto"/>
              <w:right w:val="single" w:sz="4" w:space="0" w:color="auto"/>
            </w:tcBorders>
            <w:hideMark/>
          </w:tcPr>
          <w:p w14:paraId="2B27FA3C" w14:textId="77777777" w:rsidR="00424F6A" w:rsidRPr="00067BD8" w:rsidRDefault="00424F6A" w:rsidP="00424F6A">
            <w:pPr>
              <w:spacing w:after="240"/>
              <w:rPr>
                <w:b/>
                <w:iCs/>
                <w:sz w:val="20"/>
              </w:rPr>
            </w:pPr>
            <w:r w:rsidRPr="00067BD8">
              <w:rPr>
                <w:b/>
                <w:iCs/>
                <w:sz w:val="20"/>
              </w:rPr>
              <w:t>Definition</w:t>
            </w:r>
          </w:p>
        </w:tc>
      </w:tr>
      <w:tr w:rsidR="00424F6A" w:rsidRPr="00067BD8" w14:paraId="320FD2C7"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1983DFF4" w14:textId="77777777" w:rsidR="00424F6A" w:rsidRPr="00067BD8" w:rsidRDefault="00424F6A" w:rsidP="00424F6A">
            <w:pPr>
              <w:spacing w:after="60"/>
              <w:rPr>
                <w:iCs/>
                <w:sz w:val="20"/>
              </w:rPr>
            </w:pPr>
            <w:r w:rsidRPr="00067BD8">
              <w:rPr>
                <w:iCs/>
                <w:sz w:val="20"/>
              </w:rPr>
              <w:t>LARTMSAMT</w:t>
            </w:r>
            <w:r w:rsidRPr="00067BD8">
              <w:rPr>
                <w:iCs/>
                <w:sz w:val="20"/>
                <w:vertAlign w:val="subscript"/>
              </w:rPr>
              <w:t xml:space="preserve"> </w:t>
            </w:r>
            <w:r w:rsidRPr="00067BD8">
              <w:rPr>
                <w:i/>
                <w:iCs/>
                <w:sz w:val="20"/>
                <w:vertAlign w:val="subscript"/>
              </w:rPr>
              <w:t>q</w:t>
            </w:r>
          </w:p>
        </w:tc>
        <w:tc>
          <w:tcPr>
            <w:tcW w:w="433" w:type="pct"/>
            <w:tcBorders>
              <w:top w:val="single" w:sz="4" w:space="0" w:color="auto"/>
              <w:left w:val="single" w:sz="4" w:space="0" w:color="auto"/>
              <w:bottom w:val="single" w:sz="4" w:space="0" w:color="auto"/>
              <w:right w:val="single" w:sz="4" w:space="0" w:color="auto"/>
            </w:tcBorders>
          </w:tcPr>
          <w:p w14:paraId="73335294"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12F3E7C9" w14:textId="77777777" w:rsidR="00424F6A" w:rsidRPr="00067BD8" w:rsidRDefault="00424F6A" w:rsidP="00424F6A">
            <w:pPr>
              <w:spacing w:after="60"/>
              <w:rPr>
                <w:i/>
                <w:iCs/>
                <w:sz w:val="20"/>
              </w:rPr>
            </w:pPr>
            <w:r w:rsidRPr="00067BD8">
              <w:rPr>
                <w:i/>
                <w:iCs/>
                <w:sz w:val="20"/>
              </w:rPr>
              <w:t>Load Allocated Real-Time Market Suspension Charge</w:t>
            </w:r>
            <w:r w:rsidRPr="00067BD8">
              <w:rPr>
                <w:i/>
                <w:sz w:val="20"/>
              </w:rPr>
              <w:t xml:space="preserve"> – </w:t>
            </w:r>
            <w:r w:rsidRPr="00067BD8">
              <w:rPr>
                <w:iCs/>
                <w:sz w:val="20"/>
              </w:rPr>
              <w:t xml:space="preserve">The allocated charge to QSE </w:t>
            </w:r>
            <w:r w:rsidRPr="00067BD8">
              <w:rPr>
                <w:i/>
                <w:iCs/>
                <w:sz w:val="20"/>
              </w:rPr>
              <w:t>q</w:t>
            </w:r>
            <w:r w:rsidRPr="00067BD8">
              <w:rPr>
                <w:iCs/>
                <w:sz w:val="20"/>
              </w:rPr>
              <w:t xml:space="preserve"> for Market Suspension activities for the Operating Day.</w:t>
            </w:r>
          </w:p>
        </w:tc>
      </w:tr>
      <w:tr w:rsidR="00424F6A" w:rsidRPr="00067BD8" w14:paraId="063B092E"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2415DE15" w14:textId="77777777" w:rsidR="00424F6A" w:rsidRPr="00067BD8" w:rsidRDefault="00424F6A" w:rsidP="00424F6A">
            <w:pPr>
              <w:spacing w:after="60"/>
              <w:rPr>
                <w:iCs/>
                <w:sz w:val="20"/>
              </w:rPr>
            </w:pPr>
            <w:r w:rsidRPr="00067BD8">
              <w:rPr>
                <w:sz w:val="20"/>
              </w:rPr>
              <w:t xml:space="preserve">MSSUC </w:t>
            </w:r>
            <w:r w:rsidRPr="00067BD8">
              <w:rPr>
                <w:i/>
                <w:sz w:val="20"/>
                <w:vertAlign w:val="subscript"/>
              </w:rPr>
              <w:t>q, r, d</w:t>
            </w:r>
            <w:r w:rsidRPr="00067BD8">
              <w:rPr>
                <w:sz w:val="20"/>
              </w:rPr>
              <w:t xml:space="preserve">    </w:t>
            </w:r>
          </w:p>
        </w:tc>
        <w:tc>
          <w:tcPr>
            <w:tcW w:w="433" w:type="pct"/>
            <w:tcBorders>
              <w:top w:val="single" w:sz="4" w:space="0" w:color="auto"/>
              <w:left w:val="single" w:sz="4" w:space="0" w:color="auto"/>
              <w:bottom w:val="single" w:sz="4" w:space="0" w:color="auto"/>
              <w:right w:val="single" w:sz="4" w:space="0" w:color="auto"/>
            </w:tcBorders>
          </w:tcPr>
          <w:p w14:paraId="75F59189" w14:textId="77777777" w:rsidR="00424F6A" w:rsidRPr="00067BD8" w:rsidRDefault="00424F6A" w:rsidP="00424F6A">
            <w:pPr>
              <w:spacing w:after="60"/>
              <w:rPr>
                <w:iCs/>
                <w:sz w:val="20"/>
              </w:rPr>
            </w:pPr>
            <w:r w:rsidRPr="00067BD8">
              <w:rPr>
                <w:sz w:val="20"/>
              </w:rPr>
              <w:t>$</w:t>
            </w:r>
          </w:p>
        </w:tc>
        <w:tc>
          <w:tcPr>
            <w:tcW w:w="3174" w:type="pct"/>
            <w:tcBorders>
              <w:top w:val="single" w:sz="4" w:space="0" w:color="auto"/>
              <w:left w:val="single" w:sz="4" w:space="0" w:color="auto"/>
              <w:bottom w:val="single" w:sz="4" w:space="0" w:color="auto"/>
              <w:right w:val="single" w:sz="4" w:space="0" w:color="auto"/>
            </w:tcBorders>
          </w:tcPr>
          <w:p w14:paraId="68DD20AA" w14:textId="77777777" w:rsidR="00424F6A" w:rsidRPr="00067BD8" w:rsidRDefault="00424F6A" w:rsidP="00424F6A">
            <w:pPr>
              <w:spacing w:after="60"/>
              <w:rPr>
                <w:i/>
                <w:sz w:val="20"/>
              </w:rPr>
            </w:pPr>
            <w:r w:rsidRPr="00067BD8">
              <w:rPr>
                <w:i/>
                <w:sz w:val="20"/>
              </w:rPr>
              <w:t xml:space="preserve">Market Suspension Startup Cost </w:t>
            </w:r>
            <w:r w:rsidRPr="0086627E">
              <w:rPr>
                <w:i/>
                <w:sz w:val="20"/>
              </w:rPr>
              <w:t>–</w:t>
            </w:r>
            <w:r>
              <w:rPr>
                <w:i/>
                <w:sz w:val="20"/>
              </w:rPr>
              <w:t xml:space="preserve"> </w:t>
            </w:r>
            <w:r w:rsidRPr="00067BD8">
              <w:rPr>
                <w:sz w:val="20"/>
              </w:rPr>
              <w:t xml:space="preserve">The Startup Costs for Resource </w:t>
            </w:r>
            <w:r w:rsidRPr="00067BD8">
              <w:rPr>
                <w:i/>
                <w:sz w:val="20"/>
              </w:rPr>
              <w:t xml:space="preserve">r </w:t>
            </w:r>
            <w:r w:rsidRPr="00067BD8">
              <w:rPr>
                <w:sz w:val="20"/>
              </w:rPr>
              <w:t>represented by QSE</w:t>
            </w:r>
            <w:r w:rsidRPr="00067BD8">
              <w:rPr>
                <w:i/>
                <w:sz w:val="20"/>
              </w:rPr>
              <w:t xml:space="preserve"> q </w:t>
            </w:r>
            <w:r w:rsidRPr="00067BD8">
              <w:rPr>
                <w:sz w:val="20"/>
              </w:rPr>
              <w:t xml:space="preserve">during restart hours, for the Operating Day </w:t>
            </w:r>
            <w:r w:rsidRPr="00067BD8">
              <w:rPr>
                <w:i/>
                <w:sz w:val="20"/>
              </w:rPr>
              <w:t>d</w:t>
            </w:r>
            <w:r w:rsidRPr="00067BD8">
              <w:rPr>
                <w:sz w:val="20"/>
              </w:rPr>
              <w:t xml:space="preserve">.  Where for a Combined Cycle Train, the Resource </w:t>
            </w:r>
            <w:r w:rsidRPr="00067BD8">
              <w:rPr>
                <w:i/>
                <w:sz w:val="20"/>
              </w:rPr>
              <w:t xml:space="preserve">r </w:t>
            </w:r>
            <w:r w:rsidRPr="00067BD8">
              <w:rPr>
                <w:sz w:val="20"/>
              </w:rPr>
              <w:t>is the Combined Cycle Train.</w:t>
            </w:r>
          </w:p>
        </w:tc>
      </w:tr>
      <w:tr w:rsidR="00424F6A" w:rsidRPr="00067BD8" w14:paraId="7B0A07E0"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21DBE103" w14:textId="77777777" w:rsidR="00424F6A" w:rsidRPr="00067BD8" w:rsidRDefault="00424F6A" w:rsidP="00424F6A">
            <w:pPr>
              <w:spacing w:after="60"/>
              <w:rPr>
                <w:iCs/>
                <w:sz w:val="20"/>
              </w:rPr>
            </w:pPr>
            <w:r w:rsidRPr="00067BD8">
              <w:rPr>
                <w:iCs/>
                <w:sz w:val="20"/>
              </w:rPr>
              <w:t>MSEDCIMPAMTTOT</w:t>
            </w:r>
            <w:r w:rsidRPr="00067BD8">
              <w:rPr>
                <w:i/>
                <w:iCs/>
                <w:sz w:val="20"/>
                <w:vertAlign w:val="subscript"/>
              </w:rPr>
              <w:t xml:space="preserve"> d</w:t>
            </w:r>
            <w:r w:rsidRPr="00067BD8">
              <w:rPr>
                <w:iCs/>
                <w:sz w:val="20"/>
              </w:rPr>
              <w:t xml:space="preserve">  </w:t>
            </w:r>
          </w:p>
        </w:tc>
        <w:tc>
          <w:tcPr>
            <w:tcW w:w="433" w:type="pct"/>
            <w:tcBorders>
              <w:top w:val="single" w:sz="4" w:space="0" w:color="auto"/>
              <w:left w:val="single" w:sz="4" w:space="0" w:color="auto"/>
              <w:bottom w:val="single" w:sz="4" w:space="0" w:color="auto"/>
              <w:right w:val="single" w:sz="4" w:space="0" w:color="auto"/>
            </w:tcBorders>
          </w:tcPr>
          <w:p w14:paraId="0B53E584"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2C98BFFD" w14:textId="77777777" w:rsidR="00424F6A" w:rsidRPr="00067BD8" w:rsidRDefault="00424F6A" w:rsidP="00424F6A">
            <w:pPr>
              <w:spacing w:after="60"/>
              <w:rPr>
                <w:i/>
                <w:iCs/>
                <w:sz w:val="20"/>
              </w:rPr>
            </w:pPr>
            <w:r w:rsidRPr="00067BD8">
              <w:rPr>
                <w:i/>
                <w:sz w:val="20"/>
              </w:rPr>
              <w:t xml:space="preserve">Market Suspension Emergency DC Import Amount Total – </w:t>
            </w:r>
            <w:r w:rsidRPr="00067BD8">
              <w:rPr>
                <w:sz w:val="20"/>
              </w:rPr>
              <w:t xml:space="preserve">The total Market Suspension Emergency DC Import Amount charges for all QSEs for the Operating Day </w:t>
            </w:r>
            <w:r w:rsidRPr="00067BD8">
              <w:rPr>
                <w:i/>
                <w:sz w:val="20"/>
              </w:rPr>
              <w:t>d</w:t>
            </w:r>
            <w:r w:rsidRPr="00067BD8">
              <w:rPr>
                <w:sz w:val="20"/>
              </w:rPr>
              <w:t>.</w:t>
            </w:r>
          </w:p>
        </w:tc>
      </w:tr>
      <w:tr w:rsidR="00424F6A" w:rsidRPr="00067BD8" w14:paraId="12E76935"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4ADD1AB4" w14:textId="77777777" w:rsidR="00424F6A" w:rsidRPr="00067BD8" w:rsidRDefault="00424F6A" w:rsidP="00424F6A">
            <w:pPr>
              <w:spacing w:after="60"/>
              <w:rPr>
                <w:iCs/>
                <w:sz w:val="20"/>
              </w:rPr>
            </w:pPr>
            <w:r w:rsidRPr="00067BD8">
              <w:rPr>
                <w:iCs/>
                <w:sz w:val="20"/>
              </w:rPr>
              <w:t>MSMWAMTTOT</w:t>
            </w:r>
            <w:r w:rsidRPr="00067BD8">
              <w:rPr>
                <w:i/>
                <w:iCs/>
                <w:sz w:val="20"/>
                <w:vertAlign w:val="subscript"/>
              </w:rPr>
              <w:t xml:space="preserve"> d</w:t>
            </w:r>
            <w:r w:rsidRPr="00067BD8">
              <w:rPr>
                <w:iCs/>
                <w:sz w:val="20"/>
              </w:rPr>
              <w:t xml:space="preserve"> </w:t>
            </w:r>
          </w:p>
        </w:tc>
        <w:tc>
          <w:tcPr>
            <w:tcW w:w="433" w:type="pct"/>
            <w:tcBorders>
              <w:top w:val="single" w:sz="4" w:space="0" w:color="auto"/>
              <w:left w:val="single" w:sz="4" w:space="0" w:color="auto"/>
              <w:bottom w:val="single" w:sz="4" w:space="0" w:color="auto"/>
              <w:right w:val="single" w:sz="4" w:space="0" w:color="auto"/>
            </w:tcBorders>
          </w:tcPr>
          <w:p w14:paraId="1F564ED3"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4D1AA98D" w14:textId="77777777" w:rsidR="00424F6A" w:rsidRPr="00067BD8" w:rsidRDefault="00424F6A" w:rsidP="00424F6A">
            <w:pPr>
              <w:spacing w:after="60"/>
              <w:rPr>
                <w:i/>
                <w:iCs/>
                <w:sz w:val="20"/>
              </w:rPr>
            </w:pPr>
            <w:r w:rsidRPr="00067BD8">
              <w:rPr>
                <w:i/>
                <w:iCs/>
                <w:sz w:val="20"/>
              </w:rPr>
              <w:t>Market Suspension Make-Whole Payment Total</w:t>
            </w:r>
            <w:r w:rsidRPr="00067BD8">
              <w:rPr>
                <w:i/>
                <w:sz w:val="20"/>
              </w:rPr>
              <w:t xml:space="preserve"> – </w:t>
            </w:r>
            <w:r w:rsidRPr="00067BD8">
              <w:rPr>
                <w:iCs/>
                <w:sz w:val="20"/>
              </w:rPr>
              <w:t>The total payment to all QSEs for Market Suspension</w:t>
            </w:r>
            <w:r w:rsidRPr="00067BD8">
              <w:rPr>
                <w:i/>
                <w:iCs/>
                <w:sz w:val="20"/>
              </w:rPr>
              <w:t xml:space="preserve"> </w:t>
            </w:r>
            <w:r w:rsidRPr="00067BD8">
              <w:rPr>
                <w:sz w:val="20"/>
              </w:rPr>
              <w:t xml:space="preserve">Make-Whole Payments </w:t>
            </w:r>
            <w:r w:rsidRPr="00067BD8">
              <w:rPr>
                <w:iCs/>
                <w:sz w:val="20"/>
              </w:rPr>
              <w:t xml:space="preserve">for the Operating Day.  </w:t>
            </w:r>
          </w:p>
        </w:tc>
      </w:tr>
      <w:tr w:rsidR="00424F6A" w:rsidRPr="00067BD8" w14:paraId="5986CEC7"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52BBC7B5" w14:textId="77777777" w:rsidR="00424F6A" w:rsidRPr="00067BD8" w:rsidRDefault="00424F6A" w:rsidP="00424F6A">
            <w:pPr>
              <w:spacing w:after="60"/>
              <w:rPr>
                <w:iCs/>
                <w:sz w:val="20"/>
              </w:rPr>
            </w:pPr>
            <w:r w:rsidRPr="00067BD8">
              <w:rPr>
                <w:iCs/>
                <w:sz w:val="20"/>
              </w:rPr>
              <w:t>MSBLTRAMTTOT</w:t>
            </w:r>
            <w:r w:rsidRPr="00067BD8">
              <w:rPr>
                <w:i/>
                <w:iCs/>
                <w:sz w:val="20"/>
                <w:vertAlign w:val="subscript"/>
              </w:rPr>
              <w:t xml:space="preserve"> d</w:t>
            </w:r>
          </w:p>
        </w:tc>
        <w:tc>
          <w:tcPr>
            <w:tcW w:w="433" w:type="pct"/>
            <w:tcBorders>
              <w:top w:val="single" w:sz="4" w:space="0" w:color="auto"/>
              <w:left w:val="single" w:sz="4" w:space="0" w:color="auto"/>
              <w:bottom w:val="single" w:sz="4" w:space="0" w:color="auto"/>
              <w:right w:val="single" w:sz="4" w:space="0" w:color="auto"/>
            </w:tcBorders>
          </w:tcPr>
          <w:p w14:paraId="08E9401A"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774CD4A6" w14:textId="77777777" w:rsidR="00424F6A" w:rsidRPr="00067BD8" w:rsidRDefault="00424F6A" w:rsidP="00424F6A">
            <w:pPr>
              <w:spacing w:after="60"/>
              <w:rPr>
                <w:i/>
                <w:iCs/>
                <w:sz w:val="20"/>
              </w:rPr>
            </w:pPr>
            <w:r w:rsidRPr="00067BD8">
              <w:rPr>
                <w:i/>
                <w:iCs/>
                <w:sz w:val="20"/>
              </w:rPr>
              <w:t xml:space="preserve">Market Suspension Block Load Transfer Amount Total – </w:t>
            </w:r>
            <w:r w:rsidRPr="00067BD8">
              <w:rPr>
                <w:iCs/>
                <w:sz w:val="20"/>
              </w:rPr>
              <w:t>The total Market Suspension Block Load Transfer Amount for all QSEs</w:t>
            </w:r>
            <w:r w:rsidRPr="00067BD8">
              <w:rPr>
                <w:sz w:val="20"/>
              </w:rPr>
              <w:t xml:space="preserve"> for the Operating Day </w:t>
            </w:r>
            <w:r w:rsidRPr="00067BD8">
              <w:rPr>
                <w:i/>
                <w:sz w:val="20"/>
              </w:rPr>
              <w:t>d</w:t>
            </w:r>
            <w:r w:rsidRPr="00067BD8">
              <w:rPr>
                <w:iCs/>
                <w:sz w:val="20"/>
              </w:rPr>
              <w:t>.</w:t>
            </w:r>
          </w:p>
        </w:tc>
      </w:tr>
      <w:tr w:rsidR="00424F6A" w:rsidRPr="00067BD8" w14:paraId="7FBD8205"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23B7867B" w14:textId="77777777" w:rsidR="00424F6A" w:rsidRPr="00067BD8" w:rsidRDefault="00424F6A" w:rsidP="00424F6A">
            <w:pPr>
              <w:spacing w:after="60"/>
              <w:rPr>
                <w:iCs/>
                <w:sz w:val="20"/>
              </w:rPr>
            </w:pPr>
            <w:r w:rsidRPr="00067BD8">
              <w:rPr>
                <w:iCs/>
                <w:sz w:val="20"/>
              </w:rPr>
              <w:t>BSSAMTTOT</w:t>
            </w:r>
          </w:p>
        </w:tc>
        <w:tc>
          <w:tcPr>
            <w:tcW w:w="433" w:type="pct"/>
            <w:tcBorders>
              <w:top w:val="single" w:sz="4" w:space="0" w:color="auto"/>
              <w:left w:val="single" w:sz="4" w:space="0" w:color="auto"/>
              <w:bottom w:val="single" w:sz="4" w:space="0" w:color="auto"/>
              <w:right w:val="single" w:sz="4" w:space="0" w:color="auto"/>
            </w:tcBorders>
          </w:tcPr>
          <w:p w14:paraId="52AEDC86"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194ED13B" w14:textId="77777777" w:rsidR="00424F6A" w:rsidRPr="00067BD8" w:rsidRDefault="00424F6A" w:rsidP="00424F6A">
            <w:pPr>
              <w:spacing w:after="60"/>
              <w:rPr>
                <w:i/>
                <w:iCs/>
                <w:sz w:val="20"/>
              </w:rPr>
            </w:pPr>
            <w:r w:rsidRPr="00067BD8">
              <w:rPr>
                <w:i/>
                <w:iCs/>
                <w:sz w:val="20"/>
              </w:rPr>
              <w:t xml:space="preserve">Black Start Service Amount QSE Total ERCOT-Wide – </w:t>
            </w:r>
            <w:r w:rsidRPr="00067BD8">
              <w:rPr>
                <w:iCs/>
                <w:sz w:val="20"/>
              </w:rPr>
              <w:t xml:space="preserve">The total of the payments to QSE </w:t>
            </w:r>
            <w:r w:rsidRPr="00067BD8">
              <w:rPr>
                <w:i/>
                <w:iCs/>
                <w:sz w:val="20"/>
              </w:rPr>
              <w:t>q</w:t>
            </w:r>
            <w:r w:rsidRPr="00067BD8">
              <w:rPr>
                <w:iCs/>
                <w:sz w:val="20"/>
              </w:rPr>
              <w:t xml:space="preserve"> for BSS provided by all the BSS Resource represented by this QSE for the hour.</w:t>
            </w:r>
          </w:p>
        </w:tc>
      </w:tr>
      <w:tr w:rsidR="00424F6A" w:rsidRPr="00067BD8" w14:paraId="5BF9EFA0"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243205DC" w14:textId="77777777" w:rsidR="00424F6A" w:rsidRPr="00067BD8" w:rsidRDefault="00424F6A" w:rsidP="00424F6A">
            <w:pPr>
              <w:spacing w:after="60"/>
              <w:rPr>
                <w:iCs/>
                <w:sz w:val="20"/>
              </w:rPr>
            </w:pPr>
            <w:r w:rsidRPr="00067BD8">
              <w:rPr>
                <w:iCs/>
                <w:sz w:val="20"/>
              </w:rPr>
              <w:t>RMREAMTTOT</w:t>
            </w:r>
          </w:p>
        </w:tc>
        <w:tc>
          <w:tcPr>
            <w:tcW w:w="433" w:type="pct"/>
            <w:tcBorders>
              <w:top w:val="single" w:sz="4" w:space="0" w:color="auto"/>
              <w:left w:val="single" w:sz="4" w:space="0" w:color="auto"/>
              <w:bottom w:val="single" w:sz="4" w:space="0" w:color="auto"/>
              <w:right w:val="single" w:sz="4" w:space="0" w:color="auto"/>
            </w:tcBorders>
          </w:tcPr>
          <w:p w14:paraId="2E178F22"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58DAC665" w14:textId="77777777" w:rsidR="00424F6A" w:rsidRPr="00067BD8" w:rsidRDefault="00424F6A" w:rsidP="00424F6A">
            <w:pPr>
              <w:spacing w:after="60"/>
              <w:rPr>
                <w:i/>
                <w:iCs/>
                <w:sz w:val="20"/>
              </w:rPr>
            </w:pPr>
            <w:r w:rsidRPr="00067BD8">
              <w:rPr>
                <w:i/>
                <w:iCs/>
                <w:sz w:val="20"/>
              </w:rPr>
              <w:t>RMR Energy Amount Total</w:t>
            </w:r>
            <w:r>
              <w:rPr>
                <w:i/>
                <w:iCs/>
                <w:sz w:val="20"/>
              </w:rPr>
              <w:t xml:space="preserve"> </w:t>
            </w:r>
            <w:r w:rsidRPr="00067BD8">
              <w:rPr>
                <w:i/>
                <w:iCs/>
                <w:sz w:val="20"/>
              </w:rPr>
              <w:t>–</w:t>
            </w:r>
            <w:r>
              <w:rPr>
                <w:i/>
                <w:iCs/>
                <w:sz w:val="20"/>
              </w:rPr>
              <w:t xml:space="preserve"> </w:t>
            </w:r>
            <w:r w:rsidRPr="00067BD8">
              <w:rPr>
                <w:iCs/>
                <w:sz w:val="20"/>
              </w:rPr>
              <w:t>The total of the energy cost payments to all QSEs for all RMR Units, for the hour.</w:t>
            </w:r>
          </w:p>
        </w:tc>
      </w:tr>
      <w:tr w:rsidR="00424F6A" w:rsidRPr="00067BD8" w14:paraId="5C72B4D2"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1E6AAC49" w14:textId="77777777" w:rsidR="00424F6A" w:rsidRPr="00067BD8" w:rsidRDefault="00424F6A" w:rsidP="00424F6A">
            <w:pPr>
              <w:spacing w:after="60"/>
              <w:rPr>
                <w:iCs/>
                <w:sz w:val="20"/>
              </w:rPr>
            </w:pPr>
            <w:r w:rsidRPr="00067BD8">
              <w:rPr>
                <w:iCs/>
                <w:sz w:val="20"/>
              </w:rPr>
              <w:t>RMRSBAMTTOT</w:t>
            </w:r>
          </w:p>
        </w:tc>
        <w:tc>
          <w:tcPr>
            <w:tcW w:w="433" w:type="pct"/>
            <w:tcBorders>
              <w:top w:val="single" w:sz="4" w:space="0" w:color="auto"/>
              <w:left w:val="single" w:sz="4" w:space="0" w:color="auto"/>
              <w:bottom w:val="single" w:sz="4" w:space="0" w:color="auto"/>
              <w:right w:val="single" w:sz="4" w:space="0" w:color="auto"/>
            </w:tcBorders>
          </w:tcPr>
          <w:p w14:paraId="7D603A37" w14:textId="77777777" w:rsidR="00424F6A" w:rsidRPr="00067BD8" w:rsidRDefault="00424F6A" w:rsidP="00424F6A">
            <w:pPr>
              <w:spacing w:after="60"/>
              <w:rPr>
                <w:iCs/>
                <w:sz w:val="20"/>
              </w:rPr>
            </w:pPr>
            <w:r w:rsidRPr="00067BD8">
              <w:rPr>
                <w:iCs/>
                <w:sz w:val="20"/>
              </w:rPr>
              <w:t>$</w:t>
            </w:r>
          </w:p>
        </w:tc>
        <w:tc>
          <w:tcPr>
            <w:tcW w:w="3174" w:type="pct"/>
            <w:tcBorders>
              <w:top w:val="single" w:sz="4" w:space="0" w:color="auto"/>
              <w:left w:val="single" w:sz="4" w:space="0" w:color="auto"/>
              <w:bottom w:val="single" w:sz="4" w:space="0" w:color="auto"/>
              <w:right w:val="single" w:sz="4" w:space="0" w:color="auto"/>
            </w:tcBorders>
          </w:tcPr>
          <w:p w14:paraId="6FA65E0B" w14:textId="77777777" w:rsidR="00424F6A" w:rsidRPr="00067BD8" w:rsidRDefault="00424F6A" w:rsidP="00424F6A">
            <w:pPr>
              <w:spacing w:after="60"/>
              <w:rPr>
                <w:i/>
                <w:iCs/>
                <w:sz w:val="20"/>
              </w:rPr>
            </w:pPr>
            <w:r w:rsidRPr="00067BD8">
              <w:rPr>
                <w:i/>
                <w:iCs/>
                <w:sz w:val="20"/>
              </w:rPr>
              <w:t>RMR Standby Amount Total</w:t>
            </w:r>
            <w:r>
              <w:rPr>
                <w:i/>
                <w:iCs/>
                <w:sz w:val="20"/>
              </w:rPr>
              <w:t xml:space="preserve"> </w:t>
            </w:r>
            <w:r w:rsidRPr="00067BD8">
              <w:rPr>
                <w:i/>
                <w:iCs/>
                <w:sz w:val="20"/>
              </w:rPr>
              <w:t>–</w:t>
            </w:r>
            <w:r>
              <w:rPr>
                <w:i/>
                <w:iCs/>
                <w:sz w:val="20"/>
              </w:rPr>
              <w:t xml:space="preserve"> </w:t>
            </w:r>
            <w:r w:rsidRPr="00067BD8">
              <w:rPr>
                <w:iCs/>
                <w:sz w:val="20"/>
              </w:rPr>
              <w:t>The total of the Standby Payments to all QSEs for all RMR Units, for the hour.</w:t>
            </w:r>
          </w:p>
        </w:tc>
      </w:tr>
      <w:tr w:rsidR="00424F6A" w:rsidRPr="00067BD8" w14:paraId="215B5E6A" w14:textId="77777777" w:rsidTr="00D60E1F">
        <w:trPr>
          <w:cantSplit/>
        </w:trPr>
        <w:tc>
          <w:tcPr>
            <w:tcW w:w="1393" w:type="pct"/>
            <w:tcBorders>
              <w:top w:val="single" w:sz="4" w:space="0" w:color="auto"/>
              <w:left w:val="single" w:sz="4" w:space="0" w:color="auto"/>
              <w:bottom w:val="single" w:sz="4" w:space="0" w:color="auto"/>
              <w:right w:val="single" w:sz="4" w:space="0" w:color="auto"/>
            </w:tcBorders>
            <w:hideMark/>
          </w:tcPr>
          <w:p w14:paraId="378FBAA0" w14:textId="77777777" w:rsidR="00424F6A" w:rsidRPr="00067BD8" w:rsidRDefault="00424F6A" w:rsidP="00424F6A">
            <w:pPr>
              <w:spacing w:after="60"/>
              <w:rPr>
                <w:iCs/>
                <w:sz w:val="20"/>
              </w:rPr>
            </w:pPr>
            <w:r w:rsidRPr="00067BD8">
              <w:rPr>
                <w:iCs/>
                <w:sz w:val="20"/>
              </w:rPr>
              <w:t xml:space="preserve">RTMSLRS </w:t>
            </w:r>
            <w:r w:rsidRPr="00067BD8">
              <w:rPr>
                <w:i/>
                <w:iCs/>
                <w:sz w:val="20"/>
                <w:vertAlign w:val="subscript"/>
              </w:rPr>
              <w:t>q, d</w:t>
            </w:r>
          </w:p>
        </w:tc>
        <w:tc>
          <w:tcPr>
            <w:tcW w:w="433" w:type="pct"/>
            <w:tcBorders>
              <w:top w:val="single" w:sz="4" w:space="0" w:color="auto"/>
              <w:left w:val="single" w:sz="4" w:space="0" w:color="auto"/>
              <w:bottom w:val="single" w:sz="4" w:space="0" w:color="auto"/>
              <w:right w:val="single" w:sz="4" w:space="0" w:color="auto"/>
            </w:tcBorders>
            <w:hideMark/>
          </w:tcPr>
          <w:p w14:paraId="1FF759E7" w14:textId="77777777" w:rsidR="00424F6A" w:rsidRPr="00067BD8" w:rsidRDefault="00424F6A" w:rsidP="00424F6A">
            <w:pPr>
              <w:spacing w:after="60"/>
              <w:rPr>
                <w:iCs/>
                <w:sz w:val="20"/>
              </w:rPr>
            </w:pPr>
            <w:r w:rsidRPr="00067BD8">
              <w:rPr>
                <w:iCs/>
                <w:sz w:val="20"/>
              </w:rPr>
              <w:t>none</w:t>
            </w:r>
          </w:p>
        </w:tc>
        <w:tc>
          <w:tcPr>
            <w:tcW w:w="3174" w:type="pct"/>
            <w:tcBorders>
              <w:top w:val="single" w:sz="4" w:space="0" w:color="auto"/>
              <w:left w:val="single" w:sz="4" w:space="0" w:color="auto"/>
              <w:bottom w:val="single" w:sz="4" w:space="0" w:color="auto"/>
              <w:right w:val="single" w:sz="4" w:space="0" w:color="auto"/>
            </w:tcBorders>
            <w:hideMark/>
          </w:tcPr>
          <w:p w14:paraId="6F40BB39" w14:textId="77777777" w:rsidR="00424F6A" w:rsidRPr="00067BD8" w:rsidRDefault="00424F6A" w:rsidP="00424F6A">
            <w:pPr>
              <w:spacing w:after="60"/>
              <w:rPr>
                <w:iCs/>
                <w:sz w:val="20"/>
              </w:rPr>
            </w:pPr>
            <w:r w:rsidRPr="00067BD8">
              <w:rPr>
                <w:i/>
                <w:iCs/>
                <w:sz w:val="20"/>
              </w:rPr>
              <w:t>Real-Time Market Suspension Load Ratio Share</w:t>
            </w:r>
            <w:r w:rsidRPr="00067BD8">
              <w:rPr>
                <w:i/>
                <w:sz w:val="20"/>
              </w:rPr>
              <w:t xml:space="preserve"> – </w:t>
            </w:r>
            <w:r w:rsidRPr="00067BD8">
              <w:rPr>
                <w:iCs/>
                <w:sz w:val="20"/>
              </w:rPr>
              <w:t xml:space="preserve">The ratio of the QSE </w:t>
            </w:r>
            <w:r w:rsidRPr="00067BD8">
              <w:rPr>
                <w:i/>
                <w:iCs/>
                <w:sz w:val="20"/>
              </w:rPr>
              <w:t>q</w:t>
            </w:r>
            <w:r w:rsidRPr="00067BD8">
              <w:rPr>
                <w:iCs/>
                <w:sz w:val="20"/>
              </w:rPr>
              <w:t>’s Real-Time AML to the total ERCOT Real-Time AML for the 30 day period prior to the Market Suspension for which Initial Settlement has been completed.</w:t>
            </w:r>
          </w:p>
        </w:tc>
      </w:tr>
      <w:tr w:rsidR="00424F6A" w:rsidRPr="00067BD8" w14:paraId="331AD493"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4941C0C7" w14:textId="77777777" w:rsidR="00424F6A" w:rsidRPr="00067BD8" w:rsidRDefault="00424F6A" w:rsidP="00424F6A">
            <w:pPr>
              <w:spacing w:after="60"/>
              <w:rPr>
                <w:iCs/>
                <w:sz w:val="20"/>
              </w:rPr>
            </w:pPr>
            <w:r w:rsidRPr="00067BD8">
              <w:rPr>
                <w:iCs/>
                <w:sz w:val="20"/>
              </w:rPr>
              <w:t xml:space="preserve">AMRTSLRS </w:t>
            </w:r>
            <w:r w:rsidRPr="00067BD8">
              <w:rPr>
                <w:i/>
                <w:iCs/>
                <w:sz w:val="20"/>
                <w:vertAlign w:val="subscript"/>
              </w:rPr>
              <w:t>q, d</w:t>
            </w:r>
          </w:p>
        </w:tc>
        <w:tc>
          <w:tcPr>
            <w:tcW w:w="433" w:type="pct"/>
            <w:tcBorders>
              <w:top w:val="single" w:sz="4" w:space="0" w:color="auto"/>
              <w:left w:val="single" w:sz="4" w:space="0" w:color="auto"/>
              <w:bottom w:val="single" w:sz="4" w:space="0" w:color="auto"/>
              <w:right w:val="single" w:sz="4" w:space="0" w:color="auto"/>
            </w:tcBorders>
          </w:tcPr>
          <w:p w14:paraId="7A8D7BF0" w14:textId="77777777" w:rsidR="00424F6A" w:rsidRPr="00067BD8" w:rsidRDefault="00424F6A" w:rsidP="00424F6A">
            <w:pPr>
              <w:spacing w:after="60"/>
              <w:rPr>
                <w:iCs/>
                <w:sz w:val="20"/>
              </w:rPr>
            </w:pPr>
            <w:r w:rsidRPr="00067BD8">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20D8AABD" w14:textId="77777777" w:rsidR="00424F6A" w:rsidRPr="00067BD8" w:rsidRDefault="00424F6A" w:rsidP="00424F6A">
            <w:pPr>
              <w:spacing w:after="60"/>
              <w:rPr>
                <w:i/>
                <w:iCs/>
                <w:sz w:val="20"/>
              </w:rPr>
            </w:pPr>
            <w:r w:rsidRPr="00067BD8">
              <w:rPr>
                <w:i/>
                <w:iCs/>
                <w:sz w:val="20"/>
              </w:rPr>
              <w:t>Actual Metered Real-Time Suspension Load Ratio Share</w:t>
            </w:r>
            <w:r w:rsidRPr="00067BD8">
              <w:rPr>
                <w:i/>
                <w:sz w:val="20"/>
              </w:rPr>
              <w:t xml:space="preserve"> – </w:t>
            </w:r>
            <w:r w:rsidRPr="00067BD8">
              <w:rPr>
                <w:iCs/>
                <w:sz w:val="20"/>
              </w:rPr>
              <w:t xml:space="preserve">The ratio of the QSE </w:t>
            </w:r>
            <w:r w:rsidRPr="00067BD8">
              <w:rPr>
                <w:i/>
                <w:iCs/>
                <w:sz w:val="20"/>
              </w:rPr>
              <w:t>q</w:t>
            </w:r>
            <w:r w:rsidRPr="00067BD8">
              <w:rPr>
                <w:iCs/>
                <w:sz w:val="20"/>
              </w:rPr>
              <w:t>’s actual metered Real-Time AML to the total ERCOT actual metered Real-Time AML.</w:t>
            </w:r>
          </w:p>
        </w:tc>
      </w:tr>
      <w:tr w:rsidR="00424F6A" w:rsidRPr="00067BD8" w14:paraId="49E36F86"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2759E2EC" w14:textId="77777777" w:rsidR="00424F6A" w:rsidRPr="00067BD8" w:rsidRDefault="00424F6A" w:rsidP="00424F6A">
            <w:pPr>
              <w:spacing w:after="60"/>
              <w:rPr>
                <w:iCs/>
                <w:sz w:val="20"/>
              </w:rPr>
            </w:pPr>
            <w:r w:rsidRPr="00067BD8">
              <w:rPr>
                <w:iCs/>
                <w:sz w:val="20"/>
              </w:rPr>
              <w:t xml:space="preserve">AMRTAML </w:t>
            </w:r>
            <w:r w:rsidRPr="00067BD8">
              <w:rPr>
                <w:i/>
                <w:iCs/>
                <w:sz w:val="20"/>
                <w:vertAlign w:val="subscript"/>
              </w:rPr>
              <w:t xml:space="preserve"> q, d </w:t>
            </w:r>
          </w:p>
        </w:tc>
        <w:tc>
          <w:tcPr>
            <w:tcW w:w="433" w:type="pct"/>
            <w:tcBorders>
              <w:top w:val="single" w:sz="4" w:space="0" w:color="auto"/>
              <w:left w:val="single" w:sz="4" w:space="0" w:color="auto"/>
              <w:bottom w:val="single" w:sz="4" w:space="0" w:color="auto"/>
              <w:right w:val="single" w:sz="4" w:space="0" w:color="auto"/>
            </w:tcBorders>
          </w:tcPr>
          <w:p w14:paraId="3E633134" w14:textId="77777777" w:rsidR="00424F6A" w:rsidRPr="00067BD8" w:rsidRDefault="00424F6A" w:rsidP="00424F6A">
            <w:pPr>
              <w:spacing w:after="60"/>
              <w:rPr>
                <w:iCs/>
                <w:sz w:val="20"/>
              </w:rPr>
            </w:pPr>
            <w:r w:rsidRPr="00067BD8">
              <w:rPr>
                <w:iCs/>
                <w:sz w:val="20"/>
              </w:rPr>
              <w:t>MWh</w:t>
            </w:r>
          </w:p>
        </w:tc>
        <w:tc>
          <w:tcPr>
            <w:tcW w:w="3174" w:type="pct"/>
            <w:tcBorders>
              <w:top w:val="single" w:sz="4" w:space="0" w:color="auto"/>
              <w:left w:val="single" w:sz="4" w:space="0" w:color="auto"/>
              <w:bottom w:val="single" w:sz="4" w:space="0" w:color="auto"/>
              <w:right w:val="single" w:sz="4" w:space="0" w:color="auto"/>
            </w:tcBorders>
          </w:tcPr>
          <w:p w14:paraId="7E637DF1" w14:textId="77777777" w:rsidR="00424F6A" w:rsidRPr="00067BD8" w:rsidRDefault="00424F6A" w:rsidP="00424F6A">
            <w:pPr>
              <w:spacing w:after="60"/>
              <w:rPr>
                <w:i/>
                <w:iCs/>
                <w:sz w:val="20"/>
              </w:rPr>
            </w:pPr>
            <w:r w:rsidRPr="00067BD8">
              <w:rPr>
                <w:i/>
                <w:iCs/>
                <w:sz w:val="20"/>
              </w:rPr>
              <w:t xml:space="preserve">Actual Metered Real-Time Adjusted Metered Load – </w:t>
            </w:r>
            <w:r w:rsidRPr="00067BD8">
              <w:rPr>
                <w:iCs/>
                <w:sz w:val="20"/>
              </w:rPr>
              <w:t xml:space="preserve">The sum of the actual metered interval data that are represented by QSE </w:t>
            </w:r>
            <w:r w:rsidRPr="00067BD8">
              <w:rPr>
                <w:i/>
                <w:iCs/>
                <w:sz w:val="20"/>
              </w:rPr>
              <w:t xml:space="preserve">q </w:t>
            </w:r>
            <w:r w:rsidRPr="00067BD8">
              <w:rPr>
                <w:iCs/>
                <w:sz w:val="20"/>
              </w:rPr>
              <w:t xml:space="preserve">for the day </w:t>
            </w:r>
            <w:r w:rsidRPr="00067BD8">
              <w:rPr>
                <w:i/>
                <w:iCs/>
                <w:sz w:val="20"/>
              </w:rPr>
              <w:t>d</w:t>
            </w:r>
            <w:r w:rsidRPr="00067BD8">
              <w:rPr>
                <w:iCs/>
                <w:sz w:val="20"/>
              </w:rPr>
              <w:t>.</w:t>
            </w:r>
          </w:p>
        </w:tc>
      </w:tr>
      <w:tr w:rsidR="00424F6A" w:rsidRPr="00067BD8" w14:paraId="4B747D14"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353A53F4" w14:textId="77777777" w:rsidR="00424F6A" w:rsidRPr="00067BD8" w:rsidRDefault="00CC2CB6" w:rsidP="00424F6A">
            <w:pPr>
              <w:spacing w:after="60"/>
              <w:rPr>
                <w:i/>
                <w:iCs/>
                <w:sz w:val="20"/>
              </w:rPr>
            </w:pPr>
            <w:r>
              <w:rPr>
                <w:i/>
                <w:iCs/>
                <w:sz w:val="20"/>
              </w:rPr>
              <w:t>q</w:t>
            </w:r>
          </w:p>
        </w:tc>
        <w:tc>
          <w:tcPr>
            <w:tcW w:w="433" w:type="pct"/>
            <w:tcBorders>
              <w:top w:val="single" w:sz="4" w:space="0" w:color="auto"/>
              <w:left w:val="single" w:sz="4" w:space="0" w:color="auto"/>
              <w:bottom w:val="single" w:sz="4" w:space="0" w:color="auto"/>
              <w:right w:val="single" w:sz="4" w:space="0" w:color="auto"/>
            </w:tcBorders>
          </w:tcPr>
          <w:p w14:paraId="19B37D2D" w14:textId="77777777" w:rsidR="00424F6A" w:rsidRPr="00067BD8" w:rsidRDefault="00424F6A" w:rsidP="00424F6A">
            <w:pPr>
              <w:spacing w:after="60"/>
              <w:rPr>
                <w:iCs/>
                <w:sz w:val="20"/>
              </w:rPr>
            </w:pPr>
            <w:r w:rsidRPr="00067BD8">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15D5F068" w14:textId="77777777" w:rsidR="00424F6A" w:rsidRPr="00067BD8" w:rsidRDefault="00424F6A" w:rsidP="00424F6A">
            <w:pPr>
              <w:spacing w:after="60"/>
              <w:rPr>
                <w:iCs/>
                <w:sz w:val="20"/>
              </w:rPr>
            </w:pPr>
            <w:r w:rsidRPr="00067BD8">
              <w:rPr>
                <w:iCs/>
                <w:sz w:val="20"/>
              </w:rPr>
              <w:t>A QSE.</w:t>
            </w:r>
          </w:p>
        </w:tc>
      </w:tr>
      <w:tr w:rsidR="00424F6A" w:rsidRPr="00067BD8" w14:paraId="627FC366"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4EEF440D" w14:textId="77777777" w:rsidR="00424F6A" w:rsidRPr="00067BD8" w:rsidRDefault="00CC2CB6" w:rsidP="00424F6A">
            <w:pPr>
              <w:spacing w:after="60"/>
              <w:rPr>
                <w:i/>
                <w:iCs/>
                <w:sz w:val="20"/>
              </w:rPr>
            </w:pPr>
            <w:r>
              <w:rPr>
                <w:i/>
                <w:iCs/>
                <w:sz w:val="20"/>
              </w:rPr>
              <w:t>d</w:t>
            </w:r>
          </w:p>
        </w:tc>
        <w:tc>
          <w:tcPr>
            <w:tcW w:w="433" w:type="pct"/>
            <w:tcBorders>
              <w:top w:val="single" w:sz="4" w:space="0" w:color="auto"/>
              <w:left w:val="single" w:sz="4" w:space="0" w:color="auto"/>
              <w:bottom w:val="single" w:sz="4" w:space="0" w:color="auto"/>
              <w:right w:val="single" w:sz="4" w:space="0" w:color="auto"/>
            </w:tcBorders>
          </w:tcPr>
          <w:p w14:paraId="4C12941E" w14:textId="77777777" w:rsidR="00424F6A" w:rsidRPr="00067BD8" w:rsidRDefault="00424F6A" w:rsidP="00424F6A">
            <w:pPr>
              <w:spacing w:after="60"/>
              <w:rPr>
                <w:iCs/>
                <w:sz w:val="20"/>
              </w:rPr>
            </w:pPr>
            <w:r w:rsidRPr="00067BD8">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7FC9243A" w14:textId="77777777" w:rsidR="00424F6A" w:rsidRPr="00067BD8" w:rsidRDefault="00424F6A" w:rsidP="00424F6A">
            <w:pPr>
              <w:spacing w:after="60"/>
              <w:rPr>
                <w:iCs/>
                <w:sz w:val="20"/>
              </w:rPr>
            </w:pPr>
            <w:r w:rsidRPr="00067BD8">
              <w:rPr>
                <w:iCs/>
                <w:sz w:val="20"/>
              </w:rPr>
              <w:t>An Operating Day during a Market Suspension</w:t>
            </w:r>
            <w:r w:rsidRPr="00067BD8">
              <w:rPr>
                <w:i/>
                <w:iCs/>
                <w:sz w:val="20"/>
              </w:rPr>
              <w:t xml:space="preserve"> </w:t>
            </w:r>
            <w:r w:rsidRPr="00067BD8">
              <w:rPr>
                <w:iCs/>
                <w:sz w:val="20"/>
              </w:rPr>
              <w:t>event.</w:t>
            </w:r>
          </w:p>
        </w:tc>
      </w:tr>
      <w:tr w:rsidR="00424F6A" w:rsidRPr="00F94758" w14:paraId="2FA71F07"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5A78037C" w14:textId="77777777" w:rsidR="00424F6A" w:rsidRPr="00067BD8" w:rsidRDefault="00CC2CB6" w:rsidP="00424F6A">
            <w:pPr>
              <w:spacing w:after="60"/>
              <w:rPr>
                <w:i/>
                <w:iCs/>
                <w:sz w:val="20"/>
              </w:rPr>
            </w:pPr>
            <w:r>
              <w:rPr>
                <w:i/>
                <w:sz w:val="20"/>
              </w:rPr>
              <w:t>h</w:t>
            </w:r>
          </w:p>
        </w:tc>
        <w:tc>
          <w:tcPr>
            <w:tcW w:w="433" w:type="pct"/>
            <w:tcBorders>
              <w:top w:val="single" w:sz="4" w:space="0" w:color="auto"/>
              <w:left w:val="single" w:sz="4" w:space="0" w:color="auto"/>
              <w:bottom w:val="single" w:sz="4" w:space="0" w:color="auto"/>
              <w:right w:val="single" w:sz="4" w:space="0" w:color="auto"/>
            </w:tcBorders>
          </w:tcPr>
          <w:p w14:paraId="492A874F" w14:textId="77777777" w:rsidR="00424F6A" w:rsidRPr="00067BD8" w:rsidRDefault="00424F6A" w:rsidP="00424F6A">
            <w:pPr>
              <w:spacing w:after="60"/>
              <w:rPr>
                <w:iCs/>
                <w:sz w:val="20"/>
              </w:rPr>
            </w:pPr>
            <w:r w:rsidRPr="00067BD8">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7F95C4AD" w14:textId="77777777" w:rsidR="00424F6A" w:rsidRPr="00F94758" w:rsidRDefault="00424F6A" w:rsidP="00424F6A">
            <w:pPr>
              <w:spacing w:after="60"/>
              <w:rPr>
                <w:iCs/>
                <w:sz w:val="20"/>
              </w:rPr>
            </w:pPr>
            <w:r w:rsidRPr="00067BD8">
              <w:rPr>
                <w:iCs/>
                <w:sz w:val="20"/>
              </w:rPr>
              <w:t>An hour within a Market Suspension.</w:t>
            </w:r>
          </w:p>
        </w:tc>
      </w:tr>
      <w:tr w:rsidR="00424F6A" w:rsidRPr="00F94758" w14:paraId="733BCE6C" w14:textId="77777777" w:rsidTr="00D60E1F">
        <w:trPr>
          <w:cantSplit/>
        </w:trPr>
        <w:tc>
          <w:tcPr>
            <w:tcW w:w="1393" w:type="pct"/>
            <w:tcBorders>
              <w:top w:val="single" w:sz="4" w:space="0" w:color="auto"/>
              <w:left w:val="single" w:sz="4" w:space="0" w:color="auto"/>
              <w:bottom w:val="single" w:sz="4" w:space="0" w:color="auto"/>
              <w:right w:val="single" w:sz="4" w:space="0" w:color="auto"/>
            </w:tcBorders>
          </w:tcPr>
          <w:p w14:paraId="395E24E3" w14:textId="77777777" w:rsidR="00424F6A" w:rsidRPr="00067BD8" w:rsidRDefault="00CC2CB6" w:rsidP="00424F6A">
            <w:pPr>
              <w:spacing w:after="60"/>
              <w:rPr>
                <w:i/>
                <w:sz w:val="20"/>
              </w:rPr>
            </w:pPr>
            <w:r>
              <w:rPr>
                <w:i/>
                <w:iCs/>
                <w:sz w:val="20"/>
              </w:rPr>
              <w:t>r</w:t>
            </w:r>
          </w:p>
        </w:tc>
        <w:tc>
          <w:tcPr>
            <w:tcW w:w="433" w:type="pct"/>
            <w:tcBorders>
              <w:top w:val="single" w:sz="4" w:space="0" w:color="auto"/>
              <w:left w:val="single" w:sz="4" w:space="0" w:color="auto"/>
              <w:bottom w:val="single" w:sz="4" w:space="0" w:color="auto"/>
              <w:right w:val="single" w:sz="4" w:space="0" w:color="auto"/>
            </w:tcBorders>
          </w:tcPr>
          <w:p w14:paraId="6BB9EE08" w14:textId="77777777" w:rsidR="00424F6A" w:rsidRPr="00067BD8" w:rsidRDefault="00424F6A" w:rsidP="00424F6A">
            <w:pPr>
              <w:spacing w:after="60"/>
              <w:rPr>
                <w:iCs/>
                <w:sz w:val="20"/>
              </w:rPr>
            </w:pPr>
            <w:r w:rsidRPr="0086627E">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56ED9361" w14:textId="77777777" w:rsidR="00424F6A" w:rsidRPr="00067BD8" w:rsidRDefault="00424F6A" w:rsidP="00424F6A">
            <w:pPr>
              <w:spacing w:after="60"/>
              <w:rPr>
                <w:iCs/>
                <w:sz w:val="20"/>
              </w:rPr>
            </w:pPr>
            <w:r w:rsidRPr="0086627E">
              <w:rPr>
                <w:iCs/>
                <w:sz w:val="20"/>
              </w:rPr>
              <w:t>A Generation Resource.</w:t>
            </w:r>
          </w:p>
        </w:tc>
      </w:tr>
    </w:tbl>
    <w:p w14:paraId="586AEB6F" w14:textId="77777777" w:rsidR="00D60E1F" w:rsidRDefault="00D60E1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D60E1F" w:rsidRPr="00DE2E54" w14:paraId="79A9FDD9" w14:textId="77777777" w:rsidTr="00D60E1F">
        <w:tc>
          <w:tcPr>
            <w:tcW w:w="5000" w:type="pct"/>
            <w:shd w:val="clear" w:color="auto" w:fill="E0E0E0"/>
          </w:tcPr>
          <w:p w14:paraId="18D6F83D" w14:textId="77777777" w:rsidR="00D60E1F" w:rsidRPr="00DE2E54" w:rsidRDefault="00D60E1F" w:rsidP="00253557">
            <w:pPr>
              <w:spacing w:before="120" w:after="240"/>
              <w:rPr>
                <w:b/>
                <w:i/>
                <w:iCs/>
              </w:rPr>
            </w:pPr>
            <w:bookmarkStart w:id="37" w:name="_Toc181499"/>
            <w:bookmarkStart w:id="38" w:name="_Toc181597"/>
            <w:r>
              <w:rPr>
                <w:b/>
                <w:i/>
                <w:iCs/>
              </w:rPr>
              <w:lastRenderedPageBreak/>
              <w:t>[NPRR1029</w:t>
            </w:r>
            <w:r w:rsidRPr="00DE2E54">
              <w:rPr>
                <w:b/>
                <w:i/>
                <w:iCs/>
              </w:rPr>
              <w:t xml:space="preserve">:  </w:t>
            </w:r>
            <w:r>
              <w:rPr>
                <w:b/>
                <w:i/>
                <w:iCs/>
              </w:rPr>
              <w:t>Replace</w:t>
            </w:r>
            <w:r w:rsidRPr="00DE2E54">
              <w:rPr>
                <w:b/>
                <w:i/>
                <w:iCs/>
              </w:rPr>
              <w:t xml:space="preserve"> paragraph (</w:t>
            </w:r>
            <w:r>
              <w:rPr>
                <w:b/>
                <w:i/>
                <w:iCs/>
              </w:rPr>
              <w:t>b</w:t>
            </w:r>
            <w:r w:rsidRPr="00DE2E54">
              <w:rPr>
                <w:b/>
                <w:i/>
                <w:iCs/>
              </w:rPr>
              <w:t xml:space="preserve">) </w:t>
            </w:r>
            <w:r>
              <w:rPr>
                <w:b/>
                <w:i/>
                <w:iCs/>
              </w:rPr>
              <w:t>above with the following</w:t>
            </w:r>
            <w:r w:rsidRPr="00DE2E54">
              <w:rPr>
                <w:b/>
                <w:i/>
                <w:iCs/>
              </w:rPr>
              <w:t xml:space="preserve"> upon system implementation:]</w:t>
            </w:r>
          </w:p>
          <w:p w14:paraId="09FDF9C1" w14:textId="77777777" w:rsidR="00D60E1F" w:rsidRPr="003C2A11" w:rsidRDefault="00D60E1F" w:rsidP="00921E0D">
            <w:pPr>
              <w:spacing w:after="240"/>
              <w:ind w:left="1440" w:hanging="720"/>
            </w:pPr>
            <w:r w:rsidRPr="003C2A11">
              <w:t>(b)</w:t>
            </w:r>
            <w:r w:rsidRPr="003C2A11">
              <w:tab/>
              <w:t>This Market Suspension Charge shall be resettled using</w:t>
            </w:r>
            <w:r w:rsidR="00934039" w:rsidRPr="003C2A11">
              <w:t xml:space="preserve"> </w:t>
            </w:r>
            <w:r w:rsidR="00934039">
              <w:t>Transmission and/or Distribution Service Provider (</w:t>
            </w:r>
            <w:r w:rsidR="00934039" w:rsidRPr="003C2A11">
              <w:t>TDSP</w:t>
            </w:r>
            <w:r w:rsidR="00934039">
              <w:t>)</w:t>
            </w:r>
            <w:r w:rsidR="00934039" w:rsidRPr="003C2A11">
              <w:t>-</w:t>
            </w:r>
            <w:r w:rsidRPr="003C2A11">
              <w:t>submitted actual and estimated Load data</w:t>
            </w:r>
            <w:r>
              <w:t xml:space="preserve">. </w:t>
            </w:r>
            <w:r w:rsidRPr="003C2A11">
              <w:t xml:space="preserve"> ERCOT-estimated data will be excluded.  The most recent 30 day LRS prior to the Market Suspension event, as described in paragraph (a) above, will continue to be used to allocate Startup Costs and standby payments for RMR Units and Black Start Resources.  The resettled Market Suspension Charge to each QSE for a given Operating Day is calculated as follows: </w:t>
            </w:r>
          </w:p>
          <w:p w14:paraId="6F63206D" w14:textId="50F3210D" w:rsidR="00D60E1F" w:rsidRPr="003C2A11" w:rsidRDefault="00D60E1F" w:rsidP="00D60E1F">
            <w:pPr>
              <w:spacing w:after="240"/>
              <w:ind w:left="3060" w:hanging="2340"/>
              <w:rPr>
                <w:iCs/>
              </w:rPr>
            </w:pPr>
            <w:r w:rsidRPr="003C2A11">
              <w:rPr>
                <w:iCs/>
              </w:rPr>
              <w:t>LARTMSAMT</w:t>
            </w:r>
            <w:r w:rsidRPr="003C2A11">
              <w:rPr>
                <w:iCs/>
                <w:vertAlign w:val="subscript"/>
              </w:rPr>
              <w:t xml:space="preserve"> </w:t>
            </w:r>
            <w:r w:rsidRPr="003C2A11">
              <w:rPr>
                <w:i/>
                <w:iCs/>
                <w:vertAlign w:val="subscript"/>
              </w:rPr>
              <w:t>q</w:t>
            </w:r>
            <w:r w:rsidRPr="003C2A11">
              <w:rPr>
                <w:iCs/>
                <w:vertAlign w:val="subscript"/>
              </w:rPr>
              <w:t xml:space="preserve">            </w:t>
            </w:r>
            <w:r w:rsidRPr="003C2A11">
              <w:rPr>
                <w:iCs/>
              </w:rPr>
              <w:t>= (-1) * {(</w:t>
            </w:r>
            <w:r w:rsidR="00F617A5">
              <w:rPr>
                <w:noProof/>
                <w:position w:val="-22"/>
              </w:rPr>
              <w:drawing>
                <wp:inline distT="0" distB="0" distL="0" distR="0" wp14:anchorId="45F104B6" wp14:editId="6B37A649">
                  <wp:extent cx="142875" cy="302260"/>
                  <wp:effectExtent l="0" t="0" r="0" b="0"/>
                  <wp:docPr id="3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3C2A11">
              <w:rPr>
                <w:iCs/>
                <w:position w:val="-18"/>
              </w:rPr>
              <w:object w:dxaOrig="220" w:dyaOrig="420" w14:anchorId="4A4E9F92">
                <v:shape id="_x0000_i1027" type="#_x0000_t75" style="width:14.4pt;height:21.6pt" o:ole="">
                  <v:imagedata r:id="rId27" o:title=""/>
                </v:shape>
                <o:OLEObject Type="Embed" ProgID="Equation.3" ShapeID="_x0000_i1027" DrawAspect="Content" ObjectID="_1756887909" r:id="rId30"/>
              </w:object>
            </w:r>
            <w:r w:rsidRPr="003C2A11">
              <w:rPr>
                <w:iCs/>
              </w:rPr>
              <w:t xml:space="preserve">(MSSUC </w:t>
            </w:r>
            <w:r w:rsidRPr="003C2A11">
              <w:rPr>
                <w:i/>
                <w:iCs/>
                <w:vertAlign w:val="subscript"/>
              </w:rPr>
              <w:t>q, r, d</w:t>
            </w:r>
            <w:r w:rsidRPr="003C2A11">
              <w:rPr>
                <w:iCs/>
              </w:rPr>
              <w:t xml:space="preserve"> + MSSUCADJ</w:t>
            </w:r>
            <w:r w:rsidRPr="003C2A11">
              <w:rPr>
                <w:i/>
                <w:iCs/>
                <w:vertAlign w:val="subscript"/>
              </w:rPr>
              <w:t xml:space="preserve"> q, r, d</w:t>
            </w:r>
            <w:r w:rsidRPr="003C2A11">
              <w:rPr>
                <w:iCs/>
              </w:rPr>
              <w:t xml:space="preserve">) + </w:t>
            </w:r>
            <w:r w:rsidR="00F617A5">
              <w:rPr>
                <w:noProof/>
                <w:position w:val="-20"/>
              </w:rPr>
              <w:drawing>
                <wp:inline distT="0" distB="0" distL="0" distR="0" wp14:anchorId="454C7BA1" wp14:editId="4D38E771">
                  <wp:extent cx="142875" cy="278130"/>
                  <wp:effectExtent l="0" t="0" r="0" b="0"/>
                  <wp:docPr id="3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3C2A11">
              <w:rPr>
                <w:iCs/>
              </w:rPr>
              <w:t>RMRSBAMTTOT +</w:t>
            </w:r>
            <w:r w:rsidR="00F617A5">
              <w:rPr>
                <w:noProof/>
                <w:position w:val="-20"/>
              </w:rPr>
              <w:drawing>
                <wp:inline distT="0" distB="0" distL="0" distR="0" wp14:anchorId="222FB64B" wp14:editId="3EA802A0">
                  <wp:extent cx="142875" cy="278130"/>
                  <wp:effectExtent l="0" t="0" r="0" b="0"/>
                  <wp:docPr id="4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3C2A11">
              <w:rPr>
                <w:iCs/>
              </w:rPr>
              <w:t xml:space="preserve">BSSAMTTOT) * RTMSLRS </w:t>
            </w:r>
            <w:r w:rsidRPr="003C2A11">
              <w:rPr>
                <w:i/>
                <w:iCs/>
                <w:vertAlign w:val="subscript"/>
              </w:rPr>
              <w:t>q</w:t>
            </w:r>
            <w:r w:rsidRPr="003C2A11">
              <w:rPr>
                <w:iCs/>
              </w:rPr>
              <w:t xml:space="preserve"> + [MSMWAMTTOT</w:t>
            </w:r>
            <w:r w:rsidRPr="003C2A11">
              <w:rPr>
                <w:i/>
                <w:iCs/>
                <w:vertAlign w:val="subscript"/>
              </w:rPr>
              <w:t xml:space="preserve"> d</w:t>
            </w:r>
            <w:r w:rsidRPr="003C2A11">
              <w:rPr>
                <w:iCs/>
              </w:rPr>
              <w:t xml:space="preserve"> - </w:t>
            </w:r>
            <w:r w:rsidR="00F617A5">
              <w:rPr>
                <w:noProof/>
                <w:position w:val="-22"/>
              </w:rPr>
              <w:drawing>
                <wp:inline distT="0" distB="0" distL="0" distR="0" wp14:anchorId="1B7116D1" wp14:editId="6401C622">
                  <wp:extent cx="142875" cy="3022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3C2A11">
              <w:rPr>
                <w:iCs/>
                <w:position w:val="-18"/>
              </w:rPr>
              <w:object w:dxaOrig="220" w:dyaOrig="420" w14:anchorId="5C8512E9">
                <v:shape id="_x0000_i1028" type="#_x0000_t75" style="width:14.4pt;height:21.6pt" o:ole="">
                  <v:imagedata r:id="rId27" o:title=""/>
                </v:shape>
                <o:OLEObject Type="Embed" ProgID="Equation.3" ShapeID="_x0000_i1028" DrawAspect="Content" ObjectID="_1756887910" r:id="rId31"/>
              </w:object>
            </w:r>
            <w:r w:rsidRPr="003C2A11">
              <w:rPr>
                <w:iCs/>
              </w:rPr>
              <w:t xml:space="preserve">(MSSUC </w:t>
            </w:r>
            <w:r w:rsidRPr="003C2A11">
              <w:rPr>
                <w:i/>
                <w:iCs/>
                <w:vertAlign w:val="subscript"/>
              </w:rPr>
              <w:t>q, r, d</w:t>
            </w:r>
            <w:r w:rsidRPr="003C2A11">
              <w:rPr>
                <w:iCs/>
              </w:rPr>
              <w:t xml:space="preserve"> + MSSUCADJ</w:t>
            </w:r>
            <w:r w:rsidRPr="003C2A11">
              <w:rPr>
                <w:i/>
                <w:iCs/>
                <w:vertAlign w:val="subscript"/>
              </w:rPr>
              <w:t xml:space="preserve"> q, r, d</w:t>
            </w:r>
            <w:r w:rsidRPr="003C2A11">
              <w:rPr>
                <w:iCs/>
              </w:rPr>
              <w:t>)</w:t>
            </w:r>
            <w:r w:rsidRPr="003C2A11">
              <w:rPr>
                <w:i/>
                <w:iCs/>
                <w:vertAlign w:val="subscript"/>
              </w:rPr>
              <w:t xml:space="preserve"> </w:t>
            </w:r>
            <w:r w:rsidRPr="003C2A11">
              <w:rPr>
                <w:iCs/>
              </w:rPr>
              <w:t>+ MSEDCIMPAMTTOT</w:t>
            </w:r>
            <w:r w:rsidRPr="003C2A11">
              <w:rPr>
                <w:i/>
                <w:iCs/>
                <w:vertAlign w:val="subscript"/>
              </w:rPr>
              <w:t xml:space="preserve"> d</w:t>
            </w:r>
            <w:r w:rsidRPr="003C2A11">
              <w:rPr>
                <w:iCs/>
              </w:rPr>
              <w:t xml:space="preserve"> + MSBLTRAMTTOT</w:t>
            </w:r>
            <w:r w:rsidRPr="003C2A11">
              <w:rPr>
                <w:i/>
                <w:iCs/>
                <w:vertAlign w:val="subscript"/>
              </w:rPr>
              <w:t xml:space="preserve"> d</w:t>
            </w:r>
            <w:r w:rsidRPr="003C2A11">
              <w:rPr>
                <w:iCs/>
              </w:rPr>
              <w:t xml:space="preserve"> + </w:t>
            </w:r>
            <w:r w:rsidR="00F617A5">
              <w:rPr>
                <w:noProof/>
                <w:position w:val="-20"/>
              </w:rPr>
              <w:drawing>
                <wp:inline distT="0" distB="0" distL="0" distR="0" wp14:anchorId="78335D51" wp14:editId="08524ECA">
                  <wp:extent cx="142875" cy="278130"/>
                  <wp:effectExtent l="0" t="0" r="0" b="0"/>
                  <wp:docPr id="4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78130"/>
                          </a:xfrm>
                          <a:prstGeom prst="rect">
                            <a:avLst/>
                          </a:prstGeom>
                          <a:noFill/>
                          <a:ln>
                            <a:noFill/>
                          </a:ln>
                        </pic:spPr>
                      </pic:pic>
                    </a:graphicData>
                  </a:graphic>
                </wp:inline>
              </w:drawing>
            </w:r>
            <w:r w:rsidRPr="003C2A11">
              <w:rPr>
                <w:iCs/>
              </w:rPr>
              <w:t xml:space="preserve">RMREAMTTOT] * AMRTSLRS </w:t>
            </w:r>
            <w:r w:rsidRPr="003C2A11">
              <w:rPr>
                <w:i/>
                <w:iCs/>
                <w:vertAlign w:val="subscript"/>
              </w:rPr>
              <w:t>q, d</w:t>
            </w:r>
            <w:r w:rsidRPr="003C2A11">
              <w:rPr>
                <w:iCs/>
              </w:rPr>
              <w:t>}</w:t>
            </w:r>
          </w:p>
          <w:p w14:paraId="48DFE218" w14:textId="77777777" w:rsidR="00D60E1F" w:rsidRPr="003C2A11" w:rsidRDefault="00D60E1F" w:rsidP="00D60E1F">
            <w:pPr>
              <w:spacing w:after="240"/>
              <w:ind w:left="720"/>
              <w:rPr>
                <w:iCs/>
              </w:rPr>
            </w:pPr>
            <w:r w:rsidRPr="003C2A11">
              <w:rPr>
                <w:iCs/>
              </w:rPr>
              <w:t>Where:</w:t>
            </w:r>
          </w:p>
          <w:p w14:paraId="4FF18D28" w14:textId="52B875FD" w:rsidR="00D60E1F" w:rsidRPr="003C2A11" w:rsidRDefault="00D60E1F" w:rsidP="00D60E1F">
            <w:pPr>
              <w:spacing w:after="240"/>
              <w:ind w:left="2160" w:hanging="1440"/>
              <w:rPr>
                <w:iCs/>
              </w:rPr>
            </w:pPr>
            <w:r w:rsidRPr="003C2A11">
              <w:rPr>
                <w:iCs/>
              </w:rPr>
              <w:t xml:space="preserve">AMRTSLRS </w:t>
            </w:r>
            <w:r w:rsidRPr="003C2A11">
              <w:rPr>
                <w:i/>
                <w:iCs/>
                <w:vertAlign w:val="subscript"/>
              </w:rPr>
              <w:t>q, d</w:t>
            </w:r>
            <w:r w:rsidRPr="003C2A11">
              <w:rPr>
                <w:iCs/>
                <w:vertAlign w:val="subscript"/>
              </w:rPr>
              <w:tab/>
            </w:r>
            <w:r w:rsidRPr="003C2A11">
              <w:rPr>
                <w:iCs/>
              </w:rPr>
              <w:t>= Max(0, AMRTAML</w:t>
            </w:r>
            <w:r w:rsidRPr="003C2A11">
              <w:rPr>
                <w:i/>
                <w:iCs/>
                <w:vertAlign w:val="subscript"/>
              </w:rPr>
              <w:t xml:space="preserve"> q, d</w:t>
            </w:r>
            <w:r>
              <w:rPr>
                <w:iCs/>
              </w:rPr>
              <w:t xml:space="preserve"> – A</w:t>
            </w:r>
            <w:r w:rsidRPr="002855C3">
              <w:rPr>
                <w:iCs/>
              </w:rPr>
              <w:t>MRTA</w:t>
            </w:r>
            <w:r>
              <w:rPr>
                <w:iCs/>
              </w:rPr>
              <w:t>ESR</w:t>
            </w:r>
            <w:r w:rsidRPr="002855C3">
              <w:rPr>
                <w:iCs/>
              </w:rPr>
              <w:t>ML</w:t>
            </w:r>
            <w:r w:rsidRPr="002855C3">
              <w:rPr>
                <w:i/>
                <w:iCs/>
                <w:vertAlign w:val="subscript"/>
              </w:rPr>
              <w:t xml:space="preserve"> q, d</w:t>
            </w:r>
            <w:r w:rsidRPr="003C2A11">
              <w:rPr>
                <w:iCs/>
              </w:rPr>
              <w:t xml:space="preserve">) / </w:t>
            </w:r>
            <w:r w:rsidR="00F617A5">
              <w:rPr>
                <w:noProof/>
                <w:position w:val="-22"/>
              </w:rPr>
              <w:drawing>
                <wp:inline distT="0" distB="0" distL="0" distR="0" wp14:anchorId="658FE31C" wp14:editId="003A2C0C">
                  <wp:extent cx="142875" cy="302260"/>
                  <wp:effectExtent l="0" t="0" r="0" b="0"/>
                  <wp:docPr id="4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302260"/>
                          </a:xfrm>
                          <a:prstGeom prst="rect">
                            <a:avLst/>
                          </a:prstGeom>
                          <a:noFill/>
                          <a:ln>
                            <a:noFill/>
                          </a:ln>
                        </pic:spPr>
                      </pic:pic>
                    </a:graphicData>
                  </a:graphic>
                </wp:inline>
              </w:drawing>
            </w:r>
            <w:r w:rsidRPr="003C2A11">
              <w:rPr>
                <w:iCs/>
              </w:rPr>
              <w:t>Max(0, AMRTAML</w:t>
            </w:r>
            <w:r w:rsidRPr="003C2A11">
              <w:rPr>
                <w:i/>
                <w:iCs/>
                <w:vertAlign w:val="subscript"/>
              </w:rPr>
              <w:t xml:space="preserve"> q, d</w:t>
            </w:r>
            <w:r>
              <w:rPr>
                <w:iCs/>
              </w:rPr>
              <w:t xml:space="preserve"> – A</w:t>
            </w:r>
            <w:r w:rsidRPr="002855C3">
              <w:rPr>
                <w:iCs/>
              </w:rPr>
              <w:t>MRTA</w:t>
            </w:r>
            <w:r>
              <w:rPr>
                <w:iCs/>
              </w:rPr>
              <w:t>ESR</w:t>
            </w:r>
            <w:r w:rsidRPr="002855C3">
              <w:rPr>
                <w:iCs/>
              </w:rPr>
              <w:t>ML</w:t>
            </w:r>
            <w:r w:rsidRPr="002855C3">
              <w:rPr>
                <w:i/>
                <w:iCs/>
                <w:vertAlign w:val="subscript"/>
              </w:rPr>
              <w:t xml:space="preserve"> q, d</w:t>
            </w:r>
            <w:r w:rsidRPr="003C2A11">
              <w:rPr>
                <w:iCs/>
              </w:rPr>
              <w:t>)</w:t>
            </w:r>
          </w:p>
          <w:p w14:paraId="00C11A97" w14:textId="77777777" w:rsidR="00D60E1F" w:rsidRPr="003C2A11" w:rsidRDefault="00D60E1F" w:rsidP="00D60E1F">
            <w:pPr>
              <w:rPr>
                <w:iCs/>
              </w:rPr>
            </w:pPr>
            <w:r w:rsidRPr="003C2A11">
              <w:rPr>
                <w:iCs/>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790"/>
              <w:gridCol w:w="5792"/>
            </w:tblGrid>
            <w:tr w:rsidR="00921E0D" w:rsidRPr="003C2A11" w14:paraId="60516CD4" w14:textId="77777777" w:rsidTr="00253557">
              <w:trPr>
                <w:cantSplit/>
                <w:tblHeader/>
              </w:trPr>
              <w:tc>
                <w:tcPr>
                  <w:tcW w:w="1393" w:type="pct"/>
                  <w:tcBorders>
                    <w:top w:val="single" w:sz="4" w:space="0" w:color="auto"/>
                    <w:left w:val="single" w:sz="4" w:space="0" w:color="auto"/>
                    <w:bottom w:val="single" w:sz="4" w:space="0" w:color="auto"/>
                    <w:right w:val="single" w:sz="4" w:space="0" w:color="auto"/>
                  </w:tcBorders>
                  <w:hideMark/>
                </w:tcPr>
                <w:p w14:paraId="0B25CB48" w14:textId="77777777" w:rsidR="00921E0D" w:rsidRPr="003C2A11" w:rsidRDefault="00921E0D" w:rsidP="00921E0D">
                  <w:pPr>
                    <w:spacing w:after="240"/>
                    <w:rPr>
                      <w:b/>
                      <w:iCs/>
                      <w:sz w:val="20"/>
                    </w:rPr>
                  </w:pPr>
                  <w:r w:rsidRPr="003C2A11">
                    <w:rPr>
                      <w:b/>
                      <w:iCs/>
                      <w:sz w:val="20"/>
                    </w:rPr>
                    <w:t>Variable</w:t>
                  </w:r>
                </w:p>
              </w:tc>
              <w:tc>
                <w:tcPr>
                  <w:tcW w:w="433" w:type="pct"/>
                  <w:tcBorders>
                    <w:top w:val="single" w:sz="4" w:space="0" w:color="auto"/>
                    <w:left w:val="single" w:sz="4" w:space="0" w:color="auto"/>
                    <w:bottom w:val="single" w:sz="4" w:space="0" w:color="auto"/>
                    <w:right w:val="single" w:sz="4" w:space="0" w:color="auto"/>
                  </w:tcBorders>
                  <w:hideMark/>
                </w:tcPr>
                <w:p w14:paraId="43F43404" w14:textId="77777777" w:rsidR="00921E0D" w:rsidRPr="003C2A11" w:rsidRDefault="00921E0D" w:rsidP="00921E0D">
                  <w:pPr>
                    <w:spacing w:after="240"/>
                    <w:rPr>
                      <w:b/>
                      <w:iCs/>
                      <w:sz w:val="20"/>
                    </w:rPr>
                  </w:pPr>
                  <w:r w:rsidRPr="003C2A11">
                    <w:rPr>
                      <w:b/>
                      <w:iCs/>
                      <w:sz w:val="20"/>
                    </w:rPr>
                    <w:t>Unit</w:t>
                  </w:r>
                </w:p>
              </w:tc>
              <w:tc>
                <w:tcPr>
                  <w:tcW w:w="3174" w:type="pct"/>
                  <w:tcBorders>
                    <w:top w:val="single" w:sz="4" w:space="0" w:color="auto"/>
                    <w:left w:val="single" w:sz="4" w:space="0" w:color="auto"/>
                    <w:bottom w:val="single" w:sz="4" w:space="0" w:color="auto"/>
                    <w:right w:val="single" w:sz="4" w:space="0" w:color="auto"/>
                  </w:tcBorders>
                  <w:hideMark/>
                </w:tcPr>
                <w:p w14:paraId="0A7C5EE7" w14:textId="77777777" w:rsidR="00921E0D" w:rsidRPr="003C2A11" w:rsidRDefault="00921E0D" w:rsidP="00921E0D">
                  <w:pPr>
                    <w:spacing w:after="240"/>
                    <w:rPr>
                      <w:b/>
                      <w:iCs/>
                      <w:sz w:val="20"/>
                    </w:rPr>
                  </w:pPr>
                  <w:r w:rsidRPr="003C2A11">
                    <w:rPr>
                      <w:b/>
                      <w:iCs/>
                      <w:sz w:val="20"/>
                    </w:rPr>
                    <w:t>Definition</w:t>
                  </w:r>
                </w:p>
              </w:tc>
            </w:tr>
            <w:tr w:rsidR="00921E0D" w:rsidRPr="003C2A11" w14:paraId="7A69CC33"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2EC8E199" w14:textId="77777777" w:rsidR="00921E0D" w:rsidRPr="003C2A11" w:rsidRDefault="00921E0D" w:rsidP="00921E0D">
                  <w:pPr>
                    <w:spacing w:after="60"/>
                    <w:rPr>
                      <w:iCs/>
                      <w:sz w:val="20"/>
                    </w:rPr>
                  </w:pPr>
                  <w:r w:rsidRPr="003C2A11">
                    <w:rPr>
                      <w:iCs/>
                      <w:sz w:val="20"/>
                    </w:rPr>
                    <w:t>LARTMSAMT</w:t>
                  </w:r>
                  <w:r w:rsidRPr="003C2A11">
                    <w:rPr>
                      <w:iCs/>
                      <w:sz w:val="20"/>
                      <w:vertAlign w:val="subscript"/>
                    </w:rPr>
                    <w:t xml:space="preserve"> </w:t>
                  </w:r>
                  <w:r w:rsidRPr="003C2A11">
                    <w:rPr>
                      <w:i/>
                      <w:iCs/>
                      <w:sz w:val="20"/>
                      <w:vertAlign w:val="subscript"/>
                    </w:rPr>
                    <w:t>q</w:t>
                  </w:r>
                </w:p>
              </w:tc>
              <w:tc>
                <w:tcPr>
                  <w:tcW w:w="433" w:type="pct"/>
                  <w:tcBorders>
                    <w:top w:val="single" w:sz="4" w:space="0" w:color="auto"/>
                    <w:left w:val="single" w:sz="4" w:space="0" w:color="auto"/>
                    <w:bottom w:val="single" w:sz="4" w:space="0" w:color="auto"/>
                    <w:right w:val="single" w:sz="4" w:space="0" w:color="auto"/>
                  </w:tcBorders>
                </w:tcPr>
                <w:p w14:paraId="6B838997"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30424BFC" w14:textId="77777777" w:rsidR="00921E0D" w:rsidRPr="003C2A11" w:rsidRDefault="00921E0D" w:rsidP="00921E0D">
                  <w:pPr>
                    <w:spacing w:after="60"/>
                    <w:rPr>
                      <w:i/>
                      <w:iCs/>
                      <w:sz w:val="20"/>
                    </w:rPr>
                  </w:pPr>
                  <w:r w:rsidRPr="003C2A11">
                    <w:rPr>
                      <w:i/>
                      <w:iCs/>
                      <w:sz w:val="20"/>
                    </w:rPr>
                    <w:t>Load Allocated Real-Time Market Suspension Charge</w:t>
                  </w:r>
                  <w:r w:rsidRPr="003C2A11">
                    <w:rPr>
                      <w:i/>
                      <w:sz w:val="20"/>
                    </w:rPr>
                    <w:t xml:space="preserve"> – </w:t>
                  </w:r>
                  <w:r w:rsidRPr="003C2A11">
                    <w:rPr>
                      <w:iCs/>
                      <w:sz w:val="20"/>
                    </w:rPr>
                    <w:t xml:space="preserve">The allocated charge to QSE </w:t>
                  </w:r>
                  <w:r w:rsidRPr="003C2A11">
                    <w:rPr>
                      <w:i/>
                      <w:iCs/>
                      <w:sz w:val="20"/>
                    </w:rPr>
                    <w:t>q</w:t>
                  </w:r>
                  <w:r w:rsidRPr="003C2A11">
                    <w:rPr>
                      <w:iCs/>
                      <w:sz w:val="20"/>
                    </w:rPr>
                    <w:t xml:space="preserve"> for Market Suspension activities for the Operating Day.</w:t>
                  </w:r>
                </w:p>
              </w:tc>
            </w:tr>
            <w:tr w:rsidR="00921E0D" w:rsidRPr="003C2A11" w14:paraId="73242CBF"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47CBAF92" w14:textId="77777777" w:rsidR="00921E0D" w:rsidRPr="003C2A11" w:rsidRDefault="00921E0D" w:rsidP="00921E0D">
                  <w:pPr>
                    <w:spacing w:after="60"/>
                    <w:rPr>
                      <w:iCs/>
                      <w:sz w:val="20"/>
                    </w:rPr>
                  </w:pPr>
                  <w:r w:rsidRPr="003C2A11">
                    <w:rPr>
                      <w:sz w:val="20"/>
                    </w:rPr>
                    <w:t xml:space="preserve">MSSUC </w:t>
                  </w:r>
                  <w:r w:rsidRPr="003C2A11">
                    <w:rPr>
                      <w:i/>
                      <w:sz w:val="20"/>
                      <w:vertAlign w:val="subscript"/>
                    </w:rPr>
                    <w:t>q, r, d</w:t>
                  </w:r>
                  <w:r w:rsidRPr="003C2A11">
                    <w:rPr>
                      <w:sz w:val="20"/>
                    </w:rPr>
                    <w:t xml:space="preserve">    </w:t>
                  </w:r>
                </w:p>
              </w:tc>
              <w:tc>
                <w:tcPr>
                  <w:tcW w:w="433" w:type="pct"/>
                  <w:tcBorders>
                    <w:top w:val="single" w:sz="4" w:space="0" w:color="auto"/>
                    <w:left w:val="single" w:sz="4" w:space="0" w:color="auto"/>
                    <w:bottom w:val="single" w:sz="4" w:space="0" w:color="auto"/>
                    <w:right w:val="single" w:sz="4" w:space="0" w:color="auto"/>
                  </w:tcBorders>
                </w:tcPr>
                <w:p w14:paraId="6C1B555E" w14:textId="77777777" w:rsidR="00921E0D" w:rsidRPr="003C2A11" w:rsidRDefault="00921E0D" w:rsidP="00921E0D">
                  <w:pPr>
                    <w:spacing w:after="60"/>
                    <w:rPr>
                      <w:iCs/>
                      <w:sz w:val="20"/>
                    </w:rPr>
                  </w:pPr>
                  <w:r w:rsidRPr="003C2A11">
                    <w:rPr>
                      <w:sz w:val="20"/>
                    </w:rPr>
                    <w:t>$</w:t>
                  </w:r>
                </w:p>
              </w:tc>
              <w:tc>
                <w:tcPr>
                  <w:tcW w:w="3174" w:type="pct"/>
                  <w:tcBorders>
                    <w:top w:val="single" w:sz="4" w:space="0" w:color="auto"/>
                    <w:left w:val="single" w:sz="4" w:space="0" w:color="auto"/>
                    <w:bottom w:val="single" w:sz="4" w:space="0" w:color="auto"/>
                    <w:right w:val="single" w:sz="4" w:space="0" w:color="auto"/>
                  </w:tcBorders>
                </w:tcPr>
                <w:p w14:paraId="6FA6F57A" w14:textId="77777777" w:rsidR="00921E0D" w:rsidRPr="003C2A11" w:rsidRDefault="00921E0D" w:rsidP="00921E0D">
                  <w:pPr>
                    <w:spacing w:after="60"/>
                    <w:rPr>
                      <w:i/>
                      <w:sz w:val="20"/>
                    </w:rPr>
                  </w:pPr>
                  <w:r w:rsidRPr="003C2A11">
                    <w:rPr>
                      <w:i/>
                      <w:sz w:val="20"/>
                    </w:rPr>
                    <w:t xml:space="preserve">Market Suspension Startup Cost – </w:t>
                  </w:r>
                  <w:r w:rsidRPr="003C2A11">
                    <w:rPr>
                      <w:sz w:val="20"/>
                    </w:rPr>
                    <w:t xml:space="preserve">The Startup Costs for Resource </w:t>
                  </w:r>
                  <w:r w:rsidRPr="003C2A11">
                    <w:rPr>
                      <w:i/>
                      <w:sz w:val="20"/>
                    </w:rPr>
                    <w:t xml:space="preserve">r </w:t>
                  </w:r>
                  <w:r w:rsidRPr="003C2A11">
                    <w:rPr>
                      <w:sz w:val="20"/>
                    </w:rPr>
                    <w:t>represented by QSE</w:t>
                  </w:r>
                  <w:r w:rsidRPr="003C2A11">
                    <w:rPr>
                      <w:i/>
                      <w:sz w:val="20"/>
                    </w:rPr>
                    <w:t xml:space="preserve"> q </w:t>
                  </w:r>
                  <w:r w:rsidRPr="003C2A11">
                    <w:rPr>
                      <w:sz w:val="20"/>
                    </w:rPr>
                    <w:t xml:space="preserve">during restart hours, for the Operating Day </w:t>
                  </w:r>
                  <w:r w:rsidRPr="003C2A11">
                    <w:rPr>
                      <w:i/>
                      <w:sz w:val="20"/>
                    </w:rPr>
                    <w:t>d</w:t>
                  </w:r>
                  <w:r w:rsidRPr="003C2A11">
                    <w:rPr>
                      <w:sz w:val="20"/>
                    </w:rPr>
                    <w:t xml:space="preserve">.  Where for a Combined Cycle Train, the Resource </w:t>
                  </w:r>
                  <w:r w:rsidRPr="003C2A11">
                    <w:rPr>
                      <w:i/>
                      <w:sz w:val="20"/>
                    </w:rPr>
                    <w:t xml:space="preserve">r </w:t>
                  </w:r>
                  <w:r w:rsidRPr="003C2A11">
                    <w:rPr>
                      <w:sz w:val="20"/>
                    </w:rPr>
                    <w:t>is the Combined Cycle Train.</w:t>
                  </w:r>
                </w:p>
              </w:tc>
            </w:tr>
            <w:tr w:rsidR="00921E0D" w:rsidRPr="003C2A11" w14:paraId="3E98EB7F"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4DD59D16" w14:textId="77777777" w:rsidR="00921E0D" w:rsidRPr="003C2A11" w:rsidRDefault="00921E0D" w:rsidP="00921E0D">
                  <w:pPr>
                    <w:spacing w:after="60"/>
                    <w:rPr>
                      <w:iCs/>
                      <w:sz w:val="20"/>
                    </w:rPr>
                  </w:pPr>
                  <w:r w:rsidRPr="003C2A11">
                    <w:rPr>
                      <w:iCs/>
                      <w:sz w:val="20"/>
                    </w:rPr>
                    <w:t>MSEDCIMPAMTTOT</w:t>
                  </w:r>
                  <w:r w:rsidRPr="003C2A11">
                    <w:rPr>
                      <w:i/>
                      <w:iCs/>
                      <w:sz w:val="20"/>
                      <w:vertAlign w:val="subscript"/>
                    </w:rPr>
                    <w:t xml:space="preserve"> d</w:t>
                  </w:r>
                  <w:r w:rsidRPr="003C2A11">
                    <w:rPr>
                      <w:iCs/>
                      <w:sz w:val="20"/>
                    </w:rPr>
                    <w:t xml:space="preserve">  </w:t>
                  </w:r>
                </w:p>
              </w:tc>
              <w:tc>
                <w:tcPr>
                  <w:tcW w:w="433" w:type="pct"/>
                  <w:tcBorders>
                    <w:top w:val="single" w:sz="4" w:space="0" w:color="auto"/>
                    <w:left w:val="single" w:sz="4" w:space="0" w:color="auto"/>
                    <w:bottom w:val="single" w:sz="4" w:space="0" w:color="auto"/>
                    <w:right w:val="single" w:sz="4" w:space="0" w:color="auto"/>
                  </w:tcBorders>
                </w:tcPr>
                <w:p w14:paraId="16F83F05"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4C96571E" w14:textId="77777777" w:rsidR="00921E0D" w:rsidRPr="003C2A11" w:rsidRDefault="00921E0D" w:rsidP="00921E0D">
                  <w:pPr>
                    <w:spacing w:after="60"/>
                    <w:rPr>
                      <w:i/>
                      <w:iCs/>
                      <w:sz w:val="20"/>
                    </w:rPr>
                  </w:pPr>
                  <w:r w:rsidRPr="003C2A11">
                    <w:rPr>
                      <w:i/>
                      <w:sz w:val="20"/>
                    </w:rPr>
                    <w:t xml:space="preserve">Market Suspension Emergency DC Import Amount Total – </w:t>
                  </w:r>
                  <w:r w:rsidRPr="003C2A11">
                    <w:rPr>
                      <w:sz w:val="20"/>
                    </w:rPr>
                    <w:t xml:space="preserve">The total Market Suspension Emergency DC Import Amount charges for all QSEs for the Operating Day </w:t>
                  </w:r>
                  <w:r w:rsidRPr="003C2A11">
                    <w:rPr>
                      <w:i/>
                      <w:sz w:val="20"/>
                    </w:rPr>
                    <w:t>d</w:t>
                  </w:r>
                  <w:r w:rsidRPr="003C2A11">
                    <w:rPr>
                      <w:sz w:val="20"/>
                    </w:rPr>
                    <w:t>.</w:t>
                  </w:r>
                </w:p>
              </w:tc>
            </w:tr>
            <w:tr w:rsidR="00921E0D" w:rsidRPr="003C2A11" w14:paraId="7A47CC68"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0B8F3990" w14:textId="77777777" w:rsidR="00921E0D" w:rsidRPr="003C2A11" w:rsidRDefault="00921E0D" w:rsidP="00921E0D">
                  <w:pPr>
                    <w:spacing w:after="60"/>
                    <w:rPr>
                      <w:iCs/>
                      <w:sz w:val="20"/>
                    </w:rPr>
                  </w:pPr>
                  <w:r w:rsidRPr="003C2A11">
                    <w:rPr>
                      <w:iCs/>
                      <w:sz w:val="20"/>
                    </w:rPr>
                    <w:t>MSMWAMTTOT</w:t>
                  </w:r>
                  <w:r w:rsidRPr="003C2A11">
                    <w:rPr>
                      <w:i/>
                      <w:iCs/>
                      <w:sz w:val="20"/>
                      <w:vertAlign w:val="subscript"/>
                    </w:rPr>
                    <w:t xml:space="preserve"> d</w:t>
                  </w:r>
                  <w:r w:rsidRPr="003C2A11">
                    <w:rPr>
                      <w:iCs/>
                      <w:sz w:val="20"/>
                    </w:rPr>
                    <w:t xml:space="preserve"> </w:t>
                  </w:r>
                </w:p>
              </w:tc>
              <w:tc>
                <w:tcPr>
                  <w:tcW w:w="433" w:type="pct"/>
                  <w:tcBorders>
                    <w:top w:val="single" w:sz="4" w:space="0" w:color="auto"/>
                    <w:left w:val="single" w:sz="4" w:space="0" w:color="auto"/>
                    <w:bottom w:val="single" w:sz="4" w:space="0" w:color="auto"/>
                    <w:right w:val="single" w:sz="4" w:space="0" w:color="auto"/>
                  </w:tcBorders>
                </w:tcPr>
                <w:p w14:paraId="109FF54C"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63922FFC" w14:textId="77777777" w:rsidR="00921E0D" w:rsidRPr="003C2A11" w:rsidRDefault="00921E0D" w:rsidP="00921E0D">
                  <w:pPr>
                    <w:spacing w:after="60"/>
                    <w:rPr>
                      <w:i/>
                      <w:iCs/>
                      <w:sz w:val="20"/>
                    </w:rPr>
                  </w:pPr>
                  <w:r w:rsidRPr="003C2A11">
                    <w:rPr>
                      <w:i/>
                      <w:iCs/>
                      <w:sz w:val="20"/>
                    </w:rPr>
                    <w:t>Market Suspension Make-Whole Payment Total</w:t>
                  </w:r>
                  <w:r w:rsidRPr="003C2A11">
                    <w:rPr>
                      <w:i/>
                      <w:sz w:val="20"/>
                    </w:rPr>
                    <w:t xml:space="preserve"> – </w:t>
                  </w:r>
                  <w:r w:rsidRPr="003C2A11">
                    <w:rPr>
                      <w:iCs/>
                      <w:sz w:val="20"/>
                    </w:rPr>
                    <w:t>The total payment to all QSEs for Market Suspension</w:t>
                  </w:r>
                  <w:r w:rsidRPr="003C2A11">
                    <w:rPr>
                      <w:i/>
                      <w:iCs/>
                      <w:sz w:val="20"/>
                    </w:rPr>
                    <w:t xml:space="preserve"> </w:t>
                  </w:r>
                  <w:r w:rsidRPr="003C2A11">
                    <w:rPr>
                      <w:sz w:val="20"/>
                    </w:rPr>
                    <w:t xml:space="preserve">Make-Whole Payments </w:t>
                  </w:r>
                  <w:r w:rsidRPr="003C2A11">
                    <w:rPr>
                      <w:iCs/>
                      <w:sz w:val="20"/>
                    </w:rPr>
                    <w:t xml:space="preserve">for the Operating Day.  </w:t>
                  </w:r>
                </w:p>
              </w:tc>
            </w:tr>
            <w:tr w:rsidR="00921E0D" w:rsidRPr="003C2A11" w14:paraId="01ADC888"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2F79A745" w14:textId="77777777" w:rsidR="00921E0D" w:rsidRPr="003C2A11" w:rsidRDefault="00921E0D" w:rsidP="00921E0D">
                  <w:pPr>
                    <w:spacing w:after="60"/>
                    <w:rPr>
                      <w:iCs/>
                      <w:sz w:val="20"/>
                    </w:rPr>
                  </w:pPr>
                  <w:r w:rsidRPr="003C2A11">
                    <w:rPr>
                      <w:iCs/>
                      <w:sz w:val="20"/>
                    </w:rPr>
                    <w:t>MSBLTRAMTTOT</w:t>
                  </w:r>
                  <w:r w:rsidRPr="003C2A11">
                    <w:rPr>
                      <w:i/>
                      <w:iCs/>
                      <w:sz w:val="20"/>
                      <w:vertAlign w:val="subscript"/>
                    </w:rPr>
                    <w:t xml:space="preserve"> d</w:t>
                  </w:r>
                </w:p>
              </w:tc>
              <w:tc>
                <w:tcPr>
                  <w:tcW w:w="433" w:type="pct"/>
                  <w:tcBorders>
                    <w:top w:val="single" w:sz="4" w:space="0" w:color="auto"/>
                    <w:left w:val="single" w:sz="4" w:space="0" w:color="auto"/>
                    <w:bottom w:val="single" w:sz="4" w:space="0" w:color="auto"/>
                    <w:right w:val="single" w:sz="4" w:space="0" w:color="auto"/>
                  </w:tcBorders>
                </w:tcPr>
                <w:p w14:paraId="6912D4B6"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1277315F" w14:textId="77777777" w:rsidR="00921E0D" w:rsidRPr="003C2A11" w:rsidRDefault="00921E0D" w:rsidP="00921E0D">
                  <w:pPr>
                    <w:spacing w:after="60"/>
                    <w:rPr>
                      <w:i/>
                      <w:iCs/>
                      <w:sz w:val="20"/>
                    </w:rPr>
                  </w:pPr>
                  <w:r w:rsidRPr="003C2A11">
                    <w:rPr>
                      <w:i/>
                      <w:iCs/>
                      <w:sz w:val="20"/>
                    </w:rPr>
                    <w:t xml:space="preserve">Market Suspension Block Load Transfer Amount Total – </w:t>
                  </w:r>
                  <w:r w:rsidRPr="003C2A11">
                    <w:rPr>
                      <w:iCs/>
                      <w:sz w:val="20"/>
                    </w:rPr>
                    <w:t>The total Market Suspension Block Load Transfer Amount for all QSEs</w:t>
                  </w:r>
                  <w:r w:rsidRPr="003C2A11">
                    <w:rPr>
                      <w:sz w:val="20"/>
                    </w:rPr>
                    <w:t xml:space="preserve"> for the Operating Day </w:t>
                  </w:r>
                  <w:r w:rsidRPr="003C2A11">
                    <w:rPr>
                      <w:i/>
                      <w:sz w:val="20"/>
                    </w:rPr>
                    <w:t>d</w:t>
                  </w:r>
                  <w:r w:rsidRPr="003C2A11">
                    <w:rPr>
                      <w:iCs/>
                      <w:sz w:val="20"/>
                    </w:rPr>
                    <w:t>.</w:t>
                  </w:r>
                </w:p>
              </w:tc>
            </w:tr>
            <w:tr w:rsidR="00921E0D" w:rsidRPr="003C2A11" w14:paraId="3C893D5E"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02F2B3AB" w14:textId="77777777" w:rsidR="00921E0D" w:rsidRPr="003C2A11" w:rsidRDefault="00921E0D" w:rsidP="00921E0D">
                  <w:pPr>
                    <w:spacing w:after="60"/>
                    <w:rPr>
                      <w:iCs/>
                      <w:sz w:val="20"/>
                    </w:rPr>
                  </w:pPr>
                  <w:r w:rsidRPr="003C2A11">
                    <w:rPr>
                      <w:iCs/>
                      <w:sz w:val="20"/>
                    </w:rPr>
                    <w:t>BSSAMTTOT</w:t>
                  </w:r>
                </w:p>
              </w:tc>
              <w:tc>
                <w:tcPr>
                  <w:tcW w:w="433" w:type="pct"/>
                  <w:tcBorders>
                    <w:top w:val="single" w:sz="4" w:space="0" w:color="auto"/>
                    <w:left w:val="single" w:sz="4" w:space="0" w:color="auto"/>
                    <w:bottom w:val="single" w:sz="4" w:space="0" w:color="auto"/>
                    <w:right w:val="single" w:sz="4" w:space="0" w:color="auto"/>
                  </w:tcBorders>
                </w:tcPr>
                <w:p w14:paraId="33E36BAF"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36A6EAC4" w14:textId="77777777" w:rsidR="00921E0D" w:rsidRPr="003C2A11" w:rsidRDefault="00921E0D" w:rsidP="00921E0D">
                  <w:pPr>
                    <w:spacing w:after="60"/>
                    <w:rPr>
                      <w:i/>
                      <w:iCs/>
                      <w:sz w:val="20"/>
                    </w:rPr>
                  </w:pPr>
                  <w:r w:rsidRPr="003C2A11">
                    <w:rPr>
                      <w:i/>
                      <w:iCs/>
                      <w:sz w:val="20"/>
                    </w:rPr>
                    <w:t xml:space="preserve">Black Start Service Amount QSE Total ERCOT-Wide – </w:t>
                  </w:r>
                  <w:r w:rsidRPr="003C2A11">
                    <w:rPr>
                      <w:iCs/>
                      <w:sz w:val="20"/>
                    </w:rPr>
                    <w:t xml:space="preserve">The total of the payments to QSE </w:t>
                  </w:r>
                  <w:r w:rsidRPr="003C2A11">
                    <w:rPr>
                      <w:i/>
                      <w:iCs/>
                      <w:sz w:val="20"/>
                    </w:rPr>
                    <w:t>q</w:t>
                  </w:r>
                  <w:r w:rsidRPr="003C2A11">
                    <w:rPr>
                      <w:iCs/>
                      <w:sz w:val="20"/>
                    </w:rPr>
                    <w:t xml:space="preserve"> for BSS provided by all the BSS Resource represented by this QSE for the hour.</w:t>
                  </w:r>
                </w:p>
              </w:tc>
            </w:tr>
            <w:tr w:rsidR="00921E0D" w:rsidRPr="003C2A11" w14:paraId="7F79041D"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780402A8" w14:textId="77777777" w:rsidR="00921E0D" w:rsidRPr="003C2A11" w:rsidRDefault="00921E0D" w:rsidP="00921E0D">
                  <w:pPr>
                    <w:spacing w:after="60"/>
                    <w:rPr>
                      <w:iCs/>
                      <w:sz w:val="20"/>
                    </w:rPr>
                  </w:pPr>
                  <w:r w:rsidRPr="003C2A11">
                    <w:rPr>
                      <w:iCs/>
                      <w:sz w:val="20"/>
                    </w:rPr>
                    <w:lastRenderedPageBreak/>
                    <w:t>RMREAMTTOT</w:t>
                  </w:r>
                </w:p>
              </w:tc>
              <w:tc>
                <w:tcPr>
                  <w:tcW w:w="433" w:type="pct"/>
                  <w:tcBorders>
                    <w:top w:val="single" w:sz="4" w:space="0" w:color="auto"/>
                    <w:left w:val="single" w:sz="4" w:space="0" w:color="auto"/>
                    <w:bottom w:val="single" w:sz="4" w:space="0" w:color="auto"/>
                    <w:right w:val="single" w:sz="4" w:space="0" w:color="auto"/>
                  </w:tcBorders>
                </w:tcPr>
                <w:p w14:paraId="4CE6DA1F"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4F4AB11A" w14:textId="77777777" w:rsidR="00921E0D" w:rsidRPr="003C2A11" w:rsidRDefault="00921E0D" w:rsidP="00921E0D">
                  <w:pPr>
                    <w:spacing w:after="60"/>
                    <w:rPr>
                      <w:i/>
                      <w:iCs/>
                      <w:sz w:val="20"/>
                    </w:rPr>
                  </w:pPr>
                  <w:r w:rsidRPr="003C2A11">
                    <w:rPr>
                      <w:i/>
                      <w:iCs/>
                      <w:sz w:val="20"/>
                    </w:rPr>
                    <w:t xml:space="preserve">RMR Energy Amount Total – </w:t>
                  </w:r>
                  <w:r w:rsidRPr="003C2A11">
                    <w:rPr>
                      <w:iCs/>
                      <w:sz w:val="20"/>
                    </w:rPr>
                    <w:t>The total of the energy cost payments to all QSEs for all RMR Units, for the hour.</w:t>
                  </w:r>
                </w:p>
              </w:tc>
            </w:tr>
            <w:tr w:rsidR="00921E0D" w:rsidRPr="003C2A11" w14:paraId="07836BF8"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609FCC49" w14:textId="77777777" w:rsidR="00921E0D" w:rsidRPr="003C2A11" w:rsidRDefault="00921E0D" w:rsidP="00921E0D">
                  <w:pPr>
                    <w:spacing w:after="60"/>
                    <w:rPr>
                      <w:iCs/>
                      <w:sz w:val="20"/>
                    </w:rPr>
                  </w:pPr>
                  <w:r w:rsidRPr="003C2A11">
                    <w:rPr>
                      <w:iCs/>
                      <w:sz w:val="20"/>
                    </w:rPr>
                    <w:t>RMRSBAMTTOT</w:t>
                  </w:r>
                </w:p>
              </w:tc>
              <w:tc>
                <w:tcPr>
                  <w:tcW w:w="433" w:type="pct"/>
                  <w:tcBorders>
                    <w:top w:val="single" w:sz="4" w:space="0" w:color="auto"/>
                    <w:left w:val="single" w:sz="4" w:space="0" w:color="auto"/>
                    <w:bottom w:val="single" w:sz="4" w:space="0" w:color="auto"/>
                    <w:right w:val="single" w:sz="4" w:space="0" w:color="auto"/>
                  </w:tcBorders>
                </w:tcPr>
                <w:p w14:paraId="6D6D012E" w14:textId="77777777" w:rsidR="00921E0D" w:rsidRPr="003C2A11" w:rsidRDefault="00921E0D" w:rsidP="00921E0D">
                  <w:pPr>
                    <w:spacing w:after="60"/>
                    <w:rPr>
                      <w:iCs/>
                      <w:sz w:val="20"/>
                    </w:rPr>
                  </w:pPr>
                  <w:r w:rsidRPr="003C2A11">
                    <w:rPr>
                      <w:iCs/>
                      <w:sz w:val="20"/>
                    </w:rPr>
                    <w:t>$</w:t>
                  </w:r>
                </w:p>
              </w:tc>
              <w:tc>
                <w:tcPr>
                  <w:tcW w:w="3174" w:type="pct"/>
                  <w:tcBorders>
                    <w:top w:val="single" w:sz="4" w:space="0" w:color="auto"/>
                    <w:left w:val="single" w:sz="4" w:space="0" w:color="auto"/>
                    <w:bottom w:val="single" w:sz="4" w:space="0" w:color="auto"/>
                    <w:right w:val="single" w:sz="4" w:space="0" w:color="auto"/>
                  </w:tcBorders>
                </w:tcPr>
                <w:p w14:paraId="09D33ACC" w14:textId="77777777" w:rsidR="00921E0D" w:rsidRPr="003C2A11" w:rsidRDefault="00921E0D" w:rsidP="00921E0D">
                  <w:pPr>
                    <w:spacing w:after="60"/>
                    <w:rPr>
                      <w:i/>
                      <w:iCs/>
                      <w:sz w:val="20"/>
                    </w:rPr>
                  </w:pPr>
                  <w:r w:rsidRPr="003C2A11">
                    <w:rPr>
                      <w:i/>
                      <w:iCs/>
                      <w:sz w:val="20"/>
                    </w:rPr>
                    <w:t xml:space="preserve">RMR Standby Amount Total – </w:t>
                  </w:r>
                  <w:r w:rsidRPr="003C2A11">
                    <w:rPr>
                      <w:iCs/>
                      <w:sz w:val="20"/>
                    </w:rPr>
                    <w:t>The total of the Standby Payments to all QSEs for all RMR Units, for the hour.</w:t>
                  </w:r>
                </w:p>
              </w:tc>
            </w:tr>
            <w:tr w:rsidR="00921E0D" w:rsidRPr="003C2A11" w14:paraId="7370FE86" w14:textId="77777777" w:rsidTr="00253557">
              <w:trPr>
                <w:cantSplit/>
              </w:trPr>
              <w:tc>
                <w:tcPr>
                  <w:tcW w:w="1393" w:type="pct"/>
                  <w:tcBorders>
                    <w:top w:val="single" w:sz="4" w:space="0" w:color="auto"/>
                    <w:left w:val="single" w:sz="4" w:space="0" w:color="auto"/>
                    <w:bottom w:val="single" w:sz="4" w:space="0" w:color="auto"/>
                    <w:right w:val="single" w:sz="4" w:space="0" w:color="auto"/>
                  </w:tcBorders>
                  <w:hideMark/>
                </w:tcPr>
                <w:p w14:paraId="57D1C3FC" w14:textId="77777777" w:rsidR="00921E0D" w:rsidRPr="003C2A11" w:rsidRDefault="00921E0D" w:rsidP="00921E0D">
                  <w:pPr>
                    <w:spacing w:after="60"/>
                    <w:rPr>
                      <w:iCs/>
                      <w:sz w:val="20"/>
                    </w:rPr>
                  </w:pPr>
                  <w:r w:rsidRPr="003C2A11">
                    <w:rPr>
                      <w:iCs/>
                      <w:sz w:val="20"/>
                    </w:rPr>
                    <w:t xml:space="preserve">RTMSLRS </w:t>
                  </w:r>
                  <w:r w:rsidRPr="003C2A11">
                    <w:rPr>
                      <w:i/>
                      <w:iCs/>
                      <w:sz w:val="20"/>
                      <w:vertAlign w:val="subscript"/>
                    </w:rPr>
                    <w:t>q, d</w:t>
                  </w:r>
                </w:p>
              </w:tc>
              <w:tc>
                <w:tcPr>
                  <w:tcW w:w="433" w:type="pct"/>
                  <w:tcBorders>
                    <w:top w:val="single" w:sz="4" w:space="0" w:color="auto"/>
                    <w:left w:val="single" w:sz="4" w:space="0" w:color="auto"/>
                    <w:bottom w:val="single" w:sz="4" w:space="0" w:color="auto"/>
                    <w:right w:val="single" w:sz="4" w:space="0" w:color="auto"/>
                  </w:tcBorders>
                  <w:hideMark/>
                </w:tcPr>
                <w:p w14:paraId="255891E9" w14:textId="77777777" w:rsidR="00921E0D" w:rsidRPr="003C2A11" w:rsidRDefault="00921E0D" w:rsidP="00921E0D">
                  <w:pPr>
                    <w:spacing w:after="60"/>
                    <w:rPr>
                      <w:iCs/>
                      <w:sz w:val="20"/>
                    </w:rPr>
                  </w:pPr>
                  <w:r w:rsidRPr="003C2A11">
                    <w:rPr>
                      <w:iCs/>
                      <w:sz w:val="20"/>
                    </w:rPr>
                    <w:t>none</w:t>
                  </w:r>
                </w:p>
              </w:tc>
              <w:tc>
                <w:tcPr>
                  <w:tcW w:w="3174" w:type="pct"/>
                  <w:tcBorders>
                    <w:top w:val="single" w:sz="4" w:space="0" w:color="auto"/>
                    <w:left w:val="single" w:sz="4" w:space="0" w:color="auto"/>
                    <w:bottom w:val="single" w:sz="4" w:space="0" w:color="auto"/>
                    <w:right w:val="single" w:sz="4" w:space="0" w:color="auto"/>
                  </w:tcBorders>
                  <w:hideMark/>
                </w:tcPr>
                <w:p w14:paraId="51E258AE" w14:textId="77777777" w:rsidR="00921E0D" w:rsidRPr="003C2A11" w:rsidRDefault="00921E0D" w:rsidP="00921E0D">
                  <w:pPr>
                    <w:spacing w:after="60"/>
                    <w:rPr>
                      <w:iCs/>
                      <w:sz w:val="20"/>
                    </w:rPr>
                  </w:pPr>
                  <w:r w:rsidRPr="003C2A11">
                    <w:rPr>
                      <w:i/>
                      <w:iCs/>
                      <w:sz w:val="20"/>
                    </w:rPr>
                    <w:t>Real-Time Market Suspension Load Ratio Share</w:t>
                  </w:r>
                  <w:r w:rsidRPr="003C2A11">
                    <w:rPr>
                      <w:i/>
                      <w:sz w:val="20"/>
                    </w:rPr>
                    <w:t xml:space="preserve"> – </w:t>
                  </w:r>
                  <w:r w:rsidRPr="003C2A11">
                    <w:rPr>
                      <w:iCs/>
                      <w:sz w:val="20"/>
                    </w:rPr>
                    <w:t xml:space="preserve">The ratio of the QSE </w:t>
                  </w:r>
                  <w:r w:rsidRPr="003C2A11">
                    <w:rPr>
                      <w:i/>
                      <w:iCs/>
                      <w:sz w:val="20"/>
                    </w:rPr>
                    <w:t>q</w:t>
                  </w:r>
                  <w:r w:rsidRPr="003C2A11">
                    <w:rPr>
                      <w:iCs/>
                      <w:sz w:val="20"/>
                    </w:rPr>
                    <w:t>’s Real-Time AML to the total ERCOT Real-Time AML for the 30 day period prior to the Market Suspension for which Initial Settlement has been completed.</w:t>
                  </w:r>
                </w:p>
              </w:tc>
            </w:tr>
            <w:tr w:rsidR="00921E0D" w:rsidRPr="003C2A11" w14:paraId="55F266B3"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50E1496C" w14:textId="77777777" w:rsidR="00921E0D" w:rsidRPr="003C2A11" w:rsidRDefault="00921E0D" w:rsidP="00921E0D">
                  <w:pPr>
                    <w:spacing w:after="60"/>
                    <w:rPr>
                      <w:iCs/>
                      <w:sz w:val="20"/>
                    </w:rPr>
                  </w:pPr>
                  <w:r w:rsidRPr="003C2A11">
                    <w:rPr>
                      <w:iCs/>
                      <w:sz w:val="20"/>
                    </w:rPr>
                    <w:t xml:space="preserve">AMRTSLRS </w:t>
                  </w:r>
                  <w:r w:rsidRPr="003C2A11">
                    <w:rPr>
                      <w:i/>
                      <w:iCs/>
                      <w:sz w:val="20"/>
                      <w:vertAlign w:val="subscript"/>
                    </w:rPr>
                    <w:t>q, d</w:t>
                  </w:r>
                </w:p>
              </w:tc>
              <w:tc>
                <w:tcPr>
                  <w:tcW w:w="433" w:type="pct"/>
                  <w:tcBorders>
                    <w:top w:val="single" w:sz="4" w:space="0" w:color="auto"/>
                    <w:left w:val="single" w:sz="4" w:space="0" w:color="auto"/>
                    <w:bottom w:val="single" w:sz="4" w:space="0" w:color="auto"/>
                    <w:right w:val="single" w:sz="4" w:space="0" w:color="auto"/>
                  </w:tcBorders>
                </w:tcPr>
                <w:p w14:paraId="6DCAA00E" w14:textId="77777777" w:rsidR="00921E0D" w:rsidRPr="003C2A11" w:rsidRDefault="00921E0D" w:rsidP="00921E0D">
                  <w:pPr>
                    <w:spacing w:after="60"/>
                    <w:rPr>
                      <w:iCs/>
                      <w:sz w:val="20"/>
                    </w:rPr>
                  </w:pPr>
                  <w:r w:rsidRPr="003C2A11">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116B218A" w14:textId="77777777" w:rsidR="00921E0D" w:rsidRPr="003C2A11" w:rsidRDefault="00921E0D" w:rsidP="00921E0D">
                  <w:pPr>
                    <w:spacing w:after="60"/>
                    <w:rPr>
                      <w:i/>
                      <w:iCs/>
                      <w:sz w:val="20"/>
                    </w:rPr>
                  </w:pPr>
                  <w:r w:rsidRPr="003C2A11">
                    <w:rPr>
                      <w:i/>
                      <w:iCs/>
                      <w:sz w:val="20"/>
                    </w:rPr>
                    <w:t>Actual Metered Real-Time Suspension Load Ratio Share</w:t>
                  </w:r>
                  <w:r w:rsidRPr="003C2A11">
                    <w:rPr>
                      <w:i/>
                      <w:sz w:val="20"/>
                    </w:rPr>
                    <w:t xml:space="preserve"> – </w:t>
                  </w:r>
                  <w:r w:rsidRPr="003C2A11">
                    <w:rPr>
                      <w:iCs/>
                      <w:sz w:val="20"/>
                    </w:rPr>
                    <w:t xml:space="preserve">The ratio of the QSE </w:t>
                  </w:r>
                  <w:r w:rsidRPr="003C2A11">
                    <w:rPr>
                      <w:i/>
                      <w:iCs/>
                      <w:sz w:val="20"/>
                    </w:rPr>
                    <w:t>q</w:t>
                  </w:r>
                  <w:r w:rsidRPr="003C2A11">
                    <w:rPr>
                      <w:iCs/>
                      <w:sz w:val="20"/>
                    </w:rPr>
                    <w:t>’s actual metered Real-Time AML to the total ERCOT actual metered Real-Time AML.</w:t>
                  </w:r>
                </w:p>
              </w:tc>
            </w:tr>
            <w:tr w:rsidR="00921E0D" w:rsidRPr="003C2A11" w14:paraId="5C9F2BE8"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4F5ACA60" w14:textId="77777777" w:rsidR="00921E0D" w:rsidRPr="003C2A11" w:rsidRDefault="00921E0D" w:rsidP="00921E0D">
                  <w:pPr>
                    <w:spacing w:after="60"/>
                    <w:rPr>
                      <w:iCs/>
                      <w:sz w:val="20"/>
                    </w:rPr>
                  </w:pPr>
                  <w:r w:rsidRPr="003C2A11">
                    <w:rPr>
                      <w:iCs/>
                      <w:sz w:val="20"/>
                    </w:rPr>
                    <w:t xml:space="preserve">AMRTAML </w:t>
                  </w:r>
                  <w:r w:rsidRPr="003C2A11">
                    <w:rPr>
                      <w:i/>
                      <w:iCs/>
                      <w:sz w:val="20"/>
                      <w:vertAlign w:val="subscript"/>
                    </w:rPr>
                    <w:t xml:space="preserve"> q, d </w:t>
                  </w:r>
                </w:p>
              </w:tc>
              <w:tc>
                <w:tcPr>
                  <w:tcW w:w="433" w:type="pct"/>
                  <w:tcBorders>
                    <w:top w:val="single" w:sz="4" w:space="0" w:color="auto"/>
                    <w:left w:val="single" w:sz="4" w:space="0" w:color="auto"/>
                    <w:bottom w:val="single" w:sz="4" w:space="0" w:color="auto"/>
                    <w:right w:val="single" w:sz="4" w:space="0" w:color="auto"/>
                  </w:tcBorders>
                </w:tcPr>
                <w:p w14:paraId="6912AD8C" w14:textId="77777777" w:rsidR="00921E0D" w:rsidRPr="003C2A11" w:rsidRDefault="00921E0D" w:rsidP="00921E0D">
                  <w:pPr>
                    <w:spacing w:after="60"/>
                    <w:rPr>
                      <w:iCs/>
                      <w:sz w:val="20"/>
                    </w:rPr>
                  </w:pPr>
                  <w:r w:rsidRPr="003C2A11">
                    <w:rPr>
                      <w:iCs/>
                      <w:sz w:val="20"/>
                    </w:rPr>
                    <w:t>MWh</w:t>
                  </w:r>
                </w:p>
              </w:tc>
              <w:tc>
                <w:tcPr>
                  <w:tcW w:w="3174" w:type="pct"/>
                  <w:tcBorders>
                    <w:top w:val="single" w:sz="4" w:space="0" w:color="auto"/>
                    <w:left w:val="single" w:sz="4" w:space="0" w:color="auto"/>
                    <w:bottom w:val="single" w:sz="4" w:space="0" w:color="auto"/>
                    <w:right w:val="single" w:sz="4" w:space="0" w:color="auto"/>
                  </w:tcBorders>
                </w:tcPr>
                <w:p w14:paraId="0C98CA8D" w14:textId="77777777" w:rsidR="00921E0D" w:rsidRPr="003C2A11" w:rsidRDefault="00921E0D" w:rsidP="00921E0D">
                  <w:pPr>
                    <w:spacing w:after="60"/>
                    <w:rPr>
                      <w:i/>
                      <w:iCs/>
                      <w:sz w:val="20"/>
                    </w:rPr>
                  </w:pPr>
                  <w:r w:rsidRPr="003C2A11">
                    <w:rPr>
                      <w:i/>
                      <w:iCs/>
                      <w:sz w:val="20"/>
                    </w:rPr>
                    <w:t xml:space="preserve">Actual Metered Real-Time Adjusted Metered Load – </w:t>
                  </w:r>
                  <w:r w:rsidRPr="003C2A11">
                    <w:rPr>
                      <w:iCs/>
                      <w:sz w:val="20"/>
                    </w:rPr>
                    <w:t xml:space="preserve">The sum of the actual metered </w:t>
                  </w:r>
                  <w:r>
                    <w:rPr>
                      <w:iCs/>
                      <w:sz w:val="20"/>
                    </w:rPr>
                    <w:t>Load</w:t>
                  </w:r>
                  <w:r w:rsidRPr="003C2A11">
                    <w:rPr>
                      <w:iCs/>
                      <w:sz w:val="20"/>
                    </w:rPr>
                    <w:t xml:space="preserve"> represented by QSE </w:t>
                  </w:r>
                  <w:r w:rsidRPr="003C2A11">
                    <w:rPr>
                      <w:i/>
                      <w:iCs/>
                      <w:sz w:val="20"/>
                    </w:rPr>
                    <w:t xml:space="preserve">q </w:t>
                  </w:r>
                  <w:r w:rsidRPr="003C2A11">
                    <w:rPr>
                      <w:iCs/>
                      <w:sz w:val="20"/>
                    </w:rPr>
                    <w:t xml:space="preserve">for the day </w:t>
                  </w:r>
                  <w:r w:rsidRPr="003C2A11">
                    <w:rPr>
                      <w:i/>
                      <w:iCs/>
                      <w:sz w:val="20"/>
                    </w:rPr>
                    <w:t>d</w:t>
                  </w:r>
                  <w:r w:rsidRPr="003C2A11">
                    <w:rPr>
                      <w:iCs/>
                      <w:sz w:val="20"/>
                    </w:rPr>
                    <w:t>.</w:t>
                  </w:r>
                </w:p>
              </w:tc>
            </w:tr>
            <w:tr w:rsidR="00921E0D" w:rsidRPr="003C2A11" w14:paraId="0AB8D6B4"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61645552" w14:textId="77777777" w:rsidR="00921E0D" w:rsidRPr="003C2A11" w:rsidRDefault="00921E0D" w:rsidP="00921E0D">
                  <w:pPr>
                    <w:spacing w:after="60"/>
                    <w:rPr>
                      <w:iCs/>
                      <w:sz w:val="20"/>
                    </w:rPr>
                  </w:pPr>
                  <w:r w:rsidRPr="002855C3">
                    <w:rPr>
                      <w:iCs/>
                      <w:sz w:val="20"/>
                    </w:rPr>
                    <w:t>AMRTA</w:t>
                  </w:r>
                  <w:r>
                    <w:rPr>
                      <w:iCs/>
                      <w:sz w:val="20"/>
                    </w:rPr>
                    <w:t>ESR</w:t>
                  </w:r>
                  <w:r w:rsidRPr="002855C3">
                    <w:rPr>
                      <w:iCs/>
                      <w:sz w:val="20"/>
                    </w:rPr>
                    <w:t>ML</w:t>
                  </w:r>
                  <w:r w:rsidRPr="002855C3">
                    <w:rPr>
                      <w:i/>
                      <w:iCs/>
                      <w:sz w:val="20"/>
                      <w:vertAlign w:val="subscript"/>
                    </w:rPr>
                    <w:t xml:space="preserve"> q, d </w:t>
                  </w:r>
                </w:p>
              </w:tc>
              <w:tc>
                <w:tcPr>
                  <w:tcW w:w="433" w:type="pct"/>
                  <w:tcBorders>
                    <w:top w:val="single" w:sz="4" w:space="0" w:color="auto"/>
                    <w:left w:val="single" w:sz="4" w:space="0" w:color="auto"/>
                    <w:bottom w:val="single" w:sz="4" w:space="0" w:color="auto"/>
                    <w:right w:val="single" w:sz="4" w:space="0" w:color="auto"/>
                  </w:tcBorders>
                </w:tcPr>
                <w:p w14:paraId="612A1629" w14:textId="77777777" w:rsidR="00921E0D" w:rsidRPr="003C2A11" w:rsidRDefault="00921E0D" w:rsidP="00921E0D">
                  <w:pPr>
                    <w:spacing w:after="60"/>
                    <w:rPr>
                      <w:iCs/>
                      <w:sz w:val="20"/>
                    </w:rPr>
                  </w:pPr>
                  <w:r w:rsidRPr="002855C3">
                    <w:rPr>
                      <w:iCs/>
                      <w:sz w:val="20"/>
                    </w:rPr>
                    <w:t>MWh</w:t>
                  </w:r>
                </w:p>
              </w:tc>
              <w:tc>
                <w:tcPr>
                  <w:tcW w:w="3174" w:type="pct"/>
                  <w:tcBorders>
                    <w:top w:val="single" w:sz="4" w:space="0" w:color="auto"/>
                    <w:left w:val="single" w:sz="4" w:space="0" w:color="auto"/>
                    <w:bottom w:val="single" w:sz="4" w:space="0" w:color="auto"/>
                    <w:right w:val="single" w:sz="4" w:space="0" w:color="auto"/>
                  </w:tcBorders>
                </w:tcPr>
                <w:p w14:paraId="26A107E6" w14:textId="77777777" w:rsidR="00921E0D" w:rsidRPr="003C2A11" w:rsidRDefault="00921E0D" w:rsidP="00921E0D">
                  <w:pPr>
                    <w:spacing w:after="60"/>
                    <w:rPr>
                      <w:i/>
                      <w:iCs/>
                      <w:sz w:val="20"/>
                    </w:rPr>
                  </w:pPr>
                  <w:r w:rsidRPr="002855C3">
                    <w:rPr>
                      <w:i/>
                      <w:iCs/>
                      <w:sz w:val="20"/>
                    </w:rPr>
                    <w:t xml:space="preserve">Actual Metered Real-Time Adjusted </w:t>
                  </w:r>
                  <w:r>
                    <w:rPr>
                      <w:i/>
                      <w:iCs/>
                      <w:sz w:val="20"/>
                    </w:rPr>
                    <w:t xml:space="preserve">ESR </w:t>
                  </w:r>
                  <w:r w:rsidRPr="002855C3">
                    <w:rPr>
                      <w:i/>
                      <w:iCs/>
                      <w:sz w:val="20"/>
                    </w:rPr>
                    <w:t xml:space="preserve">Metered Load – </w:t>
                  </w:r>
                  <w:r w:rsidRPr="002855C3">
                    <w:rPr>
                      <w:iCs/>
                      <w:sz w:val="20"/>
                    </w:rPr>
                    <w:t>The sum of the</w:t>
                  </w:r>
                  <w:r>
                    <w:rPr>
                      <w:iCs/>
                      <w:sz w:val="20"/>
                    </w:rPr>
                    <w:t xml:space="preserve"> ESR </w:t>
                  </w:r>
                  <w:r w:rsidRPr="002855C3">
                    <w:rPr>
                      <w:iCs/>
                      <w:sz w:val="20"/>
                    </w:rPr>
                    <w:t xml:space="preserve">actual metered </w:t>
                  </w:r>
                  <w:r>
                    <w:rPr>
                      <w:iCs/>
                      <w:sz w:val="20"/>
                    </w:rPr>
                    <w:t>Load</w:t>
                  </w:r>
                  <w:r w:rsidRPr="002855C3">
                    <w:rPr>
                      <w:iCs/>
                      <w:sz w:val="20"/>
                    </w:rPr>
                    <w:t xml:space="preserve"> represented by QSE </w:t>
                  </w:r>
                  <w:r w:rsidRPr="002855C3">
                    <w:rPr>
                      <w:i/>
                      <w:iCs/>
                      <w:sz w:val="20"/>
                    </w:rPr>
                    <w:t xml:space="preserve">q </w:t>
                  </w:r>
                  <w:r w:rsidRPr="002855C3">
                    <w:rPr>
                      <w:iCs/>
                      <w:sz w:val="20"/>
                    </w:rPr>
                    <w:t xml:space="preserve">for the day </w:t>
                  </w:r>
                  <w:r w:rsidRPr="002855C3">
                    <w:rPr>
                      <w:i/>
                      <w:iCs/>
                      <w:sz w:val="20"/>
                    </w:rPr>
                    <w:t>d</w:t>
                  </w:r>
                  <w:r w:rsidRPr="002855C3">
                    <w:rPr>
                      <w:iCs/>
                      <w:sz w:val="20"/>
                    </w:rPr>
                    <w:t>.</w:t>
                  </w:r>
                  <w:r>
                    <w:rPr>
                      <w:iCs/>
                      <w:sz w:val="20"/>
                    </w:rPr>
                    <w:t xml:space="preserve">  Where the ESR </w:t>
                  </w:r>
                  <w:r w:rsidRPr="002855C3">
                    <w:rPr>
                      <w:iCs/>
                      <w:sz w:val="20"/>
                    </w:rPr>
                    <w:t xml:space="preserve">actual metered </w:t>
                  </w:r>
                  <w:r>
                    <w:rPr>
                      <w:iCs/>
                      <w:sz w:val="20"/>
                    </w:rPr>
                    <w:t xml:space="preserve">Load represents the ESR Load as measured by </w:t>
                  </w:r>
                  <w:r w:rsidRPr="002407C5">
                    <w:rPr>
                      <w:iCs/>
                      <w:sz w:val="20"/>
                    </w:rPr>
                    <w:t>Metered Energy for Energy Storage Resource Load at Bus</w:t>
                  </w:r>
                  <w:r>
                    <w:rPr>
                      <w:iCs/>
                      <w:sz w:val="20"/>
                    </w:rPr>
                    <w:t xml:space="preserve"> (MEBR), as described in Section </w:t>
                  </w:r>
                  <w:r w:rsidRPr="00D60A18">
                    <w:rPr>
                      <w:iCs/>
                      <w:sz w:val="20"/>
                    </w:rPr>
                    <w:t>6.6.3.1</w:t>
                  </w:r>
                  <w:r>
                    <w:rPr>
                      <w:iCs/>
                      <w:sz w:val="20"/>
                    </w:rPr>
                    <w:t xml:space="preserve">, </w:t>
                  </w:r>
                  <w:r w:rsidRPr="00D60A18">
                    <w:rPr>
                      <w:iCs/>
                      <w:sz w:val="20"/>
                    </w:rPr>
                    <w:t>Real-Time Energy Imbalance Payment or Charge at a Resource Node</w:t>
                  </w:r>
                  <w:r>
                    <w:rPr>
                      <w:iCs/>
                      <w:sz w:val="20"/>
                    </w:rPr>
                    <w:t>.</w:t>
                  </w:r>
                </w:p>
              </w:tc>
            </w:tr>
            <w:tr w:rsidR="00921E0D" w:rsidRPr="003C2A11" w14:paraId="014FCFFC"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70116A30" w14:textId="77777777" w:rsidR="00921E0D" w:rsidRPr="003C2A11" w:rsidRDefault="00921E0D" w:rsidP="00921E0D">
                  <w:pPr>
                    <w:spacing w:after="60"/>
                    <w:rPr>
                      <w:i/>
                      <w:iCs/>
                      <w:sz w:val="20"/>
                    </w:rPr>
                  </w:pPr>
                  <w:r w:rsidRPr="003C2A11">
                    <w:rPr>
                      <w:i/>
                      <w:iCs/>
                      <w:sz w:val="20"/>
                    </w:rPr>
                    <w:t>q</w:t>
                  </w:r>
                </w:p>
              </w:tc>
              <w:tc>
                <w:tcPr>
                  <w:tcW w:w="433" w:type="pct"/>
                  <w:tcBorders>
                    <w:top w:val="single" w:sz="4" w:space="0" w:color="auto"/>
                    <w:left w:val="single" w:sz="4" w:space="0" w:color="auto"/>
                    <w:bottom w:val="single" w:sz="4" w:space="0" w:color="auto"/>
                    <w:right w:val="single" w:sz="4" w:space="0" w:color="auto"/>
                  </w:tcBorders>
                </w:tcPr>
                <w:p w14:paraId="6723B97B" w14:textId="77777777" w:rsidR="00921E0D" w:rsidRPr="003C2A11" w:rsidRDefault="00921E0D" w:rsidP="00921E0D">
                  <w:pPr>
                    <w:spacing w:after="60"/>
                    <w:rPr>
                      <w:iCs/>
                      <w:sz w:val="20"/>
                    </w:rPr>
                  </w:pPr>
                  <w:r w:rsidRPr="003C2A11">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608FA23C" w14:textId="77777777" w:rsidR="00921E0D" w:rsidRPr="003C2A11" w:rsidRDefault="00921E0D" w:rsidP="00921E0D">
                  <w:pPr>
                    <w:spacing w:after="60"/>
                    <w:rPr>
                      <w:iCs/>
                      <w:sz w:val="20"/>
                    </w:rPr>
                  </w:pPr>
                  <w:r w:rsidRPr="003C2A11">
                    <w:rPr>
                      <w:iCs/>
                      <w:sz w:val="20"/>
                    </w:rPr>
                    <w:t>A QSE.</w:t>
                  </w:r>
                </w:p>
              </w:tc>
            </w:tr>
            <w:tr w:rsidR="00921E0D" w:rsidRPr="003C2A11" w14:paraId="0EEC4E4D"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6DEAB782" w14:textId="77777777" w:rsidR="00921E0D" w:rsidRPr="003C2A11" w:rsidRDefault="00921E0D" w:rsidP="00921E0D">
                  <w:pPr>
                    <w:spacing w:after="60"/>
                    <w:rPr>
                      <w:i/>
                      <w:iCs/>
                      <w:sz w:val="20"/>
                    </w:rPr>
                  </w:pPr>
                  <w:r w:rsidRPr="003C2A11">
                    <w:rPr>
                      <w:i/>
                      <w:iCs/>
                      <w:sz w:val="20"/>
                    </w:rPr>
                    <w:t>d</w:t>
                  </w:r>
                </w:p>
              </w:tc>
              <w:tc>
                <w:tcPr>
                  <w:tcW w:w="433" w:type="pct"/>
                  <w:tcBorders>
                    <w:top w:val="single" w:sz="4" w:space="0" w:color="auto"/>
                    <w:left w:val="single" w:sz="4" w:space="0" w:color="auto"/>
                    <w:bottom w:val="single" w:sz="4" w:space="0" w:color="auto"/>
                    <w:right w:val="single" w:sz="4" w:space="0" w:color="auto"/>
                  </w:tcBorders>
                </w:tcPr>
                <w:p w14:paraId="608EE293" w14:textId="77777777" w:rsidR="00921E0D" w:rsidRPr="003C2A11" w:rsidRDefault="00921E0D" w:rsidP="00921E0D">
                  <w:pPr>
                    <w:spacing w:after="60"/>
                    <w:rPr>
                      <w:iCs/>
                      <w:sz w:val="20"/>
                    </w:rPr>
                  </w:pPr>
                  <w:r w:rsidRPr="003C2A11">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6496F971" w14:textId="77777777" w:rsidR="00921E0D" w:rsidRPr="003C2A11" w:rsidRDefault="00921E0D" w:rsidP="00921E0D">
                  <w:pPr>
                    <w:spacing w:after="60"/>
                    <w:rPr>
                      <w:iCs/>
                      <w:sz w:val="20"/>
                    </w:rPr>
                  </w:pPr>
                  <w:r w:rsidRPr="003C2A11">
                    <w:rPr>
                      <w:iCs/>
                      <w:sz w:val="20"/>
                    </w:rPr>
                    <w:t>An Operating Day during a Market Suspension</w:t>
                  </w:r>
                  <w:r w:rsidRPr="003C2A11">
                    <w:rPr>
                      <w:i/>
                      <w:iCs/>
                      <w:sz w:val="20"/>
                    </w:rPr>
                    <w:t xml:space="preserve"> </w:t>
                  </w:r>
                  <w:r w:rsidRPr="003C2A11">
                    <w:rPr>
                      <w:iCs/>
                      <w:sz w:val="20"/>
                    </w:rPr>
                    <w:t>event.</w:t>
                  </w:r>
                </w:p>
              </w:tc>
            </w:tr>
            <w:tr w:rsidR="00921E0D" w:rsidRPr="003C2A11" w14:paraId="1631CFBA"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1A84A92E" w14:textId="77777777" w:rsidR="00921E0D" w:rsidRPr="003C2A11" w:rsidRDefault="00921E0D" w:rsidP="00921E0D">
                  <w:pPr>
                    <w:spacing w:after="60"/>
                    <w:rPr>
                      <w:i/>
                      <w:iCs/>
                      <w:sz w:val="20"/>
                    </w:rPr>
                  </w:pPr>
                  <w:r w:rsidRPr="003C2A11">
                    <w:rPr>
                      <w:i/>
                      <w:sz w:val="20"/>
                    </w:rPr>
                    <w:t>h</w:t>
                  </w:r>
                </w:p>
              </w:tc>
              <w:tc>
                <w:tcPr>
                  <w:tcW w:w="433" w:type="pct"/>
                  <w:tcBorders>
                    <w:top w:val="single" w:sz="4" w:space="0" w:color="auto"/>
                    <w:left w:val="single" w:sz="4" w:space="0" w:color="auto"/>
                    <w:bottom w:val="single" w:sz="4" w:space="0" w:color="auto"/>
                    <w:right w:val="single" w:sz="4" w:space="0" w:color="auto"/>
                  </w:tcBorders>
                </w:tcPr>
                <w:p w14:paraId="6E5B0EF1" w14:textId="77777777" w:rsidR="00921E0D" w:rsidRPr="003C2A11" w:rsidRDefault="00921E0D" w:rsidP="00921E0D">
                  <w:pPr>
                    <w:spacing w:after="60"/>
                    <w:rPr>
                      <w:iCs/>
                      <w:sz w:val="20"/>
                    </w:rPr>
                  </w:pPr>
                  <w:r w:rsidRPr="003C2A11">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36592D76" w14:textId="77777777" w:rsidR="00921E0D" w:rsidRPr="003C2A11" w:rsidRDefault="00921E0D" w:rsidP="00921E0D">
                  <w:pPr>
                    <w:spacing w:after="60"/>
                    <w:rPr>
                      <w:iCs/>
                      <w:sz w:val="20"/>
                    </w:rPr>
                  </w:pPr>
                  <w:r w:rsidRPr="003C2A11">
                    <w:rPr>
                      <w:iCs/>
                      <w:sz w:val="20"/>
                    </w:rPr>
                    <w:t>An hour within a Market Suspension.</w:t>
                  </w:r>
                </w:p>
              </w:tc>
            </w:tr>
            <w:tr w:rsidR="00921E0D" w:rsidRPr="003C2A11" w14:paraId="23337DE9" w14:textId="77777777" w:rsidTr="00253557">
              <w:trPr>
                <w:cantSplit/>
              </w:trPr>
              <w:tc>
                <w:tcPr>
                  <w:tcW w:w="1393" w:type="pct"/>
                  <w:tcBorders>
                    <w:top w:val="single" w:sz="4" w:space="0" w:color="auto"/>
                    <w:left w:val="single" w:sz="4" w:space="0" w:color="auto"/>
                    <w:bottom w:val="single" w:sz="4" w:space="0" w:color="auto"/>
                    <w:right w:val="single" w:sz="4" w:space="0" w:color="auto"/>
                  </w:tcBorders>
                </w:tcPr>
                <w:p w14:paraId="0FFACD78" w14:textId="77777777" w:rsidR="00921E0D" w:rsidRPr="003C2A11" w:rsidRDefault="00921E0D" w:rsidP="00921E0D">
                  <w:pPr>
                    <w:spacing w:after="60"/>
                    <w:rPr>
                      <w:i/>
                      <w:sz w:val="20"/>
                    </w:rPr>
                  </w:pPr>
                  <w:r w:rsidRPr="003C2A11">
                    <w:rPr>
                      <w:i/>
                      <w:iCs/>
                      <w:sz w:val="20"/>
                    </w:rPr>
                    <w:t>r</w:t>
                  </w:r>
                </w:p>
              </w:tc>
              <w:tc>
                <w:tcPr>
                  <w:tcW w:w="433" w:type="pct"/>
                  <w:tcBorders>
                    <w:top w:val="single" w:sz="4" w:space="0" w:color="auto"/>
                    <w:left w:val="single" w:sz="4" w:space="0" w:color="auto"/>
                    <w:bottom w:val="single" w:sz="4" w:space="0" w:color="auto"/>
                    <w:right w:val="single" w:sz="4" w:space="0" w:color="auto"/>
                  </w:tcBorders>
                </w:tcPr>
                <w:p w14:paraId="23A91F3B" w14:textId="77777777" w:rsidR="00921E0D" w:rsidRPr="003C2A11" w:rsidRDefault="00921E0D" w:rsidP="00921E0D">
                  <w:pPr>
                    <w:spacing w:after="60"/>
                    <w:rPr>
                      <w:iCs/>
                      <w:sz w:val="20"/>
                    </w:rPr>
                  </w:pPr>
                  <w:r w:rsidRPr="003C2A11">
                    <w:rPr>
                      <w:iCs/>
                      <w:sz w:val="20"/>
                    </w:rPr>
                    <w:t>none</w:t>
                  </w:r>
                </w:p>
              </w:tc>
              <w:tc>
                <w:tcPr>
                  <w:tcW w:w="3174" w:type="pct"/>
                  <w:tcBorders>
                    <w:top w:val="single" w:sz="4" w:space="0" w:color="auto"/>
                    <w:left w:val="single" w:sz="4" w:space="0" w:color="auto"/>
                    <w:bottom w:val="single" w:sz="4" w:space="0" w:color="auto"/>
                    <w:right w:val="single" w:sz="4" w:space="0" w:color="auto"/>
                  </w:tcBorders>
                </w:tcPr>
                <w:p w14:paraId="2A1FDB79" w14:textId="77777777" w:rsidR="00921E0D" w:rsidRPr="003C2A11" w:rsidRDefault="00921E0D" w:rsidP="00921E0D">
                  <w:pPr>
                    <w:spacing w:after="60"/>
                    <w:rPr>
                      <w:iCs/>
                      <w:sz w:val="20"/>
                    </w:rPr>
                  </w:pPr>
                  <w:r w:rsidRPr="003C2A11">
                    <w:rPr>
                      <w:iCs/>
                      <w:sz w:val="20"/>
                    </w:rPr>
                    <w:t>A Generation Resource</w:t>
                  </w:r>
                  <w:r>
                    <w:rPr>
                      <w:iCs/>
                      <w:sz w:val="20"/>
                    </w:rPr>
                    <w:t xml:space="preserve"> or ESR</w:t>
                  </w:r>
                  <w:r w:rsidRPr="003C2A11">
                    <w:rPr>
                      <w:iCs/>
                      <w:sz w:val="20"/>
                    </w:rPr>
                    <w:t>.</w:t>
                  </w:r>
                </w:p>
              </w:tc>
            </w:tr>
          </w:tbl>
          <w:p w14:paraId="09721C07" w14:textId="77777777" w:rsidR="00D60E1F" w:rsidRPr="00E774AE" w:rsidRDefault="00D60E1F" w:rsidP="0003274B">
            <w:pPr>
              <w:spacing w:after="240"/>
            </w:pPr>
          </w:p>
        </w:tc>
      </w:tr>
    </w:tbl>
    <w:p w14:paraId="097C6EB6" w14:textId="77777777" w:rsidR="00424F6A" w:rsidRPr="0086627E" w:rsidRDefault="00424F6A" w:rsidP="00424F6A">
      <w:pPr>
        <w:keepNext/>
        <w:tabs>
          <w:tab w:val="left" w:pos="1080"/>
        </w:tabs>
        <w:spacing w:before="480" w:after="240"/>
        <w:outlineLvl w:val="2"/>
        <w:rPr>
          <w:b/>
          <w:bCs/>
          <w:i/>
        </w:rPr>
      </w:pPr>
      <w:r w:rsidRPr="0086627E">
        <w:rPr>
          <w:b/>
          <w:bCs/>
          <w:i/>
        </w:rPr>
        <w:lastRenderedPageBreak/>
        <w:t>25.5.6</w:t>
      </w:r>
      <w:r w:rsidRPr="0086627E">
        <w:rPr>
          <w:b/>
          <w:bCs/>
          <w:i/>
        </w:rPr>
        <w:tab/>
        <w:t>Market Suspension</w:t>
      </w:r>
      <w:r w:rsidRPr="0086627E" w:rsidDel="004A3D90">
        <w:rPr>
          <w:b/>
          <w:bCs/>
          <w:i/>
        </w:rPr>
        <w:t xml:space="preserve"> </w:t>
      </w:r>
      <w:r w:rsidRPr="0086627E">
        <w:rPr>
          <w:b/>
          <w:bCs/>
          <w:i/>
        </w:rPr>
        <w:t>Data Submissions</w:t>
      </w:r>
      <w:bookmarkEnd w:id="36"/>
      <w:bookmarkEnd w:id="37"/>
      <w:bookmarkEnd w:id="38"/>
    </w:p>
    <w:p w14:paraId="05AFFFC8" w14:textId="77777777" w:rsidR="00424F6A" w:rsidRPr="0086627E" w:rsidRDefault="00424F6A" w:rsidP="00424F6A">
      <w:pPr>
        <w:spacing w:after="240"/>
        <w:ind w:left="720" w:hanging="720"/>
        <w:rPr>
          <w:iCs/>
        </w:rPr>
      </w:pPr>
      <w:r w:rsidRPr="0086627E">
        <w:rPr>
          <w:iCs/>
        </w:rPr>
        <w:t>(1)</w:t>
      </w:r>
      <w:r w:rsidRPr="0086627E">
        <w:rPr>
          <w:iCs/>
        </w:rPr>
        <w:tab/>
        <w:t xml:space="preserve">Any data submissions provided by the </w:t>
      </w:r>
      <w:r>
        <w:t xml:space="preserve">TDSP, Meter Reading Entity (MRE), or a </w:t>
      </w:r>
      <w:r w:rsidRPr="0086627E">
        <w:rPr>
          <w:iCs/>
        </w:rPr>
        <w:t xml:space="preserve">QSE representing </w:t>
      </w:r>
      <w:r>
        <w:rPr>
          <w:iCs/>
        </w:rPr>
        <w:t>a</w:t>
      </w:r>
      <w:r w:rsidRPr="0086627E">
        <w:rPr>
          <w:iCs/>
        </w:rPr>
        <w:t xml:space="preserve"> Generation Resource required or requested by ERCOT due to a Market Suspension shall be filed within five months of the Market Restart, including but not limited to:</w:t>
      </w:r>
    </w:p>
    <w:p w14:paraId="4BF44FF5" w14:textId="77777777" w:rsidR="00424F6A" w:rsidRPr="0086627E" w:rsidRDefault="00424F6A" w:rsidP="00AF51C5">
      <w:pPr>
        <w:spacing w:after="240"/>
        <w:ind w:left="1440" w:hanging="720"/>
        <w:rPr>
          <w:iCs/>
        </w:rPr>
      </w:pPr>
      <w:r w:rsidRPr="0086627E">
        <w:rPr>
          <w:iCs/>
        </w:rPr>
        <w:t>(a)</w:t>
      </w:r>
      <w:r w:rsidRPr="0086627E">
        <w:rPr>
          <w:iCs/>
        </w:rPr>
        <w:tab/>
        <w:t>Generation data;</w:t>
      </w:r>
    </w:p>
    <w:p w14:paraId="76AC3B99" w14:textId="77777777" w:rsidR="00424F6A" w:rsidRPr="0086627E" w:rsidRDefault="00424F6A" w:rsidP="00AF51C5">
      <w:pPr>
        <w:spacing w:after="240"/>
        <w:ind w:left="1440" w:hanging="720"/>
        <w:rPr>
          <w:iCs/>
        </w:rPr>
      </w:pPr>
      <w:r w:rsidRPr="0086627E">
        <w:rPr>
          <w:iCs/>
        </w:rPr>
        <w:t>(b)</w:t>
      </w:r>
      <w:r w:rsidRPr="0086627E">
        <w:rPr>
          <w:iCs/>
        </w:rPr>
        <w:tab/>
        <w:t>Load data;</w:t>
      </w:r>
    </w:p>
    <w:p w14:paraId="4877555E" w14:textId="77777777" w:rsidR="00424F6A" w:rsidRPr="0086627E" w:rsidRDefault="00424F6A" w:rsidP="00AF51C5">
      <w:pPr>
        <w:spacing w:after="240"/>
        <w:ind w:left="1440" w:hanging="720"/>
        <w:rPr>
          <w:iCs/>
        </w:rPr>
      </w:pPr>
      <w:r w:rsidRPr="0086627E">
        <w:rPr>
          <w:iCs/>
        </w:rPr>
        <w:t>(c)</w:t>
      </w:r>
      <w:r w:rsidRPr="0086627E">
        <w:rPr>
          <w:iCs/>
        </w:rPr>
        <w:tab/>
        <w:t>Actual price paid for delivered natural gas, fuel oil, or another fuel; and</w:t>
      </w:r>
    </w:p>
    <w:p w14:paraId="2512C97F" w14:textId="77777777" w:rsidR="00424F6A" w:rsidRPr="0086627E" w:rsidRDefault="00424F6A" w:rsidP="00AF51C5">
      <w:pPr>
        <w:spacing w:after="240"/>
        <w:ind w:left="1440" w:hanging="720"/>
        <w:rPr>
          <w:iCs/>
        </w:rPr>
      </w:pPr>
      <w:r w:rsidRPr="0086627E">
        <w:rPr>
          <w:iCs/>
        </w:rPr>
        <w:t>(d)</w:t>
      </w:r>
      <w:r w:rsidRPr="0086627E">
        <w:rPr>
          <w:iCs/>
        </w:rPr>
        <w:tab/>
        <w:t>Costs associated with the transport or delivery of fuel.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921E0D" w:rsidRPr="00DE2E54" w14:paraId="65E0FEC1" w14:textId="77777777" w:rsidTr="00253557">
        <w:tc>
          <w:tcPr>
            <w:tcW w:w="5000" w:type="pct"/>
            <w:shd w:val="clear" w:color="auto" w:fill="E0E0E0"/>
          </w:tcPr>
          <w:p w14:paraId="5CC8D883" w14:textId="77777777" w:rsidR="00921E0D" w:rsidRPr="00DE2E54" w:rsidRDefault="00921E0D" w:rsidP="00253557">
            <w:pPr>
              <w:spacing w:before="120" w:after="240"/>
              <w:rPr>
                <w:b/>
                <w:i/>
                <w:iCs/>
              </w:rPr>
            </w:pPr>
            <w:bookmarkStart w:id="39" w:name="_Toc493250762"/>
            <w:bookmarkStart w:id="40" w:name="_Toc181500"/>
            <w:bookmarkStart w:id="41" w:name="_Toc181598"/>
            <w:r>
              <w:rPr>
                <w:b/>
                <w:i/>
                <w:iCs/>
              </w:rPr>
              <w:t>[NPRR1029</w:t>
            </w:r>
            <w:r w:rsidRPr="00DE2E54">
              <w:rPr>
                <w:b/>
                <w:i/>
                <w:iCs/>
              </w:rPr>
              <w:t xml:space="preserve">:  </w:t>
            </w:r>
            <w:r>
              <w:rPr>
                <w:b/>
                <w:i/>
                <w:iCs/>
              </w:rPr>
              <w:t>Insert</w:t>
            </w:r>
            <w:r w:rsidRPr="00DE2E54">
              <w:rPr>
                <w:b/>
                <w:i/>
                <w:iCs/>
              </w:rPr>
              <w:t xml:space="preserve"> paragraph (</w:t>
            </w:r>
            <w:r>
              <w:rPr>
                <w:b/>
                <w:i/>
                <w:iCs/>
              </w:rPr>
              <w:t>2</w:t>
            </w:r>
            <w:r w:rsidRPr="00DE2E54">
              <w:rPr>
                <w:b/>
                <w:i/>
                <w:iCs/>
              </w:rPr>
              <w:t xml:space="preserve">) </w:t>
            </w:r>
            <w:r>
              <w:rPr>
                <w:b/>
                <w:i/>
                <w:iCs/>
              </w:rPr>
              <w:t>below</w:t>
            </w:r>
            <w:r w:rsidRPr="00DE2E54">
              <w:rPr>
                <w:b/>
                <w:i/>
                <w:iCs/>
              </w:rPr>
              <w:t xml:space="preserve"> upon system implementation:]</w:t>
            </w:r>
          </w:p>
          <w:p w14:paraId="20270F74" w14:textId="77777777" w:rsidR="00921E0D" w:rsidRDefault="00921E0D" w:rsidP="00921E0D">
            <w:pPr>
              <w:spacing w:after="240"/>
              <w:ind w:left="720" w:hanging="720"/>
              <w:rPr>
                <w:iCs/>
              </w:rPr>
            </w:pPr>
            <w:r>
              <w:rPr>
                <w:iCs/>
              </w:rPr>
              <w:t>(2</w:t>
            </w:r>
            <w:r w:rsidRPr="002855C3">
              <w:rPr>
                <w:iCs/>
              </w:rPr>
              <w:t>)</w:t>
            </w:r>
            <w:r w:rsidRPr="002855C3">
              <w:rPr>
                <w:iCs/>
              </w:rPr>
              <w:tab/>
            </w:r>
            <w:r>
              <w:rPr>
                <w:iCs/>
              </w:rPr>
              <w:t xml:space="preserve">Any </w:t>
            </w:r>
            <w:r w:rsidRPr="002855C3">
              <w:rPr>
                <w:iCs/>
              </w:rPr>
              <w:t xml:space="preserve">QSE representing </w:t>
            </w:r>
            <w:r>
              <w:rPr>
                <w:iCs/>
              </w:rPr>
              <w:t>an E</w:t>
            </w:r>
            <w:r w:rsidR="00934039">
              <w:rPr>
                <w:iCs/>
              </w:rPr>
              <w:t>SR</w:t>
            </w:r>
            <w:r>
              <w:rPr>
                <w:iCs/>
              </w:rPr>
              <w:t xml:space="preserve"> may submit the following information</w:t>
            </w:r>
            <w:r w:rsidRPr="002855C3">
              <w:rPr>
                <w:iCs/>
              </w:rPr>
              <w:t xml:space="preserve"> </w:t>
            </w:r>
            <w:r>
              <w:rPr>
                <w:iCs/>
              </w:rPr>
              <w:t xml:space="preserve">to ERCOT </w:t>
            </w:r>
            <w:r w:rsidRPr="002855C3">
              <w:rPr>
                <w:iCs/>
              </w:rPr>
              <w:t>within five months of the Market Restart</w:t>
            </w:r>
            <w:r>
              <w:rPr>
                <w:iCs/>
              </w:rPr>
              <w:t xml:space="preserve"> for ERCOT’s use in calculating the QSE’s payment pursuant to Section </w:t>
            </w:r>
            <w:r w:rsidRPr="003D37A1">
              <w:rPr>
                <w:iCs/>
              </w:rPr>
              <w:t>25.5.2</w:t>
            </w:r>
            <w:r>
              <w:rPr>
                <w:iCs/>
              </w:rPr>
              <w:t xml:space="preserve">, </w:t>
            </w:r>
            <w:r w:rsidRPr="003D37A1">
              <w:rPr>
                <w:iCs/>
              </w:rPr>
              <w:t>Market Suspension Make-Whole Payment</w:t>
            </w:r>
            <w:r>
              <w:rPr>
                <w:iCs/>
              </w:rPr>
              <w:t xml:space="preserve">:  </w:t>
            </w:r>
          </w:p>
          <w:p w14:paraId="1588A445" w14:textId="77777777" w:rsidR="00921E0D" w:rsidRDefault="00921E0D" w:rsidP="00921E0D">
            <w:pPr>
              <w:spacing w:after="240"/>
              <w:ind w:left="1440" w:hanging="720"/>
              <w:rPr>
                <w:iCs/>
              </w:rPr>
            </w:pPr>
            <w:r>
              <w:rPr>
                <w:iCs/>
              </w:rPr>
              <w:t>(a)</w:t>
            </w:r>
            <w:r>
              <w:rPr>
                <w:iCs/>
              </w:rPr>
              <w:tab/>
              <w:t xml:space="preserve">Actual variable O&amp;M rate incurred during the Market </w:t>
            </w:r>
            <w:r w:rsidRPr="002855C3">
              <w:rPr>
                <w:iCs/>
              </w:rPr>
              <w:t>Suspension</w:t>
            </w:r>
            <w:r>
              <w:rPr>
                <w:iCs/>
              </w:rPr>
              <w:t xml:space="preserve"> period in lieu of the </w:t>
            </w:r>
            <w:r w:rsidRPr="001A6EDC">
              <w:rPr>
                <w:iCs/>
              </w:rPr>
              <w:t xml:space="preserve">Standard Operations and Maintenance Cost </w:t>
            </w:r>
            <w:r>
              <w:rPr>
                <w:iCs/>
              </w:rPr>
              <w:t>(STOM);</w:t>
            </w:r>
          </w:p>
          <w:p w14:paraId="3612975A" w14:textId="77777777" w:rsidR="00921E0D" w:rsidRDefault="00921E0D" w:rsidP="00921E0D">
            <w:pPr>
              <w:spacing w:after="240"/>
              <w:ind w:left="1440" w:hanging="720"/>
              <w:rPr>
                <w:iCs/>
              </w:rPr>
            </w:pPr>
            <w:r>
              <w:rPr>
                <w:iCs/>
              </w:rPr>
              <w:lastRenderedPageBreak/>
              <w:t xml:space="preserve">(b) </w:t>
            </w:r>
            <w:r>
              <w:rPr>
                <w:iCs/>
              </w:rPr>
              <w:tab/>
              <w:t xml:space="preserve">The electricity cost incurred prior to a </w:t>
            </w:r>
            <w:r w:rsidRPr="002855C3">
              <w:rPr>
                <w:iCs/>
              </w:rPr>
              <w:t>Market Suspension</w:t>
            </w:r>
            <w:r>
              <w:rPr>
                <w:iCs/>
              </w:rPr>
              <w:t xml:space="preserve"> for any net amount of discharge of the battery during the Market Suspension period, if the ESR’s state of charge</w:t>
            </w:r>
            <w:r w:rsidRPr="003021FC">
              <w:rPr>
                <w:iCs/>
              </w:rPr>
              <w:t xml:space="preserve"> at the end of the Market Suspension is less than the </w:t>
            </w:r>
            <w:r>
              <w:rPr>
                <w:iCs/>
              </w:rPr>
              <w:t>state of charge</w:t>
            </w:r>
            <w:r w:rsidRPr="003021FC">
              <w:rPr>
                <w:iCs/>
              </w:rPr>
              <w:t xml:space="preserve"> at the beginning of the period</w:t>
            </w:r>
            <w:r>
              <w:rPr>
                <w:iCs/>
              </w:rPr>
              <w:t xml:space="preserve">.  The electricity cost incurred to charge the battery prior to a </w:t>
            </w:r>
            <w:r w:rsidRPr="002855C3">
              <w:rPr>
                <w:iCs/>
              </w:rPr>
              <w:t>Market Suspension</w:t>
            </w:r>
            <w:r>
              <w:rPr>
                <w:iCs/>
              </w:rPr>
              <w:t xml:space="preserve"> may include the cost of serving any auxiliary Load not measured with the settlement meters.  The following information must be provided to support recovery of these costs:</w:t>
            </w:r>
          </w:p>
          <w:p w14:paraId="02451896" w14:textId="77777777" w:rsidR="00921E0D" w:rsidRDefault="00921E0D" w:rsidP="00921E0D">
            <w:pPr>
              <w:spacing w:after="240"/>
              <w:ind w:left="2160" w:hanging="720"/>
              <w:rPr>
                <w:iCs/>
              </w:rPr>
            </w:pPr>
            <w:r>
              <w:rPr>
                <w:iCs/>
              </w:rPr>
              <w:t>(i)</w:t>
            </w:r>
            <w:r>
              <w:rPr>
                <w:iCs/>
              </w:rPr>
              <w:tab/>
              <w:t xml:space="preserve">Battery state of charge prior to Market </w:t>
            </w:r>
            <w:r w:rsidRPr="002855C3">
              <w:rPr>
                <w:iCs/>
              </w:rPr>
              <w:t>Suspension;</w:t>
            </w:r>
          </w:p>
          <w:p w14:paraId="2FCCF182" w14:textId="77777777" w:rsidR="00921E0D" w:rsidRPr="00B81C48" w:rsidRDefault="00921E0D" w:rsidP="00921E0D">
            <w:pPr>
              <w:spacing w:after="240"/>
              <w:ind w:left="2160" w:hanging="720"/>
              <w:rPr>
                <w:iCs/>
              </w:rPr>
            </w:pPr>
            <w:r>
              <w:rPr>
                <w:iCs/>
              </w:rPr>
              <w:t>(ii)</w:t>
            </w:r>
            <w:r>
              <w:rPr>
                <w:iCs/>
              </w:rPr>
              <w:tab/>
            </w:r>
            <w:r w:rsidRPr="00B81C48">
              <w:rPr>
                <w:iCs/>
              </w:rPr>
              <w:t>Battery state of charge at the end of the Market Suspension;</w:t>
            </w:r>
          </w:p>
          <w:p w14:paraId="6459D8DA" w14:textId="77777777" w:rsidR="00921E0D" w:rsidRPr="00921E0D" w:rsidRDefault="00921E0D" w:rsidP="00921E0D">
            <w:pPr>
              <w:spacing w:after="240"/>
              <w:ind w:left="2160" w:hanging="720"/>
              <w:rPr>
                <w:iCs/>
              </w:rPr>
            </w:pPr>
            <w:r>
              <w:rPr>
                <w:iCs/>
              </w:rPr>
              <w:t>(iii)</w:t>
            </w:r>
            <w:r>
              <w:rPr>
                <w:iCs/>
              </w:rPr>
              <w:tab/>
            </w:r>
            <w:r w:rsidRPr="00140804">
              <w:rPr>
                <w:iCs/>
              </w:rPr>
              <w:t>Prices paid to charge the battery for the MWh difference between (</w:t>
            </w:r>
            <w:r>
              <w:rPr>
                <w:iCs/>
              </w:rPr>
              <w:t>i</w:t>
            </w:r>
            <w:r w:rsidRPr="00140804">
              <w:rPr>
                <w:iCs/>
              </w:rPr>
              <w:t xml:space="preserve">) and </w:t>
            </w:r>
            <w:r w:rsidRPr="00362749">
              <w:rPr>
                <w:iCs/>
              </w:rPr>
              <w:t>(</w:t>
            </w:r>
            <w:r>
              <w:rPr>
                <w:iCs/>
              </w:rPr>
              <w:t>ii</w:t>
            </w:r>
            <w:r w:rsidRPr="00362749">
              <w:rPr>
                <w:iCs/>
              </w:rPr>
              <w:t>) above.</w:t>
            </w:r>
          </w:p>
        </w:tc>
      </w:tr>
    </w:tbl>
    <w:p w14:paraId="039A30F9" w14:textId="77777777" w:rsidR="00424F6A" w:rsidRPr="0086627E" w:rsidRDefault="00424F6A" w:rsidP="0003274B">
      <w:pPr>
        <w:keepNext/>
        <w:tabs>
          <w:tab w:val="left" w:pos="1080"/>
        </w:tabs>
        <w:spacing w:before="480" w:after="240"/>
        <w:outlineLvl w:val="2"/>
        <w:rPr>
          <w:b/>
          <w:bCs/>
          <w:i/>
        </w:rPr>
      </w:pPr>
      <w:r w:rsidRPr="0086627E">
        <w:rPr>
          <w:b/>
          <w:bCs/>
          <w:i/>
        </w:rPr>
        <w:lastRenderedPageBreak/>
        <w:t>25.5.7</w:t>
      </w:r>
      <w:r w:rsidRPr="0086627E">
        <w:rPr>
          <w:b/>
          <w:bCs/>
          <w:i/>
        </w:rPr>
        <w:tab/>
        <w:t>Invoice Payment and Charges Schedule</w:t>
      </w:r>
      <w:bookmarkEnd w:id="39"/>
      <w:bookmarkEnd w:id="40"/>
      <w:bookmarkEnd w:id="41"/>
    </w:p>
    <w:p w14:paraId="4D55616D" w14:textId="77777777" w:rsidR="00424F6A" w:rsidRPr="0086627E" w:rsidRDefault="00424F6A" w:rsidP="00424F6A">
      <w:pPr>
        <w:spacing w:after="240"/>
        <w:ind w:left="720" w:hanging="720"/>
      </w:pPr>
      <w:bookmarkStart w:id="42" w:name="_Toc493250763"/>
      <w:r w:rsidRPr="0086627E">
        <w:t>(1)</w:t>
      </w:r>
      <w:r w:rsidRPr="0086627E">
        <w:tab/>
        <w:t>To the extent feasible, ERCOT will calculate and pay the Market Suspension Make-Whole Payment in accordance with Section 25.5.2, Market Suspension Make-Whole Payment, to each QSE during a Market Suspension Event.</w:t>
      </w:r>
    </w:p>
    <w:p w14:paraId="5F876970" w14:textId="77777777" w:rsidR="00424F6A" w:rsidRPr="0086627E" w:rsidRDefault="00424F6A" w:rsidP="00424F6A">
      <w:pPr>
        <w:spacing w:after="240"/>
        <w:ind w:left="720" w:hanging="720"/>
      </w:pPr>
      <w:r w:rsidRPr="0086627E">
        <w:t>(2)</w:t>
      </w:r>
      <w:r w:rsidRPr="0086627E">
        <w:tab/>
        <w:t xml:space="preserve">Beginning five Business Days after the Market Restart, ERCOT will issue initial daily Invoices each Business Day for each Operating Day of the Market Suspension. </w:t>
      </w:r>
    </w:p>
    <w:p w14:paraId="68E4DB88" w14:textId="77777777" w:rsidR="00424F6A" w:rsidRPr="0086627E" w:rsidRDefault="00424F6A" w:rsidP="00424F6A">
      <w:pPr>
        <w:spacing w:after="240"/>
        <w:ind w:left="720" w:hanging="720"/>
      </w:pPr>
      <w:r w:rsidRPr="0086627E">
        <w:t>(3)</w:t>
      </w:r>
      <w:r w:rsidRPr="0086627E">
        <w:tab/>
        <w:t>ERCOT shall send a Market Notice and post a Settlement Calendar for the Operating Days of the Market Suspension no later than five Business Days after the Market Restart.</w:t>
      </w:r>
    </w:p>
    <w:p w14:paraId="2EC6D530" w14:textId="77777777" w:rsidR="00424F6A" w:rsidRDefault="00424F6A" w:rsidP="00424F6A">
      <w:pPr>
        <w:spacing w:after="240"/>
        <w:ind w:left="720" w:hanging="720"/>
      </w:pPr>
      <w:r w:rsidRPr="0086627E">
        <w:t>(4)</w:t>
      </w:r>
      <w:r w:rsidRPr="0086627E">
        <w:tab/>
        <w:t xml:space="preserve">ERCOT shall </w:t>
      </w:r>
      <w:r>
        <w:t>adjust</w:t>
      </w:r>
      <w:r w:rsidRPr="0086627E">
        <w:t xml:space="preserve"> the initial Invoice with a final Invoice that shall be issued </w:t>
      </w:r>
      <w:r>
        <w:t xml:space="preserve">55 days </w:t>
      </w:r>
      <w:r w:rsidRPr="0086627E">
        <w:t>after the initial Invoice was issued</w:t>
      </w:r>
      <w:r>
        <w:t xml:space="preserve"> unless that day is not a Business Day.  </w:t>
      </w:r>
      <w:r w:rsidRPr="0013170D">
        <w:t>If the 5</w:t>
      </w:r>
      <w:r>
        <w:t>5</w:t>
      </w:r>
      <w:r w:rsidRPr="0013170D">
        <w:t xml:space="preserve">th day is not a Business Day, then ERCOT shall issue the </w:t>
      </w:r>
      <w:r>
        <w:t>f</w:t>
      </w:r>
      <w:r w:rsidRPr="0013170D">
        <w:t xml:space="preserve">inal </w:t>
      </w:r>
      <w:r>
        <w:t>Invoice</w:t>
      </w:r>
      <w:r w:rsidRPr="0013170D">
        <w:t xml:space="preserve"> on the first Business Day after the 5</w:t>
      </w:r>
      <w:r>
        <w:t>5</w:t>
      </w:r>
      <w:r w:rsidRPr="0013170D">
        <w:t>th day</w:t>
      </w:r>
      <w:r>
        <w:t>.</w:t>
      </w:r>
    </w:p>
    <w:p w14:paraId="1CED51AE" w14:textId="77777777" w:rsidR="00424F6A" w:rsidRPr="0086627E" w:rsidRDefault="00424F6A" w:rsidP="00424F6A">
      <w:pPr>
        <w:spacing w:after="240"/>
        <w:ind w:left="720" w:hanging="720"/>
      </w:pPr>
      <w:r>
        <w:t>(5)</w:t>
      </w:r>
      <w:r>
        <w:tab/>
        <w:t xml:space="preserve">ERCOT shall true up the final Invoice with a true up Invoice that shall be issued </w:t>
      </w:r>
      <w:r w:rsidRPr="0086627E">
        <w:t>180 days after the initial Invoice was issued</w:t>
      </w:r>
      <w:r>
        <w:t xml:space="preserve"> unless that day is not a Business Day.  If the 180</w:t>
      </w:r>
      <w:r w:rsidRPr="0013170D">
        <w:t xml:space="preserve">th day is not a Business Day, then ERCOT shall issue the </w:t>
      </w:r>
      <w:r>
        <w:t>true up Invoice</w:t>
      </w:r>
      <w:r w:rsidRPr="0013170D">
        <w:t xml:space="preserve"> on the first Business Day after the </w:t>
      </w:r>
      <w:r>
        <w:t>180th</w:t>
      </w:r>
      <w:r w:rsidRPr="0013170D">
        <w:t xml:space="preserve"> day</w:t>
      </w:r>
      <w:r w:rsidRPr="0086627E">
        <w:t>.</w:t>
      </w:r>
    </w:p>
    <w:p w14:paraId="57633F60" w14:textId="77777777" w:rsidR="00424F6A" w:rsidRPr="0086627E" w:rsidRDefault="00424F6A" w:rsidP="00424F6A">
      <w:pPr>
        <w:spacing w:after="240"/>
        <w:ind w:left="720" w:hanging="720"/>
      </w:pPr>
      <w:r w:rsidRPr="0086627E">
        <w:t>(</w:t>
      </w:r>
      <w:r>
        <w:t>6</w:t>
      </w:r>
      <w:r w:rsidRPr="0086627E">
        <w:t>)</w:t>
      </w:r>
      <w:r w:rsidRPr="0086627E">
        <w:tab/>
        <w:t xml:space="preserve">Payments due to and from ERCOT for Settlement Invoices related to a Market Suspension shall be done in accordance with Section 9.7, </w:t>
      </w:r>
      <w:r>
        <w:t xml:space="preserve">Payment Process </w:t>
      </w:r>
      <w:r w:rsidRPr="0086627E">
        <w:t>for the Settlement Invoices.</w:t>
      </w:r>
    </w:p>
    <w:p w14:paraId="15832470" w14:textId="77777777" w:rsidR="00424F6A" w:rsidRPr="0086627E" w:rsidRDefault="00424F6A" w:rsidP="00424F6A">
      <w:pPr>
        <w:keepNext/>
        <w:tabs>
          <w:tab w:val="left" w:pos="1080"/>
        </w:tabs>
        <w:spacing w:before="240" w:after="240"/>
        <w:outlineLvl w:val="2"/>
        <w:rPr>
          <w:b/>
          <w:bCs/>
          <w:i/>
        </w:rPr>
      </w:pPr>
      <w:bookmarkStart w:id="43" w:name="_Toc181501"/>
      <w:bookmarkStart w:id="44" w:name="_Toc181599"/>
      <w:r w:rsidRPr="0086627E">
        <w:rPr>
          <w:b/>
          <w:bCs/>
          <w:i/>
        </w:rPr>
        <w:t>25.5.8</w:t>
      </w:r>
      <w:r w:rsidRPr="0086627E">
        <w:rPr>
          <w:b/>
          <w:bCs/>
          <w:i/>
        </w:rPr>
        <w:tab/>
        <w:t>RMR Settlements</w:t>
      </w:r>
      <w:bookmarkEnd w:id="42"/>
      <w:bookmarkEnd w:id="43"/>
      <w:bookmarkEnd w:id="44"/>
    </w:p>
    <w:p w14:paraId="63199901" w14:textId="77777777" w:rsidR="00424F6A" w:rsidRPr="0086627E" w:rsidRDefault="00424F6A" w:rsidP="00424F6A">
      <w:pPr>
        <w:spacing w:after="240"/>
        <w:ind w:left="720" w:hanging="720"/>
        <w:rPr>
          <w:iCs/>
          <w:highlight w:val="yellow"/>
        </w:rPr>
      </w:pPr>
      <w:r w:rsidRPr="0086627E">
        <w:rPr>
          <w:iCs/>
        </w:rPr>
        <w:t>(1)</w:t>
      </w:r>
      <w:r w:rsidRPr="0086627E">
        <w:rPr>
          <w:iCs/>
        </w:rPr>
        <w:tab/>
        <w:t xml:space="preserve">After ERCOT resumes Settlement of the RTM following a Market Suspension, RMR Units shall be settled in accordance with Section 6.6.6.1, </w:t>
      </w:r>
      <w:r w:rsidRPr="0086627E">
        <w:t>RMR Standby Payment</w:t>
      </w:r>
      <w:r w:rsidRPr="0086627E">
        <w:rPr>
          <w:iCs/>
        </w:rPr>
        <w:t xml:space="preserve">, and </w:t>
      </w:r>
      <w:r w:rsidRPr="0086627E">
        <w:rPr>
          <w:iCs/>
        </w:rPr>
        <w:lastRenderedPageBreak/>
        <w:t xml:space="preserve">Section </w:t>
      </w:r>
      <w:r w:rsidRPr="0086627E">
        <w:t>6.6.6.2, RMR Payment for Energy,</w:t>
      </w:r>
      <w:r w:rsidRPr="0086627E">
        <w:rPr>
          <w:iCs/>
        </w:rPr>
        <w:t xml:space="preserve"> except that, before actual costs are submitted, the FIP may be replaced with the Market Suspension Average Fuel Index Price (MSAVGFIP), as described in Section 25.5.2, Market Suspension Make-Whole Payment.</w:t>
      </w:r>
    </w:p>
    <w:p w14:paraId="680F9DAB" w14:textId="77777777" w:rsidR="00424F6A" w:rsidRPr="0086627E" w:rsidRDefault="00424F6A" w:rsidP="00424F6A">
      <w:pPr>
        <w:keepNext/>
        <w:tabs>
          <w:tab w:val="left" w:pos="900"/>
        </w:tabs>
        <w:spacing w:before="240" w:after="240"/>
        <w:outlineLvl w:val="1"/>
        <w:rPr>
          <w:b/>
        </w:rPr>
      </w:pPr>
      <w:bookmarkStart w:id="45" w:name="_Toc493250765"/>
      <w:bookmarkStart w:id="46" w:name="_Toc181502"/>
      <w:bookmarkStart w:id="47" w:name="_Toc181600"/>
      <w:r w:rsidRPr="0086627E">
        <w:rPr>
          <w:b/>
        </w:rPr>
        <w:t>25.6</w:t>
      </w:r>
      <w:r w:rsidRPr="0086627E">
        <w:rPr>
          <w:b/>
        </w:rPr>
        <w:tab/>
        <w:t>ERCOT Retail Operations</w:t>
      </w:r>
      <w:bookmarkEnd w:id="45"/>
      <w:bookmarkEnd w:id="46"/>
      <w:bookmarkEnd w:id="47"/>
    </w:p>
    <w:p w14:paraId="3A208EF3" w14:textId="77777777" w:rsidR="00424F6A" w:rsidRPr="0086627E" w:rsidRDefault="00424F6A" w:rsidP="00424F6A">
      <w:pPr>
        <w:keepNext/>
        <w:tabs>
          <w:tab w:val="left" w:pos="1080"/>
        </w:tabs>
        <w:spacing w:before="240" w:after="240"/>
        <w:outlineLvl w:val="2"/>
        <w:rPr>
          <w:b/>
          <w:bCs/>
          <w:i/>
        </w:rPr>
      </w:pPr>
      <w:bookmarkStart w:id="48" w:name="_Toc493250766"/>
      <w:bookmarkStart w:id="49" w:name="_Toc181503"/>
      <w:bookmarkStart w:id="50" w:name="_Toc181601"/>
      <w:r w:rsidRPr="0086627E">
        <w:rPr>
          <w:b/>
          <w:bCs/>
          <w:i/>
        </w:rPr>
        <w:t>25.6.1</w:t>
      </w:r>
      <w:r w:rsidRPr="0086627E">
        <w:rPr>
          <w:b/>
          <w:bCs/>
          <w:i/>
        </w:rPr>
        <w:tab/>
        <w:t>ERCOT Retail Operations Market Suspension Procedures</w:t>
      </w:r>
      <w:bookmarkEnd w:id="48"/>
      <w:bookmarkEnd w:id="49"/>
      <w:bookmarkEnd w:id="50"/>
    </w:p>
    <w:p w14:paraId="0E18D45A" w14:textId="77777777" w:rsidR="00424F6A" w:rsidRPr="0086627E" w:rsidRDefault="00424F6A" w:rsidP="00424F6A">
      <w:pPr>
        <w:spacing w:after="240"/>
        <w:ind w:left="720" w:hanging="720"/>
      </w:pPr>
      <w:r w:rsidRPr="0086627E">
        <w:t>(1)</w:t>
      </w:r>
      <w:r w:rsidRPr="0086627E">
        <w:tab/>
        <w:t>Once ERCOT has declared a Market Suspension, Market Participants shall follow the processes outlined in Retail Market Guide Section 7.10, Extended Unplanned Outage, and in applicable supplementary documentation.</w:t>
      </w:r>
    </w:p>
    <w:p w14:paraId="69972C87" w14:textId="77777777" w:rsidR="00424F6A" w:rsidRPr="0086627E" w:rsidRDefault="00424F6A" w:rsidP="00424F6A">
      <w:pPr>
        <w:spacing w:after="240"/>
        <w:ind w:left="720" w:hanging="720"/>
      </w:pPr>
      <w:r w:rsidRPr="0086627E">
        <w:t>(2)</w:t>
      </w:r>
      <w:r w:rsidRPr="0086627E">
        <w:tab/>
        <w:t>Following a declaration of Market Suspension, when practicable, ERCOT shall issue a Market Notice informing Market Participants of when ERCOT expects to resume processing retail market transactions.  This may not be contemporaneous with the restart of other ERCOT market-related functions.</w:t>
      </w:r>
    </w:p>
    <w:p w14:paraId="67941AD8" w14:textId="77777777" w:rsidR="00424F6A" w:rsidRDefault="00424F6A" w:rsidP="00424F6A">
      <w:pPr>
        <w:spacing w:after="240"/>
        <w:ind w:left="720" w:hanging="720"/>
        <w:rPr>
          <w:b/>
        </w:rPr>
      </w:pPr>
      <w:r w:rsidRPr="0086627E">
        <w:t>(3)</w:t>
      </w:r>
      <w:r w:rsidRPr="0086627E">
        <w:tab/>
        <w:t>As soon as practicable, following the issuance of the Market Notice, ERCOT shall conduct one or more retail market conference calls.  The calls are intended to allow ERCOT and Market Participants to identify and communicate ongoing issues and system constraints, coordinate processes for staging, ordering and submission of back-logged retail market transactions, and identify impacts on related processes such as flight testing.</w:t>
      </w:r>
    </w:p>
    <w:bookmarkEnd w:id="2"/>
    <w:p w14:paraId="37D6CE93" w14:textId="77777777" w:rsidR="00424F6A" w:rsidRPr="00424F6A" w:rsidRDefault="00424F6A" w:rsidP="00424F6A">
      <w:pPr>
        <w:spacing w:after="240"/>
        <w:ind w:left="720" w:hanging="720"/>
      </w:pPr>
    </w:p>
    <w:sectPr w:rsidR="00424F6A" w:rsidRPr="00424F6A" w:rsidSect="002F5868">
      <w:headerReference w:type="default" r:id="rId32"/>
      <w:footerReference w:type="default" r:id="rId33"/>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2F40" w14:textId="77777777" w:rsidR="00F36D2B" w:rsidRDefault="00F36D2B">
      <w:r>
        <w:separator/>
      </w:r>
    </w:p>
  </w:endnote>
  <w:endnote w:type="continuationSeparator" w:id="0">
    <w:p w14:paraId="1F00F9E6" w14:textId="77777777" w:rsidR="00F36D2B" w:rsidRDefault="00F3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0780" w14:textId="77777777" w:rsidR="00424F6A" w:rsidRDefault="00424F6A">
    <w:pPr>
      <w:pStyle w:val="Footer"/>
      <w:spacing w:before="0" w:after="0"/>
    </w:pPr>
    <w:r>
      <w:t>ERCOT Nodal Protocols – March 1, 2019</w:t>
    </w:r>
  </w:p>
  <w:p w14:paraId="0EB7827C" w14:textId="77777777" w:rsidR="00424F6A" w:rsidRDefault="00424F6A">
    <w:pPr>
      <w:pStyle w:val="Footer"/>
      <w:spacing w:before="0" w:after="0"/>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4FB3" w14:textId="77777777" w:rsidR="00424F6A" w:rsidRDefault="00424F6A">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4784" w14:textId="42DABDB6" w:rsidR="00424F6A" w:rsidRDefault="00424F6A">
    <w:pPr>
      <w:pStyle w:val="Footer"/>
      <w:spacing w:before="0" w:after="0"/>
    </w:pPr>
    <w:r>
      <w:t xml:space="preserve">ERCOT Nodal Protocols – </w:t>
    </w:r>
    <w:r w:rsidR="00C23DE6">
      <w:t>October</w:t>
    </w:r>
    <w:r w:rsidR="00002C72">
      <w:t xml:space="preserve"> 1</w:t>
    </w:r>
    <w:r>
      <w:t>, 20</w:t>
    </w:r>
    <w:r w:rsidR="00A65E1E">
      <w:t>2</w:t>
    </w:r>
    <w:r w:rsidR="00C23DE6">
      <w:t>3</w:t>
    </w:r>
  </w:p>
  <w:p w14:paraId="11578765" w14:textId="77777777" w:rsidR="00424F6A" w:rsidRDefault="00424F6A">
    <w:pPr>
      <w:pStyle w:val="Foote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756C" w14:textId="779F5B48" w:rsidR="00424F6A" w:rsidRDefault="00424F6A">
    <w:pPr>
      <w:pStyle w:val="Footer"/>
      <w:spacing w:before="0" w:after="0"/>
      <w:rPr>
        <w:rStyle w:val="PageNumber"/>
      </w:rPr>
    </w:pPr>
    <w:r>
      <w:t xml:space="preserve">ERCOT Nodal Protocols – </w:t>
    </w:r>
    <w:r w:rsidR="00C23DE6">
      <w:t>October</w:t>
    </w:r>
    <w:r w:rsidR="00481F4F">
      <w:t xml:space="preserve"> 1</w:t>
    </w:r>
    <w:r>
      <w:t>, 20</w:t>
    </w:r>
    <w:r w:rsidR="00A65E1E">
      <w:t>2</w:t>
    </w:r>
    <w:r w:rsidR="00C23DE6">
      <w:t>3</w:t>
    </w:r>
    <w:r>
      <w:tab/>
    </w:r>
    <w:r>
      <w:tab/>
    </w:r>
    <w:r>
      <w:rPr>
        <w:rStyle w:val="PageNumber"/>
      </w:rPr>
      <w:fldChar w:fldCharType="begin"/>
    </w:r>
    <w:r>
      <w:rPr>
        <w:rStyle w:val="PageNumber"/>
      </w:rPr>
      <w:instrText xml:space="preserve"> PAGE </w:instrText>
    </w:r>
    <w:r>
      <w:rPr>
        <w:rStyle w:val="PageNumber"/>
      </w:rPr>
      <w:fldChar w:fldCharType="separate"/>
    </w:r>
    <w:r w:rsidR="0003274B">
      <w:rPr>
        <w:rStyle w:val="PageNumber"/>
        <w:noProof/>
      </w:rPr>
      <w:t>25-18</w:t>
    </w:r>
    <w:r>
      <w:rPr>
        <w:rStyle w:val="PageNumber"/>
      </w:rPr>
      <w:fldChar w:fldCharType="end"/>
    </w:r>
  </w:p>
  <w:p w14:paraId="01F988BB" w14:textId="77777777" w:rsidR="00424F6A" w:rsidRDefault="00424F6A">
    <w:pPr>
      <w:pStyle w:val="Footer"/>
      <w:spacing w:before="0" w:after="0"/>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2C64" w14:textId="77777777" w:rsidR="00F36D2B" w:rsidRDefault="00F36D2B">
      <w:r>
        <w:separator/>
      </w:r>
    </w:p>
  </w:footnote>
  <w:footnote w:type="continuationSeparator" w:id="0">
    <w:p w14:paraId="73F6B5A4" w14:textId="77777777" w:rsidR="00F36D2B" w:rsidRDefault="00F3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C74B" w14:textId="77777777" w:rsidR="00424F6A" w:rsidRDefault="00424F6A">
    <w:pPr>
      <w:pStyle w:val="Header"/>
    </w:pPr>
    <w:r>
      <w:t xml:space="preserve">Section </w:t>
    </w:r>
    <w:r>
      <w:rPr>
        <w:lang w:val="en-US"/>
      </w:rPr>
      <w:t>25</w:t>
    </w:r>
    <w:r>
      <w:t>: 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65C9" w14:textId="77777777" w:rsidR="00424F6A" w:rsidRDefault="00424F6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3910" w14:textId="77777777" w:rsidR="00424F6A" w:rsidRDefault="00424F6A">
    <w:pPr>
      <w:pStyle w:val="Header"/>
    </w:pPr>
    <w:r>
      <w:t xml:space="preserve">Section </w:t>
    </w:r>
    <w:r>
      <w:rPr>
        <w:lang w:val="en-US"/>
      </w:rPr>
      <w:t>25</w:t>
    </w:r>
    <w:r>
      <w:t>:  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AE73" w14:textId="77777777" w:rsidR="00424F6A" w:rsidRDefault="00424F6A">
    <w:pPr>
      <w:pStyle w:val="Header"/>
    </w:pPr>
    <w:r>
      <w:t xml:space="preserve">Section </w:t>
    </w:r>
    <w:r>
      <w:rPr>
        <w:lang w:val="en-US"/>
      </w:rPr>
      <w:t>25</w:t>
    </w:r>
    <w:r>
      <w:t xml:space="preserve">:  </w:t>
    </w:r>
    <w:r>
      <w:rPr>
        <w:lang w:val="en-US"/>
      </w:rPr>
      <w:t>Market Suspension and Restart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259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428D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3414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7263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C6CE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F4C3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2239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C6A9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6E03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BCE4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6510064"/>
    <w:multiLevelType w:val="multilevel"/>
    <w:tmpl w:val="1AA22B38"/>
    <w:lvl w:ilvl="0">
      <w:start w:val="25"/>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766804996">
    <w:abstractNumId w:val="10"/>
  </w:num>
  <w:num w:numId="2" w16cid:durableId="1024985161">
    <w:abstractNumId w:val="9"/>
  </w:num>
  <w:num w:numId="3" w16cid:durableId="1388534034">
    <w:abstractNumId w:val="7"/>
  </w:num>
  <w:num w:numId="4" w16cid:durableId="627470224">
    <w:abstractNumId w:val="6"/>
  </w:num>
  <w:num w:numId="5" w16cid:durableId="1017923922">
    <w:abstractNumId w:val="5"/>
  </w:num>
  <w:num w:numId="6" w16cid:durableId="425073866">
    <w:abstractNumId w:val="4"/>
  </w:num>
  <w:num w:numId="7" w16cid:durableId="1269583288">
    <w:abstractNumId w:val="8"/>
  </w:num>
  <w:num w:numId="8" w16cid:durableId="799959245">
    <w:abstractNumId w:val="3"/>
  </w:num>
  <w:num w:numId="9" w16cid:durableId="1820805963">
    <w:abstractNumId w:val="2"/>
  </w:num>
  <w:num w:numId="10" w16cid:durableId="700713307">
    <w:abstractNumId w:val="1"/>
  </w:num>
  <w:num w:numId="11" w16cid:durableId="134527925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56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68"/>
    <w:rsid w:val="000000C5"/>
    <w:rsid w:val="00001F8D"/>
    <w:rsid w:val="00002C72"/>
    <w:rsid w:val="000035E6"/>
    <w:rsid w:val="0000544B"/>
    <w:rsid w:val="00006895"/>
    <w:rsid w:val="000068BD"/>
    <w:rsid w:val="000136C7"/>
    <w:rsid w:val="00023C8A"/>
    <w:rsid w:val="000251BE"/>
    <w:rsid w:val="000253C4"/>
    <w:rsid w:val="0002714F"/>
    <w:rsid w:val="00027150"/>
    <w:rsid w:val="00030273"/>
    <w:rsid w:val="000320CD"/>
    <w:rsid w:val="0003274B"/>
    <w:rsid w:val="00033C22"/>
    <w:rsid w:val="00033F48"/>
    <w:rsid w:val="00035E9F"/>
    <w:rsid w:val="00036BB6"/>
    <w:rsid w:val="0004101E"/>
    <w:rsid w:val="00043E97"/>
    <w:rsid w:val="000460A8"/>
    <w:rsid w:val="00047280"/>
    <w:rsid w:val="00054A8E"/>
    <w:rsid w:val="00056548"/>
    <w:rsid w:val="0006082B"/>
    <w:rsid w:val="00063EF0"/>
    <w:rsid w:val="00066B18"/>
    <w:rsid w:val="00067966"/>
    <w:rsid w:val="000708EE"/>
    <w:rsid w:val="00071147"/>
    <w:rsid w:val="000755E1"/>
    <w:rsid w:val="00082CB5"/>
    <w:rsid w:val="00083BFB"/>
    <w:rsid w:val="00085B8E"/>
    <w:rsid w:val="00085EAD"/>
    <w:rsid w:val="00093653"/>
    <w:rsid w:val="00094D3D"/>
    <w:rsid w:val="000A0FDB"/>
    <w:rsid w:val="000A226C"/>
    <w:rsid w:val="000A2A47"/>
    <w:rsid w:val="000A3652"/>
    <w:rsid w:val="000A384D"/>
    <w:rsid w:val="000A5460"/>
    <w:rsid w:val="000A5E65"/>
    <w:rsid w:val="000A73E4"/>
    <w:rsid w:val="000A75FE"/>
    <w:rsid w:val="000A7801"/>
    <w:rsid w:val="000B0996"/>
    <w:rsid w:val="000B1CA3"/>
    <w:rsid w:val="000B38B6"/>
    <w:rsid w:val="000B61FF"/>
    <w:rsid w:val="000B7C5F"/>
    <w:rsid w:val="000B7DF0"/>
    <w:rsid w:val="000C2A50"/>
    <w:rsid w:val="000C2AC0"/>
    <w:rsid w:val="000C37A7"/>
    <w:rsid w:val="000C57A5"/>
    <w:rsid w:val="000C67FC"/>
    <w:rsid w:val="000E0BA1"/>
    <w:rsid w:val="000E1301"/>
    <w:rsid w:val="000E23F9"/>
    <w:rsid w:val="000E6BBB"/>
    <w:rsid w:val="000E7284"/>
    <w:rsid w:val="000F1BF0"/>
    <w:rsid w:val="000F1C3A"/>
    <w:rsid w:val="000F2071"/>
    <w:rsid w:val="000F6026"/>
    <w:rsid w:val="000F7AF0"/>
    <w:rsid w:val="000F7C60"/>
    <w:rsid w:val="001009FD"/>
    <w:rsid w:val="001012EA"/>
    <w:rsid w:val="00102381"/>
    <w:rsid w:val="0010494F"/>
    <w:rsid w:val="001121BB"/>
    <w:rsid w:val="001125D3"/>
    <w:rsid w:val="00117151"/>
    <w:rsid w:val="0012035F"/>
    <w:rsid w:val="00120CFD"/>
    <w:rsid w:val="00124699"/>
    <w:rsid w:val="001258ED"/>
    <w:rsid w:val="001322AF"/>
    <w:rsid w:val="00133F0B"/>
    <w:rsid w:val="001349D5"/>
    <w:rsid w:val="001364E1"/>
    <w:rsid w:val="00140D6D"/>
    <w:rsid w:val="0014132B"/>
    <w:rsid w:val="001430C8"/>
    <w:rsid w:val="001435D4"/>
    <w:rsid w:val="00147169"/>
    <w:rsid w:val="00147DBF"/>
    <w:rsid w:val="00150057"/>
    <w:rsid w:val="00155341"/>
    <w:rsid w:val="00160DE6"/>
    <w:rsid w:val="00160F14"/>
    <w:rsid w:val="00161EB6"/>
    <w:rsid w:val="00163446"/>
    <w:rsid w:val="001648A3"/>
    <w:rsid w:val="0016529C"/>
    <w:rsid w:val="0016715C"/>
    <w:rsid w:val="00171BE5"/>
    <w:rsid w:val="001745B7"/>
    <w:rsid w:val="00180464"/>
    <w:rsid w:val="00183051"/>
    <w:rsid w:val="001844E7"/>
    <w:rsid w:val="00186525"/>
    <w:rsid w:val="0018761D"/>
    <w:rsid w:val="001918D1"/>
    <w:rsid w:val="00191A7A"/>
    <w:rsid w:val="001A0C65"/>
    <w:rsid w:val="001A2B58"/>
    <w:rsid w:val="001A56DD"/>
    <w:rsid w:val="001A5D5B"/>
    <w:rsid w:val="001A64FC"/>
    <w:rsid w:val="001A6BAA"/>
    <w:rsid w:val="001A72B8"/>
    <w:rsid w:val="001B1100"/>
    <w:rsid w:val="001B2D9D"/>
    <w:rsid w:val="001B55F8"/>
    <w:rsid w:val="001B5C4D"/>
    <w:rsid w:val="001C0B6C"/>
    <w:rsid w:val="001C48D1"/>
    <w:rsid w:val="001C6D26"/>
    <w:rsid w:val="001D043B"/>
    <w:rsid w:val="001D38FF"/>
    <w:rsid w:val="001E0643"/>
    <w:rsid w:val="001E138A"/>
    <w:rsid w:val="001E5F4E"/>
    <w:rsid w:val="001E7A6D"/>
    <w:rsid w:val="001F68CA"/>
    <w:rsid w:val="002002D1"/>
    <w:rsid w:val="00201626"/>
    <w:rsid w:val="00201A4C"/>
    <w:rsid w:val="0020301C"/>
    <w:rsid w:val="00204362"/>
    <w:rsid w:val="00205879"/>
    <w:rsid w:val="00206CF3"/>
    <w:rsid w:val="002071AA"/>
    <w:rsid w:val="00211EBD"/>
    <w:rsid w:val="00214538"/>
    <w:rsid w:val="00214A0B"/>
    <w:rsid w:val="002175B0"/>
    <w:rsid w:val="002232DC"/>
    <w:rsid w:val="0022450A"/>
    <w:rsid w:val="00226522"/>
    <w:rsid w:val="00234DC8"/>
    <w:rsid w:val="00235107"/>
    <w:rsid w:val="00236629"/>
    <w:rsid w:val="0024094E"/>
    <w:rsid w:val="00242528"/>
    <w:rsid w:val="00242B20"/>
    <w:rsid w:val="002441AB"/>
    <w:rsid w:val="00246FD3"/>
    <w:rsid w:val="00250433"/>
    <w:rsid w:val="00250643"/>
    <w:rsid w:val="00251909"/>
    <w:rsid w:val="00252948"/>
    <w:rsid w:val="00253557"/>
    <w:rsid w:val="00253C93"/>
    <w:rsid w:val="00261EB0"/>
    <w:rsid w:val="0026307F"/>
    <w:rsid w:val="0026416B"/>
    <w:rsid w:val="00265942"/>
    <w:rsid w:val="0027128D"/>
    <w:rsid w:val="0027779A"/>
    <w:rsid w:val="00281166"/>
    <w:rsid w:val="00285F2A"/>
    <w:rsid w:val="00290A7B"/>
    <w:rsid w:val="00291EC0"/>
    <w:rsid w:val="00292C62"/>
    <w:rsid w:val="00293CA4"/>
    <w:rsid w:val="00293E99"/>
    <w:rsid w:val="00294083"/>
    <w:rsid w:val="002951E2"/>
    <w:rsid w:val="00296824"/>
    <w:rsid w:val="002A1127"/>
    <w:rsid w:val="002A13DC"/>
    <w:rsid w:val="002A1D73"/>
    <w:rsid w:val="002A2A80"/>
    <w:rsid w:val="002B138E"/>
    <w:rsid w:val="002B3B59"/>
    <w:rsid w:val="002B51D6"/>
    <w:rsid w:val="002B5502"/>
    <w:rsid w:val="002B56CF"/>
    <w:rsid w:val="002B6842"/>
    <w:rsid w:val="002B7F89"/>
    <w:rsid w:val="002C3780"/>
    <w:rsid w:val="002D002D"/>
    <w:rsid w:val="002D20CF"/>
    <w:rsid w:val="002D55E3"/>
    <w:rsid w:val="002D6B9C"/>
    <w:rsid w:val="002D6D19"/>
    <w:rsid w:val="002D6E97"/>
    <w:rsid w:val="002E18E2"/>
    <w:rsid w:val="002E37E9"/>
    <w:rsid w:val="002E4F8A"/>
    <w:rsid w:val="002E51C0"/>
    <w:rsid w:val="002E6E6E"/>
    <w:rsid w:val="002F2B12"/>
    <w:rsid w:val="002F5868"/>
    <w:rsid w:val="00303D8F"/>
    <w:rsid w:val="003060F3"/>
    <w:rsid w:val="003061A0"/>
    <w:rsid w:val="00306A37"/>
    <w:rsid w:val="00310475"/>
    <w:rsid w:val="00311602"/>
    <w:rsid w:val="00311E1F"/>
    <w:rsid w:val="003135A1"/>
    <w:rsid w:val="00313E64"/>
    <w:rsid w:val="00321B52"/>
    <w:rsid w:val="00322069"/>
    <w:rsid w:val="00326226"/>
    <w:rsid w:val="0033130E"/>
    <w:rsid w:val="00343EDE"/>
    <w:rsid w:val="003459E3"/>
    <w:rsid w:val="003460D2"/>
    <w:rsid w:val="00350834"/>
    <w:rsid w:val="00351268"/>
    <w:rsid w:val="00351A42"/>
    <w:rsid w:val="0035251C"/>
    <w:rsid w:val="00353E26"/>
    <w:rsid w:val="003543A9"/>
    <w:rsid w:val="0036205D"/>
    <w:rsid w:val="00364431"/>
    <w:rsid w:val="003711CE"/>
    <w:rsid w:val="00372438"/>
    <w:rsid w:val="00374222"/>
    <w:rsid w:val="00376976"/>
    <w:rsid w:val="0038222B"/>
    <w:rsid w:val="0038246D"/>
    <w:rsid w:val="003858AA"/>
    <w:rsid w:val="00390863"/>
    <w:rsid w:val="003919AB"/>
    <w:rsid w:val="0039567D"/>
    <w:rsid w:val="0039611D"/>
    <w:rsid w:val="00396995"/>
    <w:rsid w:val="003A1BE2"/>
    <w:rsid w:val="003A4253"/>
    <w:rsid w:val="003A4817"/>
    <w:rsid w:val="003A49A0"/>
    <w:rsid w:val="003A5B80"/>
    <w:rsid w:val="003A5FD2"/>
    <w:rsid w:val="003B1EED"/>
    <w:rsid w:val="003B64A7"/>
    <w:rsid w:val="003B6C4D"/>
    <w:rsid w:val="003C4632"/>
    <w:rsid w:val="003C5049"/>
    <w:rsid w:val="003D26CE"/>
    <w:rsid w:val="003D6DF8"/>
    <w:rsid w:val="003E07D7"/>
    <w:rsid w:val="003E1247"/>
    <w:rsid w:val="003E15FE"/>
    <w:rsid w:val="003E66E6"/>
    <w:rsid w:val="003F197D"/>
    <w:rsid w:val="003F391C"/>
    <w:rsid w:val="003F4A82"/>
    <w:rsid w:val="00402766"/>
    <w:rsid w:val="00402E00"/>
    <w:rsid w:val="00403487"/>
    <w:rsid w:val="00403ADC"/>
    <w:rsid w:val="0040428D"/>
    <w:rsid w:val="004107CF"/>
    <w:rsid w:val="00412101"/>
    <w:rsid w:val="00415636"/>
    <w:rsid w:val="00417F93"/>
    <w:rsid w:val="00421041"/>
    <w:rsid w:val="00423B63"/>
    <w:rsid w:val="00424F6A"/>
    <w:rsid w:val="00425E3A"/>
    <w:rsid w:val="004270F7"/>
    <w:rsid w:val="004275E0"/>
    <w:rsid w:val="004313A1"/>
    <w:rsid w:val="0043210C"/>
    <w:rsid w:val="00432B04"/>
    <w:rsid w:val="004354AA"/>
    <w:rsid w:val="00445B41"/>
    <w:rsid w:val="00445B98"/>
    <w:rsid w:val="00446EFA"/>
    <w:rsid w:val="00447305"/>
    <w:rsid w:val="00447DED"/>
    <w:rsid w:val="00456467"/>
    <w:rsid w:val="00457834"/>
    <w:rsid w:val="00462F4A"/>
    <w:rsid w:val="00463C16"/>
    <w:rsid w:val="004650F4"/>
    <w:rsid w:val="0046574D"/>
    <w:rsid w:val="004658AF"/>
    <w:rsid w:val="004715D5"/>
    <w:rsid w:val="00472482"/>
    <w:rsid w:val="00475AF6"/>
    <w:rsid w:val="00477FF2"/>
    <w:rsid w:val="00481F4F"/>
    <w:rsid w:val="00483A4E"/>
    <w:rsid w:val="004910D9"/>
    <w:rsid w:val="00491329"/>
    <w:rsid w:val="004935E4"/>
    <w:rsid w:val="0049412E"/>
    <w:rsid w:val="00496044"/>
    <w:rsid w:val="004A11AF"/>
    <w:rsid w:val="004A46F4"/>
    <w:rsid w:val="004B209B"/>
    <w:rsid w:val="004B44A5"/>
    <w:rsid w:val="004B5FAB"/>
    <w:rsid w:val="004B66C1"/>
    <w:rsid w:val="004B7604"/>
    <w:rsid w:val="004B7A25"/>
    <w:rsid w:val="004C2C73"/>
    <w:rsid w:val="004C526D"/>
    <w:rsid w:val="004C5654"/>
    <w:rsid w:val="004D1242"/>
    <w:rsid w:val="004D3B1C"/>
    <w:rsid w:val="004D4792"/>
    <w:rsid w:val="004D574D"/>
    <w:rsid w:val="004E038F"/>
    <w:rsid w:val="004E080B"/>
    <w:rsid w:val="004E2C89"/>
    <w:rsid w:val="004E7C37"/>
    <w:rsid w:val="004F28FF"/>
    <w:rsid w:val="004F3D2C"/>
    <w:rsid w:val="004F5535"/>
    <w:rsid w:val="004F6967"/>
    <w:rsid w:val="005003EA"/>
    <w:rsid w:val="0050306A"/>
    <w:rsid w:val="00504253"/>
    <w:rsid w:val="00505105"/>
    <w:rsid w:val="00512504"/>
    <w:rsid w:val="005125D9"/>
    <w:rsid w:val="00515754"/>
    <w:rsid w:val="00517288"/>
    <w:rsid w:val="00517D5E"/>
    <w:rsid w:val="00520303"/>
    <w:rsid w:val="00521229"/>
    <w:rsid w:val="00522B6A"/>
    <w:rsid w:val="00523B63"/>
    <w:rsid w:val="005243C6"/>
    <w:rsid w:val="00527F0A"/>
    <w:rsid w:val="00530CDD"/>
    <w:rsid w:val="005317FF"/>
    <w:rsid w:val="0053522E"/>
    <w:rsid w:val="0053718F"/>
    <w:rsid w:val="00541972"/>
    <w:rsid w:val="005438B0"/>
    <w:rsid w:val="0054792C"/>
    <w:rsid w:val="00547BEB"/>
    <w:rsid w:val="00551866"/>
    <w:rsid w:val="00560A5E"/>
    <w:rsid w:val="005627BA"/>
    <w:rsid w:val="005637BA"/>
    <w:rsid w:val="00581EC4"/>
    <w:rsid w:val="00582F8A"/>
    <w:rsid w:val="00585AFA"/>
    <w:rsid w:val="00587BE3"/>
    <w:rsid w:val="005908C4"/>
    <w:rsid w:val="005938C0"/>
    <w:rsid w:val="005944AA"/>
    <w:rsid w:val="0059696A"/>
    <w:rsid w:val="005A6716"/>
    <w:rsid w:val="005B1CA7"/>
    <w:rsid w:val="005B4116"/>
    <w:rsid w:val="005B4921"/>
    <w:rsid w:val="005B5951"/>
    <w:rsid w:val="005B6FDB"/>
    <w:rsid w:val="005C1687"/>
    <w:rsid w:val="005C29D8"/>
    <w:rsid w:val="005C544C"/>
    <w:rsid w:val="005D281B"/>
    <w:rsid w:val="005D4619"/>
    <w:rsid w:val="005D5E8B"/>
    <w:rsid w:val="005E1A1D"/>
    <w:rsid w:val="005E2D2D"/>
    <w:rsid w:val="005E45CD"/>
    <w:rsid w:val="005E554F"/>
    <w:rsid w:val="005E5E49"/>
    <w:rsid w:val="005E61C3"/>
    <w:rsid w:val="005F19AF"/>
    <w:rsid w:val="005F5141"/>
    <w:rsid w:val="005F6DBC"/>
    <w:rsid w:val="005F7F75"/>
    <w:rsid w:val="00600503"/>
    <w:rsid w:val="0060131A"/>
    <w:rsid w:val="006043B3"/>
    <w:rsid w:val="00605117"/>
    <w:rsid w:val="00610D6D"/>
    <w:rsid w:val="006125F3"/>
    <w:rsid w:val="0061513E"/>
    <w:rsid w:val="006154BC"/>
    <w:rsid w:val="0061794E"/>
    <w:rsid w:val="00620036"/>
    <w:rsid w:val="006200C1"/>
    <w:rsid w:val="00621AD4"/>
    <w:rsid w:val="00622553"/>
    <w:rsid w:val="0062315C"/>
    <w:rsid w:val="00624C4D"/>
    <w:rsid w:val="0062542E"/>
    <w:rsid w:val="00625828"/>
    <w:rsid w:val="00626FE5"/>
    <w:rsid w:val="00627BEB"/>
    <w:rsid w:val="00630156"/>
    <w:rsid w:val="00635A74"/>
    <w:rsid w:val="00642868"/>
    <w:rsid w:val="006439CE"/>
    <w:rsid w:val="006459C0"/>
    <w:rsid w:val="006503A0"/>
    <w:rsid w:val="0065052C"/>
    <w:rsid w:val="00655C6A"/>
    <w:rsid w:val="00656F6C"/>
    <w:rsid w:val="00657D04"/>
    <w:rsid w:val="00660ED3"/>
    <w:rsid w:val="00661B66"/>
    <w:rsid w:val="006639BC"/>
    <w:rsid w:val="00672846"/>
    <w:rsid w:val="00673C77"/>
    <w:rsid w:val="0067451A"/>
    <w:rsid w:val="0067556D"/>
    <w:rsid w:val="006766E6"/>
    <w:rsid w:val="006772EC"/>
    <w:rsid w:val="00681A15"/>
    <w:rsid w:val="00682ADA"/>
    <w:rsid w:val="006832D2"/>
    <w:rsid w:val="006843C4"/>
    <w:rsid w:val="00684AD0"/>
    <w:rsid w:val="00684E7F"/>
    <w:rsid w:val="0069541C"/>
    <w:rsid w:val="006A035C"/>
    <w:rsid w:val="006A0DCD"/>
    <w:rsid w:val="006A172D"/>
    <w:rsid w:val="006A3225"/>
    <w:rsid w:val="006A6713"/>
    <w:rsid w:val="006B1969"/>
    <w:rsid w:val="006B2CF0"/>
    <w:rsid w:val="006B4446"/>
    <w:rsid w:val="006C2755"/>
    <w:rsid w:val="006C2837"/>
    <w:rsid w:val="006D27AD"/>
    <w:rsid w:val="006D3549"/>
    <w:rsid w:val="006D7C6D"/>
    <w:rsid w:val="006E068D"/>
    <w:rsid w:val="006E1956"/>
    <w:rsid w:val="006E32CE"/>
    <w:rsid w:val="006E631F"/>
    <w:rsid w:val="006F4018"/>
    <w:rsid w:val="007004AA"/>
    <w:rsid w:val="0070162F"/>
    <w:rsid w:val="0070210E"/>
    <w:rsid w:val="00703204"/>
    <w:rsid w:val="00705090"/>
    <w:rsid w:val="0070570F"/>
    <w:rsid w:val="00710B0D"/>
    <w:rsid w:val="00715342"/>
    <w:rsid w:val="0071686C"/>
    <w:rsid w:val="00717EAF"/>
    <w:rsid w:val="00724433"/>
    <w:rsid w:val="0072783B"/>
    <w:rsid w:val="007331D3"/>
    <w:rsid w:val="00737C55"/>
    <w:rsid w:val="00742FDD"/>
    <w:rsid w:val="00743878"/>
    <w:rsid w:val="00745EF5"/>
    <w:rsid w:val="00747607"/>
    <w:rsid w:val="00752EC8"/>
    <w:rsid w:val="0076019C"/>
    <w:rsid w:val="007616A5"/>
    <w:rsid w:val="00761BFD"/>
    <w:rsid w:val="00763592"/>
    <w:rsid w:val="007672D2"/>
    <w:rsid w:val="007701F7"/>
    <w:rsid w:val="0077177A"/>
    <w:rsid w:val="0077281D"/>
    <w:rsid w:val="00773589"/>
    <w:rsid w:val="00774092"/>
    <w:rsid w:val="00775A2E"/>
    <w:rsid w:val="00775CFE"/>
    <w:rsid w:val="0078006B"/>
    <w:rsid w:val="00786C26"/>
    <w:rsid w:val="00791141"/>
    <w:rsid w:val="00792DE7"/>
    <w:rsid w:val="007945B4"/>
    <w:rsid w:val="0079688B"/>
    <w:rsid w:val="007A089B"/>
    <w:rsid w:val="007A2026"/>
    <w:rsid w:val="007A43DD"/>
    <w:rsid w:val="007A79A2"/>
    <w:rsid w:val="007B033B"/>
    <w:rsid w:val="007B06D6"/>
    <w:rsid w:val="007B102B"/>
    <w:rsid w:val="007B1EEB"/>
    <w:rsid w:val="007B2A42"/>
    <w:rsid w:val="007B47A4"/>
    <w:rsid w:val="007B726C"/>
    <w:rsid w:val="007C0E6C"/>
    <w:rsid w:val="007C365C"/>
    <w:rsid w:val="007C76AC"/>
    <w:rsid w:val="007C7737"/>
    <w:rsid w:val="007D06AD"/>
    <w:rsid w:val="007D2C11"/>
    <w:rsid w:val="007D58F9"/>
    <w:rsid w:val="007D7CB8"/>
    <w:rsid w:val="007E5131"/>
    <w:rsid w:val="007F0D31"/>
    <w:rsid w:val="007F130D"/>
    <w:rsid w:val="007F6435"/>
    <w:rsid w:val="008055DB"/>
    <w:rsid w:val="00805BD8"/>
    <w:rsid w:val="00805DC0"/>
    <w:rsid w:val="00806C76"/>
    <w:rsid w:val="00807BAA"/>
    <w:rsid w:val="0081505A"/>
    <w:rsid w:val="00817ABD"/>
    <w:rsid w:val="00821435"/>
    <w:rsid w:val="008233F3"/>
    <w:rsid w:val="00830A7A"/>
    <w:rsid w:val="008335B5"/>
    <w:rsid w:val="00834D02"/>
    <w:rsid w:val="00836781"/>
    <w:rsid w:val="00837214"/>
    <w:rsid w:val="00840089"/>
    <w:rsid w:val="008436F5"/>
    <w:rsid w:val="008523DC"/>
    <w:rsid w:val="00861226"/>
    <w:rsid w:val="00866CD3"/>
    <w:rsid w:val="008673D6"/>
    <w:rsid w:val="00870DFE"/>
    <w:rsid w:val="00873A65"/>
    <w:rsid w:val="0087738E"/>
    <w:rsid w:val="00881601"/>
    <w:rsid w:val="00885921"/>
    <w:rsid w:val="00890292"/>
    <w:rsid w:val="008910B8"/>
    <w:rsid w:val="00897313"/>
    <w:rsid w:val="008A5E12"/>
    <w:rsid w:val="008A6F94"/>
    <w:rsid w:val="008A7C8A"/>
    <w:rsid w:val="008B009F"/>
    <w:rsid w:val="008B1276"/>
    <w:rsid w:val="008B1A4B"/>
    <w:rsid w:val="008B1FB4"/>
    <w:rsid w:val="008C0CC8"/>
    <w:rsid w:val="008C3DDE"/>
    <w:rsid w:val="008C5651"/>
    <w:rsid w:val="008C7844"/>
    <w:rsid w:val="008D1435"/>
    <w:rsid w:val="008D24E9"/>
    <w:rsid w:val="008D29CB"/>
    <w:rsid w:val="008D4343"/>
    <w:rsid w:val="008D4BED"/>
    <w:rsid w:val="008E4139"/>
    <w:rsid w:val="008E54D9"/>
    <w:rsid w:val="008E5C98"/>
    <w:rsid w:val="008E5E2B"/>
    <w:rsid w:val="008E78FC"/>
    <w:rsid w:val="008E7DFD"/>
    <w:rsid w:val="008F4DA5"/>
    <w:rsid w:val="008F5450"/>
    <w:rsid w:val="00901575"/>
    <w:rsid w:val="0090287B"/>
    <w:rsid w:val="0090521F"/>
    <w:rsid w:val="009070AA"/>
    <w:rsid w:val="00907F91"/>
    <w:rsid w:val="00912BF3"/>
    <w:rsid w:val="009144A0"/>
    <w:rsid w:val="0091696B"/>
    <w:rsid w:val="009174A8"/>
    <w:rsid w:val="00921E0D"/>
    <w:rsid w:val="00926C4B"/>
    <w:rsid w:val="00934039"/>
    <w:rsid w:val="00934DBB"/>
    <w:rsid w:val="00936295"/>
    <w:rsid w:val="00936F53"/>
    <w:rsid w:val="00940731"/>
    <w:rsid w:val="009515C2"/>
    <w:rsid w:val="00952434"/>
    <w:rsid w:val="00952A87"/>
    <w:rsid w:val="009541DB"/>
    <w:rsid w:val="00955F72"/>
    <w:rsid w:val="00956262"/>
    <w:rsid w:val="009563DF"/>
    <w:rsid w:val="00957C3D"/>
    <w:rsid w:val="00957C8F"/>
    <w:rsid w:val="009634D0"/>
    <w:rsid w:val="009641F0"/>
    <w:rsid w:val="00965C63"/>
    <w:rsid w:val="00967AB9"/>
    <w:rsid w:val="00971A32"/>
    <w:rsid w:val="00974D32"/>
    <w:rsid w:val="00975D78"/>
    <w:rsid w:val="009810FA"/>
    <w:rsid w:val="009824DC"/>
    <w:rsid w:val="00982EB9"/>
    <w:rsid w:val="00983E12"/>
    <w:rsid w:val="009868C6"/>
    <w:rsid w:val="00996AD4"/>
    <w:rsid w:val="00997FBD"/>
    <w:rsid w:val="009A1A1C"/>
    <w:rsid w:val="009A33C2"/>
    <w:rsid w:val="009A7BE2"/>
    <w:rsid w:val="009B0206"/>
    <w:rsid w:val="009B31DD"/>
    <w:rsid w:val="009B64DF"/>
    <w:rsid w:val="009C13B9"/>
    <w:rsid w:val="009C1815"/>
    <w:rsid w:val="009C65F4"/>
    <w:rsid w:val="009C7EAA"/>
    <w:rsid w:val="009D05E9"/>
    <w:rsid w:val="009D1657"/>
    <w:rsid w:val="009D2CFF"/>
    <w:rsid w:val="009E0ADE"/>
    <w:rsid w:val="009F0903"/>
    <w:rsid w:val="009F09AC"/>
    <w:rsid w:val="009F0B1C"/>
    <w:rsid w:val="009F5B12"/>
    <w:rsid w:val="009F5FB6"/>
    <w:rsid w:val="009F6FA6"/>
    <w:rsid w:val="00A00929"/>
    <w:rsid w:val="00A0123C"/>
    <w:rsid w:val="00A04F41"/>
    <w:rsid w:val="00A06E01"/>
    <w:rsid w:val="00A0709E"/>
    <w:rsid w:val="00A11307"/>
    <w:rsid w:val="00A11754"/>
    <w:rsid w:val="00A27DF3"/>
    <w:rsid w:val="00A30919"/>
    <w:rsid w:val="00A31F5E"/>
    <w:rsid w:val="00A327D9"/>
    <w:rsid w:val="00A33960"/>
    <w:rsid w:val="00A375E0"/>
    <w:rsid w:val="00A40DA5"/>
    <w:rsid w:val="00A41D21"/>
    <w:rsid w:val="00A43CDA"/>
    <w:rsid w:val="00A44C61"/>
    <w:rsid w:val="00A45BD6"/>
    <w:rsid w:val="00A45F4D"/>
    <w:rsid w:val="00A46174"/>
    <w:rsid w:val="00A50ACF"/>
    <w:rsid w:val="00A516B7"/>
    <w:rsid w:val="00A51FF4"/>
    <w:rsid w:val="00A52987"/>
    <w:rsid w:val="00A5439E"/>
    <w:rsid w:val="00A566FB"/>
    <w:rsid w:val="00A57452"/>
    <w:rsid w:val="00A65E1E"/>
    <w:rsid w:val="00A7219F"/>
    <w:rsid w:val="00A739B7"/>
    <w:rsid w:val="00A74809"/>
    <w:rsid w:val="00A75C9C"/>
    <w:rsid w:val="00A762F9"/>
    <w:rsid w:val="00A8151D"/>
    <w:rsid w:val="00A81766"/>
    <w:rsid w:val="00A81CDE"/>
    <w:rsid w:val="00A828AC"/>
    <w:rsid w:val="00A83E2D"/>
    <w:rsid w:val="00A85BCD"/>
    <w:rsid w:val="00A86A56"/>
    <w:rsid w:val="00A8785C"/>
    <w:rsid w:val="00A9261D"/>
    <w:rsid w:val="00A927C1"/>
    <w:rsid w:val="00A95999"/>
    <w:rsid w:val="00AA2B4C"/>
    <w:rsid w:val="00AA3B01"/>
    <w:rsid w:val="00AA4115"/>
    <w:rsid w:val="00AA494E"/>
    <w:rsid w:val="00AA671F"/>
    <w:rsid w:val="00AA729C"/>
    <w:rsid w:val="00AA72D6"/>
    <w:rsid w:val="00AB0B54"/>
    <w:rsid w:val="00AB4C5C"/>
    <w:rsid w:val="00AB4FCB"/>
    <w:rsid w:val="00AC0159"/>
    <w:rsid w:val="00AC12CB"/>
    <w:rsid w:val="00AC397E"/>
    <w:rsid w:val="00AC45D1"/>
    <w:rsid w:val="00AC51AD"/>
    <w:rsid w:val="00AD4FFA"/>
    <w:rsid w:val="00AD6B53"/>
    <w:rsid w:val="00AE3DFF"/>
    <w:rsid w:val="00AF0151"/>
    <w:rsid w:val="00AF146B"/>
    <w:rsid w:val="00AF4195"/>
    <w:rsid w:val="00AF51C5"/>
    <w:rsid w:val="00B04421"/>
    <w:rsid w:val="00B05AB1"/>
    <w:rsid w:val="00B10197"/>
    <w:rsid w:val="00B10807"/>
    <w:rsid w:val="00B12127"/>
    <w:rsid w:val="00B176DE"/>
    <w:rsid w:val="00B23BDD"/>
    <w:rsid w:val="00B260EF"/>
    <w:rsid w:val="00B31C4A"/>
    <w:rsid w:val="00B32771"/>
    <w:rsid w:val="00B32A96"/>
    <w:rsid w:val="00B34F9F"/>
    <w:rsid w:val="00B350B2"/>
    <w:rsid w:val="00B404F7"/>
    <w:rsid w:val="00B4348A"/>
    <w:rsid w:val="00B4369A"/>
    <w:rsid w:val="00B4510E"/>
    <w:rsid w:val="00B45B18"/>
    <w:rsid w:val="00B46E5F"/>
    <w:rsid w:val="00B4754C"/>
    <w:rsid w:val="00B51DBE"/>
    <w:rsid w:val="00B54050"/>
    <w:rsid w:val="00B54458"/>
    <w:rsid w:val="00B547D0"/>
    <w:rsid w:val="00B55198"/>
    <w:rsid w:val="00B578C1"/>
    <w:rsid w:val="00B60A8A"/>
    <w:rsid w:val="00B60B52"/>
    <w:rsid w:val="00B61678"/>
    <w:rsid w:val="00B61842"/>
    <w:rsid w:val="00B636C5"/>
    <w:rsid w:val="00B637B2"/>
    <w:rsid w:val="00B64340"/>
    <w:rsid w:val="00B65A32"/>
    <w:rsid w:val="00B67065"/>
    <w:rsid w:val="00B72F60"/>
    <w:rsid w:val="00B7465A"/>
    <w:rsid w:val="00B761A9"/>
    <w:rsid w:val="00B7652C"/>
    <w:rsid w:val="00B77406"/>
    <w:rsid w:val="00B80215"/>
    <w:rsid w:val="00B91651"/>
    <w:rsid w:val="00BA2175"/>
    <w:rsid w:val="00BB2714"/>
    <w:rsid w:val="00BB34B8"/>
    <w:rsid w:val="00BB66C2"/>
    <w:rsid w:val="00BC0E66"/>
    <w:rsid w:val="00BC11EF"/>
    <w:rsid w:val="00BC51AE"/>
    <w:rsid w:val="00BC66E2"/>
    <w:rsid w:val="00BD15C8"/>
    <w:rsid w:val="00BD5CB4"/>
    <w:rsid w:val="00BD69A1"/>
    <w:rsid w:val="00BD782D"/>
    <w:rsid w:val="00BD7FB8"/>
    <w:rsid w:val="00BE2B09"/>
    <w:rsid w:val="00BE2C24"/>
    <w:rsid w:val="00BE428A"/>
    <w:rsid w:val="00BE75B3"/>
    <w:rsid w:val="00BE7C8B"/>
    <w:rsid w:val="00BF0D89"/>
    <w:rsid w:val="00BF1DA3"/>
    <w:rsid w:val="00BF2624"/>
    <w:rsid w:val="00BF5A2E"/>
    <w:rsid w:val="00C01026"/>
    <w:rsid w:val="00C027E8"/>
    <w:rsid w:val="00C04E6E"/>
    <w:rsid w:val="00C10591"/>
    <w:rsid w:val="00C10D4A"/>
    <w:rsid w:val="00C114BB"/>
    <w:rsid w:val="00C128CE"/>
    <w:rsid w:val="00C12F14"/>
    <w:rsid w:val="00C15ABF"/>
    <w:rsid w:val="00C15C18"/>
    <w:rsid w:val="00C16E4D"/>
    <w:rsid w:val="00C17663"/>
    <w:rsid w:val="00C20A8B"/>
    <w:rsid w:val="00C22141"/>
    <w:rsid w:val="00C2257A"/>
    <w:rsid w:val="00C23DE6"/>
    <w:rsid w:val="00C260FF"/>
    <w:rsid w:val="00C26A04"/>
    <w:rsid w:val="00C32638"/>
    <w:rsid w:val="00C339F8"/>
    <w:rsid w:val="00C341B5"/>
    <w:rsid w:val="00C342E1"/>
    <w:rsid w:val="00C376A6"/>
    <w:rsid w:val="00C37901"/>
    <w:rsid w:val="00C45481"/>
    <w:rsid w:val="00C50831"/>
    <w:rsid w:val="00C562E9"/>
    <w:rsid w:val="00C60453"/>
    <w:rsid w:val="00C65B19"/>
    <w:rsid w:val="00C668DB"/>
    <w:rsid w:val="00C715A2"/>
    <w:rsid w:val="00C738D0"/>
    <w:rsid w:val="00C74063"/>
    <w:rsid w:val="00C748BF"/>
    <w:rsid w:val="00C76E36"/>
    <w:rsid w:val="00C76F59"/>
    <w:rsid w:val="00C80487"/>
    <w:rsid w:val="00C8154C"/>
    <w:rsid w:val="00C82FE1"/>
    <w:rsid w:val="00C83788"/>
    <w:rsid w:val="00C86594"/>
    <w:rsid w:val="00C92C22"/>
    <w:rsid w:val="00CA140F"/>
    <w:rsid w:val="00CA42CE"/>
    <w:rsid w:val="00CA6168"/>
    <w:rsid w:val="00CB3F46"/>
    <w:rsid w:val="00CC2254"/>
    <w:rsid w:val="00CC2724"/>
    <w:rsid w:val="00CC2C42"/>
    <w:rsid w:val="00CC2CB6"/>
    <w:rsid w:val="00CC3A2F"/>
    <w:rsid w:val="00CC3B58"/>
    <w:rsid w:val="00CC6D81"/>
    <w:rsid w:val="00CD010C"/>
    <w:rsid w:val="00CD02B5"/>
    <w:rsid w:val="00CD0616"/>
    <w:rsid w:val="00CD0AE1"/>
    <w:rsid w:val="00CD11DE"/>
    <w:rsid w:val="00CD2A77"/>
    <w:rsid w:val="00CD5969"/>
    <w:rsid w:val="00CD6D10"/>
    <w:rsid w:val="00CE1EDD"/>
    <w:rsid w:val="00CF1772"/>
    <w:rsid w:val="00CF51F9"/>
    <w:rsid w:val="00D064CD"/>
    <w:rsid w:val="00D07C9B"/>
    <w:rsid w:val="00D07D1E"/>
    <w:rsid w:val="00D164B6"/>
    <w:rsid w:val="00D212C9"/>
    <w:rsid w:val="00D2227E"/>
    <w:rsid w:val="00D22854"/>
    <w:rsid w:val="00D26C2F"/>
    <w:rsid w:val="00D32259"/>
    <w:rsid w:val="00D33F7C"/>
    <w:rsid w:val="00D3504C"/>
    <w:rsid w:val="00D35C13"/>
    <w:rsid w:val="00D41086"/>
    <w:rsid w:val="00D4135D"/>
    <w:rsid w:val="00D41430"/>
    <w:rsid w:val="00D417F5"/>
    <w:rsid w:val="00D43AB7"/>
    <w:rsid w:val="00D43D04"/>
    <w:rsid w:val="00D4593D"/>
    <w:rsid w:val="00D45A31"/>
    <w:rsid w:val="00D54B14"/>
    <w:rsid w:val="00D573AF"/>
    <w:rsid w:val="00D60C3F"/>
    <w:rsid w:val="00D60E1F"/>
    <w:rsid w:val="00D6200E"/>
    <w:rsid w:val="00D65DA5"/>
    <w:rsid w:val="00D72B65"/>
    <w:rsid w:val="00D7343B"/>
    <w:rsid w:val="00D76779"/>
    <w:rsid w:val="00D860AF"/>
    <w:rsid w:val="00D861B4"/>
    <w:rsid w:val="00D87C4F"/>
    <w:rsid w:val="00D92915"/>
    <w:rsid w:val="00D94AF2"/>
    <w:rsid w:val="00D96653"/>
    <w:rsid w:val="00DA012B"/>
    <w:rsid w:val="00DA0705"/>
    <w:rsid w:val="00DA4A4B"/>
    <w:rsid w:val="00DA6ECC"/>
    <w:rsid w:val="00DB050B"/>
    <w:rsid w:val="00DB060E"/>
    <w:rsid w:val="00DB18E6"/>
    <w:rsid w:val="00DB343C"/>
    <w:rsid w:val="00DC3C3A"/>
    <w:rsid w:val="00DD1AC6"/>
    <w:rsid w:val="00DD1D08"/>
    <w:rsid w:val="00DD27A6"/>
    <w:rsid w:val="00DD3F92"/>
    <w:rsid w:val="00DD509D"/>
    <w:rsid w:val="00DE328B"/>
    <w:rsid w:val="00DF015C"/>
    <w:rsid w:val="00DF24EE"/>
    <w:rsid w:val="00DF38D3"/>
    <w:rsid w:val="00DF5A03"/>
    <w:rsid w:val="00DF6481"/>
    <w:rsid w:val="00DF681F"/>
    <w:rsid w:val="00DF7D9B"/>
    <w:rsid w:val="00E03C95"/>
    <w:rsid w:val="00E06781"/>
    <w:rsid w:val="00E11944"/>
    <w:rsid w:val="00E12252"/>
    <w:rsid w:val="00E1370A"/>
    <w:rsid w:val="00E14406"/>
    <w:rsid w:val="00E1441D"/>
    <w:rsid w:val="00E14FD5"/>
    <w:rsid w:val="00E1571F"/>
    <w:rsid w:val="00E162D3"/>
    <w:rsid w:val="00E16A8E"/>
    <w:rsid w:val="00E20193"/>
    <w:rsid w:val="00E20BFA"/>
    <w:rsid w:val="00E216F1"/>
    <w:rsid w:val="00E2470C"/>
    <w:rsid w:val="00E2546F"/>
    <w:rsid w:val="00E3188F"/>
    <w:rsid w:val="00E31B2E"/>
    <w:rsid w:val="00E33977"/>
    <w:rsid w:val="00E350FB"/>
    <w:rsid w:val="00E370FE"/>
    <w:rsid w:val="00E40982"/>
    <w:rsid w:val="00E4268D"/>
    <w:rsid w:val="00E43EEA"/>
    <w:rsid w:val="00E506A6"/>
    <w:rsid w:val="00E51290"/>
    <w:rsid w:val="00E54189"/>
    <w:rsid w:val="00E559DF"/>
    <w:rsid w:val="00E56166"/>
    <w:rsid w:val="00E575DC"/>
    <w:rsid w:val="00E57970"/>
    <w:rsid w:val="00E60681"/>
    <w:rsid w:val="00E63934"/>
    <w:rsid w:val="00E64F2C"/>
    <w:rsid w:val="00E65F0F"/>
    <w:rsid w:val="00E67D6C"/>
    <w:rsid w:val="00E72980"/>
    <w:rsid w:val="00E74465"/>
    <w:rsid w:val="00E75557"/>
    <w:rsid w:val="00E774AE"/>
    <w:rsid w:val="00E77A0E"/>
    <w:rsid w:val="00E82827"/>
    <w:rsid w:val="00E8338A"/>
    <w:rsid w:val="00E84C24"/>
    <w:rsid w:val="00E86047"/>
    <w:rsid w:val="00E9199F"/>
    <w:rsid w:val="00E92ED3"/>
    <w:rsid w:val="00E95E54"/>
    <w:rsid w:val="00EA0D20"/>
    <w:rsid w:val="00EA1878"/>
    <w:rsid w:val="00EA3180"/>
    <w:rsid w:val="00EA605F"/>
    <w:rsid w:val="00EA6E15"/>
    <w:rsid w:val="00EB11F5"/>
    <w:rsid w:val="00EB36D8"/>
    <w:rsid w:val="00EB4EA8"/>
    <w:rsid w:val="00EC2765"/>
    <w:rsid w:val="00EC276F"/>
    <w:rsid w:val="00EC2B48"/>
    <w:rsid w:val="00EC2F53"/>
    <w:rsid w:val="00EC44E0"/>
    <w:rsid w:val="00EC51CE"/>
    <w:rsid w:val="00EC5E8F"/>
    <w:rsid w:val="00ED0038"/>
    <w:rsid w:val="00ED19F9"/>
    <w:rsid w:val="00ED35B9"/>
    <w:rsid w:val="00ED49C8"/>
    <w:rsid w:val="00ED5A10"/>
    <w:rsid w:val="00ED6443"/>
    <w:rsid w:val="00ED793D"/>
    <w:rsid w:val="00EE0EA4"/>
    <w:rsid w:val="00EE4CDF"/>
    <w:rsid w:val="00EE5703"/>
    <w:rsid w:val="00EE5CA0"/>
    <w:rsid w:val="00EE7EC0"/>
    <w:rsid w:val="00EF0C69"/>
    <w:rsid w:val="00EF3F35"/>
    <w:rsid w:val="00EF65A8"/>
    <w:rsid w:val="00EF75AB"/>
    <w:rsid w:val="00F01559"/>
    <w:rsid w:val="00F0208D"/>
    <w:rsid w:val="00F030CF"/>
    <w:rsid w:val="00F168B9"/>
    <w:rsid w:val="00F2002A"/>
    <w:rsid w:val="00F20B37"/>
    <w:rsid w:val="00F26CD9"/>
    <w:rsid w:val="00F2728A"/>
    <w:rsid w:val="00F36D2B"/>
    <w:rsid w:val="00F37BB1"/>
    <w:rsid w:val="00F40281"/>
    <w:rsid w:val="00F40345"/>
    <w:rsid w:val="00F41621"/>
    <w:rsid w:val="00F41EE8"/>
    <w:rsid w:val="00F44960"/>
    <w:rsid w:val="00F44D5C"/>
    <w:rsid w:val="00F452AF"/>
    <w:rsid w:val="00F47A20"/>
    <w:rsid w:val="00F52B5F"/>
    <w:rsid w:val="00F53B62"/>
    <w:rsid w:val="00F53E4C"/>
    <w:rsid w:val="00F56172"/>
    <w:rsid w:val="00F6161A"/>
    <w:rsid w:val="00F617A5"/>
    <w:rsid w:val="00F6481F"/>
    <w:rsid w:val="00F70F4F"/>
    <w:rsid w:val="00F73C28"/>
    <w:rsid w:val="00F77B4D"/>
    <w:rsid w:val="00F81E15"/>
    <w:rsid w:val="00F8220C"/>
    <w:rsid w:val="00F8451F"/>
    <w:rsid w:val="00F91764"/>
    <w:rsid w:val="00F91DF9"/>
    <w:rsid w:val="00F95C3A"/>
    <w:rsid w:val="00F97EA0"/>
    <w:rsid w:val="00FA0C07"/>
    <w:rsid w:val="00FA0F94"/>
    <w:rsid w:val="00FA41B9"/>
    <w:rsid w:val="00FB42AF"/>
    <w:rsid w:val="00FB5823"/>
    <w:rsid w:val="00FB5C20"/>
    <w:rsid w:val="00FB7D72"/>
    <w:rsid w:val="00FB7D9C"/>
    <w:rsid w:val="00FB7FED"/>
    <w:rsid w:val="00FC76EA"/>
    <w:rsid w:val="00FD073D"/>
    <w:rsid w:val="00FE26F3"/>
    <w:rsid w:val="00FE2CC5"/>
    <w:rsid w:val="00FE5EEF"/>
    <w:rsid w:val="00FE62D1"/>
    <w:rsid w:val="00FE6F67"/>
    <w:rsid w:val="00FF0AAF"/>
    <w:rsid w:val="00FF4D5E"/>
    <w:rsid w:val="00FF55EB"/>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439F00DD"/>
  <w15:chartTrackingRefBased/>
  <w15:docId w15:val="{BCAA139D-B14A-4056-BCE6-51F18C50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5868"/>
    <w:rPr>
      <w:sz w:val="24"/>
    </w:rPr>
  </w:style>
  <w:style w:type="paragraph" w:styleId="Heading1">
    <w:name w:val="heading 1"/>
    <w:aliases w:val="h1"/>
    <w:basedOn w:val="Normal"/>
    <w:next w:val="BodyText"/>
    <w:link w:val="Heading1Char"/>
    <w:qFormat/>
    <w:rsid w:val="002F5868"/>
    <w:pPr>
      <w:keepNext/>
      <w:numPr>
        <w:numId w:val="1"/>
      </w:numPr>
      <w:spacing w:after="240"/>
      <w:outlineLvl w:val="0"/>
    </w:pPr>
    <w:rPr>
      <w:b/>
      <w:caps/>
    </w:rPr>
  </w:style>
  <w:style w:type="paragraph" w:styleId="Heading2">
    <w:name w:val="heading 2"/>
    <w:aliases w:val="h2"/>
    <w:basedOn w:val="Normal"/>
    <w:next w:val="BodyText"/>
    <w:link w:val="Heading2Char"/>
    <w:qFormat/>
    <w:rsid w:val="002F5868"/>
    <w:pPr>
      <w:keepNext/>
      <w:numPr>
        <w:ilvl w:val="1"/>
        <w:numId w:val="1"/>
      </w:numPr>
      <w:tabs>
        <w:tab w:val="left" w:pos="720"/>
      </w:tabs>
      <w:spacing w:before="240" w:after="240"/>
      <w:outlineLvl w:val="1"/>
    </w:pPr>
    <w:rPr>
      <w:b/>
    </w:rPr>
  </w:style>
  <w:style w:type="paragraph" w:styleId="Heading3">
    <w:name w:val="heading 3"/>
    <w:aliases w:val=" Char2 Char,h3"/>
    <w:basedOn w:val="Normal"/>
    <w:next w:val="BodyText"/>
    <w:link w:val="Heading3Char"/>
    <w:qFormat/>
    <w:rsid w:val="002F5868"/>
    <w:pPr>
      <w:keepNext/>
      <w:numPr>
        <w:ilvl w:val="2"/>
        <w:numId w:val="1"/>
      </w:numPr>
      <w:tabs>
        <w:tab w:val="left" w:pos="1008"/>
      </w:tabs>
      <w:spacing w:before="240" w:after="240"/>
      <w:outlineLvl w:val="2"/>
    </w:pPr>
    <w:rPr>
      <w:b/>
      <w:bCs/>
      <w:i/>
    </w:rPr>
  </w:style>
  <w:style w:type="paragraph" w:styleId="Heading4">
    <w:name w:val="heading 4"/>
    <w:aliases w:val="h4,delete"/>
    <w:basedOn w:val="Normal"/>
    <w:next w:val="BodyText"/>
    <w:link w:val="Heading4Char"/>
    <w:qFormat/>
    <w:rsid w:val="002F5868"/>
    <w:pPr>
      <w:keepNext/>
      <w:widowControl w:val="0"/>
      <w:numPr>
        <w:ilvl w:val="3"/>
        <w:numId w:val="1"/>
      </w:numPr>
      <w:tabs>
        <w:tab w:val="left" w:pos="1296"/>
      </w:tabs>
      <w:spacing w:before="240" w:after="240"/>
      <w:outlineLvl w:val="3"/>
    </w:pPr>
    <w:rPr>
      <w:b/>
      <w:bCs/>
      <w:snapToGrid w:val="0"/>
      <w:lang w:val="x-none" w:eastAsia="x-none"/>
    </w:rPr>
  </w:style>
  <w:style w:type="paragraph" w:styleId="Heading5">
    <w:name w:val="heading 5"/>
    <w:aliases w:val="h5"/>
    <w:basedOn w:val="Normal"/>
    <w:next w:val="BodyText"/>
    <w:link w:val="Heading5Char"/>
    <w:qFormat/>
    <w:rsid w:val="002F5868"/>
    <w:pPr>
      <w:keepNext/>
      <w:numPr>
        <w:ilvl w:val="4"/>
        <w:numId w:val="1"/>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2F5868"/>
    <w:pPr>
      <w:keepNext/>
      <w:numPr>
        <w:ilvl w:val="5"/>
        <w:numId w:val="1"/>
      </w:numPr>
      <w:tabs>
        <w:tab w:val="left" w:pos="1584"/>
      </w:tabs>
      <w:spacing w:before="240" w:after="240"/>
      <w:outlineLvl w:val="5"/>
    </w:pPr>
    <w:rPr>
      <w:b/>
      <w:bCs/>
      <w:szCs w:val="22"/>
      <w:lang w:val="x-none" w:eastAsia="x-none"/>
    </w:rPr>
  </w:style>
  <w:style w:type="paragraph" w:styleId="Heading7">
    <w:name w:val="heading 7"/>
    <w:basedOn w:val="Normal"/>
    <w:next w:val="BodyText"/>
    <w:link w:val="Heading7Char"/>
    <w:qFormat/>
    <w:rsid w:val="002F5868"/>
    <w:pPr>
      <w:keepNext/>
      <w:numPr>
        <w:ilvl w:val="6"/>
        <w:numId w:val="1"/>
      </w:numPr>
      <w:tabs>
        <w:tab w:val="left" w:pos="1728"/>
      </w:tabs>
      <w:spacing w:before="240" w:after="240"/>
      <w:outlineLvl w:val="6"/>
    </w:pPr>
    <w:rPr>
      <w:szCs w:val="24"/>
    </w:rPr>
  </w:style>
  <w:style w:type="paragraph" w:styleId="Heading8">
    <w:name w:val="heading 8"/>
    <w:basedOn w:val="Normal"/>
    <w:next w:val="BodyText"/>
    <w:link w:val="Heading8Char"/>
    <w:qFormat/>
    <w:rsid w:val="002F5868"/>
    <w:pPr>
      <w:keepNext/>
      <w:numPr>
        <w:ilvl w:val="7"/>
        <w:numId w:val="1"/>
      </w:numPr>
      <w:tabs>
        <w:tab w:val="left" w:pos="1872"/>
      </w:tabs>
      <w:spacing w:before="240" w:after="240"/>
      <w:outlineLvl w:val="7"/>
    </w:pPr>
    <w:rPr>
      <w:i/>
      <w:iCs/>
      <w:szCs w:val="24"/>
    </w:rPr>
  </w:style>
  <w:style w:type="paragraph" w:styleId="Heading9">
    <w:name w:val="heading 9"/>
    <w:basedOn w:val="Normal"/>
    <w:next w:val="BodyText"/>
    <w:link w:val="Heading9Char"/>
    <w:qFormat/>
    <w:rsid w:val="002F5868"/>
    <w:pPr>
      <w:keepNext/>
      <w:numPr>
        <w:ilvl w:val="8"/>
        <w:numId w:val="1"/>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link w:val="BodyTextChar3"/>
    <w:rsid w:val="002F5868"/>
    <w:pPr>
      <w:spacing w:after="240"/>
    </w:pPr>
    <w:rPr>
      <w:iCs/>
    </w:rPr>
  </w:style>
  <w:style w:type="character" w:customStyle="1" w:styleId="BodyTextChar3">
    <w:name w:val="Body Text Char3"/>
    <w:aliases w:val=" Char Char Char Char, Char1 Char1,Body Text Char Char Char, Char Char Char Char Char Char,Body Text Char2 Char Char Char1,Body Text Char2 Char Char Char Char Char Char Char Char Char Char Char Char1,Body Text Char2 Char Char2"/>
    <w:link w:val="BodyText"/>
    <w:rsid w:val="002F5868"/>
    <w:rPr>
      <w:iCs/>
      <w:sz w:val="24"/>
      <w:lang w:val="en-US" w:eastAsia="en-US" w:bidi="ar-SA"/>
    </w:rPr>
  </w:style>
  <w:style w:type="character" w:customStyle="1" w:styleId="Heading3Char">
    <w:name w:val="Heading 3 Char"/>
    <w:aliases w:val=" Char2 Char Char,h3 Char"/>
    <w:link w:val="Heading3"/>
    <w:rsid w:val="002F5868"/>
    <w:rPr>
      <w:b/>
      <w:bCs/>
      <w:i/>
      <w:sz w:val="24"/>
    </w:rPr>
  </w:style>
  <w:style w:type="paragraph" w:customStyle="1" w:styleId="Instructions">
    <w:name w:val="Instructions"/>
    <w:basedOn w:val="BodyText"/>
    <w:link w:val="InstructionsChar"/>
    <w:rsid w:val="002F5868"/>
    <w:rPr>
      <w:b/>
      <w:i/>
      <w:szCs w:val="24"/>
      <w:lang w:val="x-none" w:eastAsia="x-none"/>
    </w:rPr>
  </w:style>
  <w:style w:type="paragraph" w:styleId="List">
    <w:name w:val="List"/>
    <w:aliases w:val=" Char2 Char Char Char Char,Char1,Char2 Char Char Char Char"/>
    <w:basedOn w:val="Normal"/>
    <w:link w:val="ListChar"/>
    <w:rsid w:val="002F5868"/>
    <w:pPr>
      <w:spacing w:after="240"/>
      <w:ind w:left="1440" w:hanging="720"/>
    </w:pPr>
  </w:style>
  <w:style w:type="character" w:customStyle="1" w:styleId="ListChar">
    <w:name w:val="List Char"/>
    <w:aliases w:val=" Char2 Char Char Char Char Char1,Char1 Char,Char2 Char Char Char Char Char1"/>
    <w:link w:val="List"/>
    <w:rsid w:val="002F5868"/>
    <w:rPr>
      <w:sz w:val="24"/>
      <w:lang w:val="en-US" w:eastAsia="en-US" w:bidi="ar-SA"/>
    </w:rPr>
  </w:style>
  <w:style w:type="paragraph" w:styleId="BodyTextIndent">
    <w:name w:val="Body Text Indent"/>
    <w:aliases w:val=" Char"/>
    <w:basedOn w:val="Normal"/>
    <w:link w:val="BodyTextIndentChar1"/>
    <w:rsid w:val="002F5868"/>
    <w:pPr>
      <w:spacing w:after="240"/>
      <w:ind w:left="720"/>
    </w:pPr>
    <w:rPr>
      <w:iCs/>
      <w:lang w:val="x-none" w:eastAsia="x-none"/>
    </w:rPr>
  </w:style>
  <w:style w:type="paragraph" w:customStyle="1" w:styleId="Bullet">
    <w:name w:val="Bullet"/>
    <w:basedOn w:val="Normal"/>
    <w:link w:val="BulletChar"/>
    <w:rsid w:val="002F5868"/>
    <w:pPr>
      <w:tabs>
        <w:tab w:val="num" w:pos="1440"/>
      </w:tabs>
      <w:spacing w:after="180"/>
      <w:ind w:left="1440" w:hanging="360"/>
    </w:pPr>
    <w:rPr>
      <w:lang w:val="x-none" w:eastAsia="x-none"/>
    </w:rPr>
  </w:style>
  <w:style w:type="paragraph" w:customStyle="1" w:styleId="BulletIndent">
    <w:name w:val="Bullet Indent"/>
    <w:basedOn w:val="Normal"/>
    <w:link w:val="BulletIndentChar"/>
    <w:rsid w:val="002F5868"/>
    <w:pPr>
      <w:spacing w:after="180"/>
      <w:ind w:left="2340" w:hanging="547"/>
    </w:pPr>
  </w:style>
  <w:style w:type="paragraph" w:styleId="Footer">
    <w:name w:val="footer"/>
    <w:basedOn w:val="Normal"/>
    <w:link w:val="FooterChar"/>
    <w:uiPriority w:val="99"/>
    <w:rsid w:val="002F5868"/>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semiHidden/>
    <w:rsid w:val="002F5868"/>
    <w:rPr>
      <w:sz w:val="18"/>
    </w:rPr>
  </w:style>
  <w:style w:type="paragraph" w:styleId="Header">
    <w:name w:val="header"/>
    <w:basedOn w:val="Normal"/>
    <w:link w:val="HeaderChar"/>
    <w:rsid w:val="002F5868"/>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2F5868"/>
    <w:rPr>
      <w:color w:val="0000FF"/>
      <w:u w:val="single"/>
    </w:rPr>
  </w:style>
  <w:style w:type="paragraph" w:styleId="TOC1">
    <w:name w:val="toc 1"/>
    <w:basedOn w:val="Normal"/>
    <w:next w:val="Normal"/>
    <w:autoRedefine/>
    <w:uiPriority w:val="39"/>
    <w:rsid w:val="00424F6A"/>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uiPriority w:val="39"/>
    <w:rsid w:val="002F5868"/>
    <w:pPr>
      <w:tabs>
        <w:tab w:val="left" w:pos="1260"/>
        <w:tab w:val="right" w:leader="dot" w:pos="9360"/>
      </w:tabs>
      <w:ind w:left="1260" w:right="720" w:hanging="720"/>
    </w:pPr>
    <w:rPr>
      <w:sz w:val="20"/>
    </w:rPr>
  </w:style>
  <w:style w:type="paragraph" w:styleId="TOC3">
    <w:name w:val="toc 3"/>
    <w:basedOn w:val="Normal"/>
    <w:next w:val="Normal"/>
    <w:autoRedefine/>
    <w:uiPriority w:val="39"/>
    <w:rsid w:val="002F5868"/>
    <w:pPr>
      <w:tabs>
        <w:tab w:val="left" w:pos="1980"/>
        <w:tab w:val="right" w:leader="dot" w:pos="9360"/>
      </w:tabs>
      <w:ind w:left="1980" w:right="720" w:hanging="900"/>
    </w:pPr>
    <w:rPr>
      <w:i/>
      <w:iCs/>
      <w:sz w:val="20"/>
    </w:rPr>
  </w:style>
  <w:style w:type="character" w:styleId="PageNumber">
    <w:name w:val="page number"/>
    <w:basedOn w:val="DefaultParagraphFont"/>
    <w:rsid w:val="002F5868"/>
  </w:style>
  <w:style w:type="table" w:styleId="TableGrid">
    <w:name w:val="Table Grid"/>
    <w:basedOn w:val="TableNormal"/>
    <w:rsid w:val="002F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53522E"/>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2F5868"/>
    <w:pPr>
      <w:tabs>
        <w:tab w:val="left" w:pos="3600"/>
        <w:tab w:val="right" w:leader="dot" w:pos="9360"/>
      </w:tabs>
      <w:ind w:left="3600" w:right="720" w:hanging="1260"/>
    </w:pPr>
    <w:rPr>
      <w:i/>
      <w:noProof/>
      <w:sz w:val="18"/>
      <w:szCs w:val="18"/>
    </w:rPr>
  </w:style>
  <w:style w:type="paragraph" w:styleId="List2">
    <w:name w:val="List 2"/>
    <w:aliases w:val=" Char2,Char2 Char Char,Char2"/>
    <w:basedOn w:val="Normal"/>
    <w:link w:val="List2Char"/>
    <w:rsid w:val="002F5868"/>
    <w:pPr>
      <w:spacing w:after="240"/>
      <w:ind w:left="2160" w:hanging="720"/>
    </w:pPr>
    <w:rPr>
      <w:lang w:val="x-none" w:eastAsia="x-none"/>
    </w:rPr>
  </w:style>
  <w:style w:type="paragraph" w:styleId="List3">
    <w:name w:val="List 3"/>
    <w:basedOn w:val="Normal"/>
    <w:rsid w:val="002F5868"/>
    <w:pPr>
      <w:spacing w:after="240"/>
      <w:ind w:left="2880" w:hanging="720"/>
    </w:pPr>
  </w:style>
  <w:style w:type="paragraph" w:styleId="TOC6">
    <w:name w:val="toc 6"/>
    <w:basedOn w:val="Normal"/>
    <w:next w:val="Normal"/>
    <w:autoRedefine/>
    <w:uiPriority w:val="39"/>
    <w:rsid w:val="002F5868"/>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2F5868"/>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2F5868"/>
    <w:pPr>
      <w:ind w:left="1680"/>
    </w:pPr>
    <w:rPr>
      <w:sz w:val="18"/>
      <w:szCs w:val="18"/>
    </w:rPr>
  </w:style>
  <w:style w:type="paragraph" w:styleId="TOC9">
    <w:name w:val="toc 9"/>
    <w:basedOn w:val="Normal"/>
    <w:next w:val="Normal"/>
    <w:autoRedefine/>
    <w:uiPriority w:val="39"/>
    <w:rsid w:val="002F5868"/>
    <w:pPr>
      <w:ind w:left="1920"/>
    </w:pPr>
    <w:rPr>
      <w:sz w:val="18"/>
      <w:szCs w:val="18"/>
    </w:rPr>
  </w:style>
  <w:style w:type="paragraph" w:customStyle="1" w:styleId="H5">
    <w:name w:val="H5"/>
    <w:basedOn w:val="Heading5"/>
    <w:next w:val="BodyText"/>
    <w:link w:val="H5Char"/>
    <w:rsid w:val="002F5868"/>
    <w:pPr>
      <w:numPr>
        <w:ilvl w:val="0"/>
        <w:numId w:val="0"/>
      </w:numPr>
      <w:tabs>
        <w:tab w:val="clear" w:pos="1440"/>
        <w:tab w:val="left" w:pos="1620"/>
      </w:tabs>
      <w:ind w:left="1620" w:hanging="1620"/>
    </w:pPr>
  </w:style>
  <w:style w:type="paragraph" w:customStyle="1" w:styleId="H2">
    <w:name w:val="H2"/>
    <w:basedOn w:val="Heading2"/>
    <w:next w:val="BodyText"/>
    <w:link w:val="H2Char"/>
    <w:rsid w:val="002F5868"/>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1"/>
    <w:rsid w:val="002F5868"/>
    <w:pPr>
      <w:numPr>
        <w:ilvl w:val="0"/>
        <w:numId w:val="0"/>
      </w:numPr>
      <w:tabs>
        <w:tab w:val="clear" w:pos="1008"/>
        <w:tab w:val="left" w:pos="1080"/>
      </w:tabs>
      <w:ind w:left="1080" w:hanging="1080"/>
    </w:pPr>
    <w:rPr>
      <w:b w:val="0"/>
      <w:bCs w:val="0"/>
      <w:i w:val="0"/>
    </w:rPr>
  </w:style>
  <w:style w:type="character" w:customStyle="1" w:styleId="H3Char1">
    <w:name w:val="H3 Char1"/>
    <w:link w:val="H3"/>
    <w:rsid w:val="002F5868"/>
    <w:rPr>
      <w:b w:val="0"/>
      <w:bCs w:val="0"/>
      <w:i w:val="0"/>
      <w:sz w:val="24"/>
      <w:lang w:val="en-US" w:eastAsia="en-US" w:bidi="ar-SA"/>
    </w:rPr>
  </w:style>
  <w:style w:type="paragraph" w:customStyle="1" w:styleId="H4">
    <w:name w:val="H4"/>
    <w:basedOn w:val="Heading4"/>
    <w:next w:val="BodyText"/>
    <w:link w:val="H4Char"/>
    <w:rsid w:val="002F5868"/>
    <w:pPr>
      <w:numPr>
        <w:ilvl w:val="0"/>
        <w:numId w:val="0"/>
      </w:numPr>
      <w:tabs>
        <w:tab w:val="clear" w:pos="1296"/>
        <w:tab w:val="left" w:pos="1260"/>
      </w:tabs>
      <w:ind w:left="1260" w:hanging="1260"/>
    </w:pPr>
    <w:rPr>
      <w:lang w:val="en-US" w:eastAsia="en-US"/>
    </w:rPr>
  </w:style>
  <w:style w:type="paragraph" w:customStyle="1" w:styleId="H6">
    <w:name w:val="H6"/>
    <w:basedOn w:val="Heading6"/>
    <w:next w:val="BodyText"/>
    <w:link w:val="H6Char"/>
    <w:rsid w:val="002F5868"/>
    <w:pPr>
      <w:numPr>
        <w:ilvl w:val="0"/>
        <w:numId w:val="0"/>
      </w:numPr>
      <w:tabs>
        <w:tab w:val="clear" w:pos="1584"/>
        <w:tab w:val="left" w:pos="1800"/>
      </w:tabs>
      <w:ind w:left="1800" w:hanging="1800"/>
    </w:pPr>
  </w:style>
  <w:style w:type="paragraph" w:customStyle="1" w:styleId="H7">
    <w:name w:val="H7"/>
    <w:basedOn w:val="Heading7"/>
    <w:next w:val="BodyText"/>
    <w:rsid w:val="002F5868"/>
    <w:pPr>
      <w:numPr>
        <w:ilvl w:val="0"/>
        <w:numId w:val="0"/>
      </w:numPr>
      <w:tabs>
        <w:tab w:val="clear" w:pos="1728"/>
        <w:tab w:val="left" w:pos="1980"/>
      </w:tabs>
      <w:ind w:left="1980" w:hanging="1980"/>
    </w:pPr>
    <w:rPr>
      <w:b/>
      <w:i/>
    </w:rPr>
  </w:style>
  <w:style w:type="paragraph" w:customStyle="1" w:styleId="H8">
    <w:name w:val="H8"/>
    <w:basedOn w:val="Heading8"/>
    <w:next w:val="BodyText"/>
    <w:rsid w:val="002F5868"/>
    <w:pPr>
      <w:numPr>
        <w:ilvl w:val="0"/>
        <w:numId w:val="0"/>
      </w:numPr>
      <w:tabs>
        <w:tab w:val="clear" w:pos="1872"/>
        <w:tab w:val="left" w:pos="2160"/>
      </w:tabs>
      <w:ind w:left="2160" w:hanging="2160"/>
    </w:pPr>
    <w:rPr>
      <w:b/>
      <w:i w:val="0"/>
    </w:rPr>
  </w:style>
  <w:style w:type="paragraph" w:customStyle="1" w:styleId="H9">
    <w:name w:val="H9"/>
    <w:basedOn w:val="Heading9"/>
    <w:next w:val="BodyText"/>
    <w:rsid w:val="002F5868"/>
    <w:pPr>
      <w:numPr>
        <w:ilvl w:val="0"/>
        <w:numId w:val="0"/>
      </w:numPr>
      <w:tabs>
        <w:tab w:val="clear" w:pos="2160"/>
        <w:tab w:val="left" w:pos="2340"/>
      </w:tabs>
      <w:ind w:left="2340" w:hanging="2340"/>
    </w:pPr>
    <w:rPr>
      <w:i/>
    </w:rPr>
  </w:style>
  <w:style w:type="table" w:customStyle="1" w:styleId="BoxedLanguage">
    <w:name w:val="Boxed Language"/>
    <w:basedOn w:val="TableNormal"/>
    <w:rsid w:val="002F5868"/>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2F5868"/>
  </w:style>
  <w:style w:type="paragraph" w:customStyle="1" w:styleId="ListIntroduction">
    <w:name w:val="List Introduction"/>
    <w:basedOn w:val="BodyText"/>
    <w:link w:val="ListIntroductionChar"/>
    <w:rsid w:val="002F5868"/>
    <w:pPr>
      <w:keepNext/>
    </w:pPr>
  </w:style>
  <w:style w:type="character" w:customStyle="1" w:styleId="ListIntroductionChar">
    <w:name w:val="List Introduction Char"/>
    <w:link w:val="ListIntroduction"/>
    <w:rsid w:val="002F5868"/>
    <w:rPr>
      <w:iCs/>
      <w:sz w:val="24"/>
      <w:lang w:val="en-US" w:eastAsia="en-US" w:bidi="ar-SA"/>
    </w:rPr>
  </w:style>
  <w:style w:type="paragraph" w:customStyle="1" w:styleId="VariableDefinition">
    <w:name w:val="Variable Definition"/>
    <w:basedOn w:val="BodyTextIndent"/>
    <w:link w:val="VariableDefinitionChar"/>
    <w:rsid w:val="002F5868"/>
    <w:pPr>
      <w:tabs>
        <w:tab w:val="left" w:pos="2160"/>
      </w:tabs>
      <w:ind w:left="2160" w:hanging="1440"/>
      <w:contextualSpacing/>
    </w:pPr>
  </w:style>
  <w:style w:type="paragraph" w:customStyle="1" w:styleId="FormulaBold">
    <w:name w:val="Formula Bold"/>
    <w:basedOn w:val="Normal"/>
    <w:link w:val="FormulaBoldChar"/>
    <w:autoRedefine/>
    <w:rsid w:val="006A6713"/>
    <w:pPr>
      <w:tabs>
        <w:tab w:val="left" w:pos="2340"/>
        <w:tab w:val="left" w:pos="3420"/>
      </w:tabs>
      <w:spacing w:after="240"/>
      <w:ind w:left="1440"/>
    </w:pPr>
    <w:rPr>
      <w:b/>
      <w:lang w:val="x-none" w:eastAsia="x-none"/>
    </w:rPr>
  </w:style>
  <w:style w:type="paragraph" w:customStyle="1" w:styleId="Formula">
    <w:name w:val="Formula"/>
    <w:basedOn w:val="Normal"/>
    <w:autoRedefine/>
    <w:rsid w:val="002F5868"/>
    <w:pPr>
      <w:tabs>
        <w:tab w:val="left" w:pos="2340"/>
        <w:tab w:val="left" w:pos="3420"/>
      </w:tabs>
      <w:spacing w:after="240"/>
      <w:ind w:left="3420" w:hanging="2700"/>
    </w:pPr>
    <w:rPr>
      <w:bCs/>
      <w:szCs w:val="24"/>
    </w:rPr>
  </w:style>
  <w:style w:type="paragraph" w:customStyle="1" w:styleId="ListSub">
    <w:name w:val="List Sub"/>
    <w:basedOn w:val="List"/>
    <w:link w:val="ListSubChar"/>
    <w:rsid w:val="002F5868"/>
    <w:pPr>
      <w:ind w:firstLine="0"/>
    </w:pPr>
  </w:style>
  <w:style w:type="table" w:customStyle="1" w:styleId="VariableTable">
    <w:name w:val="Variable Table"/>
    <w:basedOn w:val="TableNormal"/>
    <w:rsid w:val="002F5868"/>
    <w:tblPr/>
  </w:style>
  <w:style w:type="table" w:customStyle="1" w:styleId="FormulaVariableTable">
    <w:name w:val="Formula Variable Table"/>
    <w:basedOn w:val="TableNormal"/>
    <w:rsid w:val="002F5868"/>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2F5868"/>
    <w:pPr>
      <w:keepNext/>
      <w:spacing w:before="240"/>
    </w:pPr>
    <w:rPr>
      <w:b/>
    </w:rPr>
  </w:style>
  <w:style w:type="paragraph" w:customStyle="1" w:styleId="TableBody">
    <w:name w:val="Table Body"/>
    <w:basedOn w:val="BodyText"/>
    <w:rsid w:val="002F5868"/>
    <w:pPr>
      <w:spacing w:after="60"/>
    </w:pPr>
    <w:rPr>
      <w:sz w:val="20"/>
    </w:rPr>
  </w:style>
  <w:style w:type="paragraph" w:customStyle="1" w:styleId="TableHead">
    <w:name w:val="Table Head"/>
    <w:basedOn w:val="BodyText"/>
    <w:rsid w:val="002F5868"/>
    <w:pPr>
      <w:spacing w:after="120"/>
    </w:pPr>
    <w:rPr>
      <w:b/>
      <w:sz w:val="20"/>
    </w:rPr>
  </w:style>
  <w:style w:type="paragraph" w:customStyle="1" w:styleId="TableBullet">
    <w:name w:val="Table Bullet"/>
    <w:basedOn w:val="TableBody"/>
    <w:rsid w:val="002F5868"/>
    <w:pPr>
      <w:tabs>
        <w:tab w:val="num" w:pos="360"/>
      </w:tabs>
      <w:ind w:left="360" w:hanging="360"/>
    </w:pPr>
  </w:style>
  <w:style w:type="paragraph" w:styleId="BodyText2">
    <w:name w:val="Body Text 2"/>
    <w:basedOn w:val="Normal"/>
    <w:link w:val="BodyText2Char"/>
    <w:rsid w:val="002F5868"/>
    <w:pPr>
      <w:spacing w:after="120" w:line="480" w:lineRule="auto"/>
      <w:ind w:left="1440" w:hanging="720"/>
    </w:pPr>
  </w:style>
  <w:style w:type="paragraph" w:customStyle="1" w:styleId="BodyTextNumbered">
    <w:name w:val="Body Text Numbered"/>
    <w:basedOn w:val="BodyText"/>
    <w:link w:val="BodyTextNumberedChar"/>
    <w:rsid w:val="002F5868"/>
    <w:pPr>
      <w:ind w:left="720" w:hanging="720"/>
    </w:pPr>
    <w:rPr>
      <w:iCs w:val="0"/>
    </w:rPr>
  </w:style>
  <w:style w:type="character" w:customStyle="1" w:styleId="BodyTextNumberedChar">
    <w:name w:val="Body Text Numbered Char"/>
    <w:link w:val="BodyTextNumbered"/>
    <w:rsid w:val="002F5868"/>
    <w:rPr>
      <w:iCs w:val="0"/>
      <w:sz w:val="24"/>
      <w:lang w:val="en-US" w:eastAsia="en-US" w:bidi="ar-SA"/>
    </w:rPr>
  </w:style>
  <w:style w:type="paragraph" w:customStyle="1" w:styleId="H3Char">
    <w:name w:val="H3 Char"/>
    <w:basedOn w:val="Heading3"/>
    <w:next w:val="BodyText"/>
    <w:link w:val="H3CharChar"/>
    <w:rsid w:val="002F5868"/>
    <w:pPr>
      <w:numPr>
        <w:ilvl w:val="0"/>
        <w:numId w:val="0"/>
      </w:numPr>
      <w:tabs>
        <w:tab w:val="clear" w:pos="1008"/>
        <w:tab w:val="left" w:pos="1080"/>
      </w:tabs>
      <w:ind w:left="1080" w:hanging="1080"/>
    </w:pPr>
    <w:rPr>
      <w:b w:val="0"/>
      <w:bCs w:val="0"/>
      <w:i w:val="0"/>
    </w:rPr>
  </w:style>
  <w:style w:type="character" w:customStyle="1" w:styleId="H3CharChar">
    <w:name w:val="H3 Char Char"/>
    <w:link w:val="H3Char"/>
    <w:rsid w:val="002F5868"/>
    <w:rPr>
      <w:b w:val="0"/>
      <w:bCs w:val="0"/>
      <w:i w:val="0"/>
      <w:sz w:val="24"/>
      <w:lang w:val="en-US" w:eastAsia="en-US" w:bidi="ar-SA"/>
    </w:rPr>
  </w:style>
  <w:style w:type="character" w:customStyle="1" w:styleId="Char1CharChar">
    <w:name w:val="Char1 Char Char"/>
    <w:rsid w:val="002F5868"/>
    <w:rPr>
      <w:sz w:val="24"/>
      <w:lang w:val="en-US" w:eastAsia="en-US" w:bidi="ar-SA"/>
    </w:rPr>
  </w:style>
  <w:style w:type="paragraph" w:styleId="Index1">
    <w:name w:val="index 1"/>
    <w:basedOn w:val="Normal"/>
    <w:next w:val="Normal"/>
    <w:autoRedefine/>
    <w:semiHidden/>
    <w:rsid w:val="002F5868"/>
    <w:pPr>
      <w:ind w:left="240" w:hanging="240"/>
    </w:pPr>
    <w:rPr>
      <w:sz w:val="18"/>
      <w:szCs w:val="18"/>
    </w:rPr>
  </w:style>
  <w:style w:type="paragraph" w:styleId="Index2">
    <w:name w:val="index 2"/>
    <w:basedOn w:val="Normal"/>
    <w:next w:val="Normal"/>
    <w:autoRedefine/>
    <w:semiHidden/>
    <w:rsid w:val="002F5868"/>
    <w:pPr>
      <w:ind w:left="480" w:hanging="240"/>
    </w:pPr>
    <w:rPr>
      <w:sz w:val="18"/>
      <w:szCs w:val="18"/>
    </w:rPr>
  </w:style>
  <w:style w:type="paragraph" w:styleId="Index3">
    <w:name w:val="index 3"/>
    <w:basedOn w:val="Normal"/>
    <w:next w:val="Normal"/>
    <w:autoRedefine/>
    <w:semiHidden/>
    <w:rsid w:val="002F5868"/>
    <w:pPr>
      <w:ind w:left="720" w:hanging="240"/>
    </w:pPr>
    <w:rPr>
      <w:sz w:val="18"/>
      <w:szCs w:val="18"/>
    </w:rPr>
  </w:style>
  <w:style w:type="paragraph" w:styleId="Index4">
    <w:name w:val="index 4"/>
    <w:basedOn w:val="Normal"/>
    <w:next w:val="Normal"/>
    <w:autoRedefine/>
    <w:semiHidden/>
    <w:rsid w:val="002F5868"/>
    <w:pPr>
      <w:ind w:left="960" w:hanging="240"/>
    </w:pPr>
    <w:rPr>
      <w:sz w:val="18"/>
      <w:szCs w:val="18"/>
    </w:rPr>
  </w:style>
  <w:style w:type="paragraph" w:styleId="Index5">
    <w:name w:val="index 5"/>
    <w:basedOn w:val="Normal"/>
    <w:next w:val="Normal"/>
    <w:autoRedefine/>
    <w:semiHidden/>
    <w:rsid w:val="002F5868"/>
    <w:pPr>
      <w:ind w:left="1200" w:hanging="240"/>
    </w:pPr>
    <w:rPr>
      <w:sz w:val="18"/>
      <w:szCs w:val="18"/>
    </w:rPr>
  </w:style>
  <w:style w:type="paragraph" w:styleId="Index6">
    <w:name w:val="index 6"/>
    <w:basedOn w:val="Normal"/>
    <w:next w:val="Normal"/>
    <w:autoRedefine/>
    <w:semiHidden/>
    <w:rsid w:val="002F5868"/>
    <w:pPr>
      <w:ind w:left="1440" w:hanging="240"/>
    </w:pPr>
    <w:rPr>
      <w:sz w:val="18"/>
      <w:szCs w:val="18"/>
    </w:rPr>
  </w:style>
  <w:style w:type="paragraph" w:styleId="Index7">
    <w:name w:val="index 7"/>
    <w:basedOn w:val="Normal"/>
    <w:next w:val="Normal"/>
    <w:autoRedefine/>
    <w:semiHidden/>
    <w:rsid w:val="002F5868"/>
    <w:pPr>
      <w:ind w:left="1680" w:hanging="240"/>
    </w:pPr>
    <w:rPr>
      <w:sz w:val="18"/>
      <w:szCs w:val="18"/>
    </w:rPr>
  </w:style>
  <w:style w:type="paragraph" w:styleId="Index8">
    <w:name w:val="index 8"/>
    <w:basedOn w:val="Normal"/>
    <w:next w:val="Normal"/>
    <w:autoRedefine/>
    <w:semiHidden/>
    <w:rsid w:val="002F5868"/>
    <w:pPr>
      <w:ind w:left="1920" w:hanging="240"/>
    </w:pPr>
    <w:rPr>
      <w:sz w:val="18"/>
      <w:szCs w:val="18"/>
    </w:rPr>
  </w:style>
  <w:style w:type="paragraph" w:styleId="Index9">
    <w:name w:val="index 9"/>
    <w:basedOn w:val="Normal"/>
    <w:next w:val="Normal"/>
    <w:autoRedefine/>
    <w:semiHidden/>
    <w:rsid w:val="002F5868"/>
    <w:pPr>
      <w:ind w:left="2160" w:hanging="240"/>
    </w:pPr>
    <w:rPr>
      <w:sz w:val="18"/>
      <w:szCs w:val="18"/>
    </w:rPr>
  </w:style>
  <w:style w:type="paragraph" w:styleId="IndexHeading">
    <w:name w:val="index heading"/>
    <w:basedOn w:val="Normal"/>
    <w:next w:val="Index1"/>
    <w:semiHidden/>
    <w:rsid w:val="002F5868"/>
    <w:pPr>
      <w:spacing w:before="240" w:after="120"/>
      <w:jc w:val="center"/>
    </w:pPr>
    <w:rPr>
      <w:b/>
      <w:bCs/>
      <w:sz w:val="26"/>
      <w:szCs w:val="26"/>
    </w:rPr>
  </w:style>
  <w:style w:type="paragraph" w:styleId="BalloonText">
    <w:name w:val="Balloon Text"/>
    <w:basedOn w:val="Normal"/>
    <w:link w:val="BalloonTextChar"/>
    <w:semiHidden/>
    <w:rsid w:val="002F5868"/>
    <w:rPr>
      <w:rFonts w:ascii="Tahoma" w:hAnsi="Tahoma" w:cs="Tahoma"/>
      <w:sz w:val="16"/>
      <w:szCs w:val="16"/>
    </w:rPr>
  </w:style>
  <w:style w:type="character" w:customStyle="1" w:styleId="FormulaChar">
    <w:name w:val="Formula Char"/>
    <w:rsid w:val="002F5868"/>
    <w:rPr>
      <w:b/>
    </w:rPr>
  </w:style>
  <w:style w:type="character" w:customStyle="1" w:styleId="BodyTextChar1">
    <w:name w:val="Body Text Char1"/>
    <w:rsid w:val="002F5868"/>
    <w:rPr>
      <w:iCs/>
      <w:sz w:val="24"/>
      <w:lang w:val="en-US" w:eastAsia="en-US" w:bidi="ar-SA"/>
    </w:rPr>
  </w:style>
  <w:style w:type="paragraph" w:styleId="CommentText">
    <w:name w:val="annotation text"/>
    <w:basedOn w:val="Normal"/>
    <w:link w:val="CommentTextChar"/>
    <w:rsid w:val="002F5868"/>
    <w:rPr>
      <w:sz w:val="20"/>
    </w:rPr>
  </w:style>
  <w:style w:type="character" w:customStyle="1" w:styleId="BodyTextChar">
    <w:name w:val="Body Text Char"/>
    <w:aliases w:val="Char Char Char Char Char Char Char,Char Char Char Char Char Char Charh2 Char,... Char, Char Char Char Char Char Char Char1, Char Char Char Char Char Char Char Char,Body Text Char1 Char Char Char,Char1 Char Char Char"/>
    <w:rsid w:val="002F5868"/>
    <w:rPr>
      <w:iCs/>
      <w:sz w:val="24"/>
      <w:lang w:val="en-US" w:eastAsia="en-US" w:bidi="ar-SA"/>
    </w:rPr>
  </w:style>
  <w:style w:type="character" w:customStyle="1" w:styleId="ListSubChar">
    <w:name w:val="List Sub Char"/>
    <w:link w:val="ListSub"/>
    <w:rsid w:val="002F5868"/>
    <w:rPr>
      <w:sz w:val="24"/>
      <w:lang w:val="en-US" w:eastAsia="en-US" w:bidi="ar-SA"/>
    </w:rPr>
  </w:style>
  <w:style w:type="character" w:customStyle="1" w:styleId="CharCharCharChar">
    <w:name w:val="Char Char Char Char"/>
    <w:aliases w:val=" Char1 Char,Body Text Char Char Char1, Char Char Char Char Char Char1, Char1 Char Char Char1,Body Text Char2 Char Char Char,Body Text Char2 Char Char Char Char Char Char Char Char Char Char Char Char,Body Text Char2 Char Char1"/>
    <w:rsid w:val="002F5868"/>
    <w:rPr>
      <w:iCs/>
      <w:sz w:val="24"/>
      <w:lang w:val="en-US" w:eastAsia="en-US" w:bidi="ar-SA"/>
    </w:rPr>
  </w:style>
  <w:style w:type="character" w:customStyle="1" w:styleId="BodyTextNumberedCharChar">
    <w:name w:val="Body Text Numbered Char Char"/>
    <w:rsid w:val="002F5868"/>
    <w:rPr>
      <w:iCs w:val="0"/>
      <w:sz w:val="24"/>
      <w:lang w:val="en-US" w:eastAsia="en-US" w:bidi="ar-SA"/>
    </w:rPr>
  </w:style>
  <w:style w:type="paragraph" w:customStyle="1" w:styleId="NormalArial">
    <w:name w:val="Normal+Arial"/>
    <w:basedOn w:val="Normal"/>
    <w:link w:val="NormalArialChar"/>
    <w:rsid w:val="002F5868"/>
    <w:rPr>
      <w:rFonts w:ascii="Arial" w:hAnsi="Arial"/>
      <w:szCs w:val="24"/>
    </w:rPr>
  </w:style>
  <w:style w:type="character" w:customStyle="1" w:styleId="ListCharChar1">
    <w:name w:val="List Char Char1"/>
    <w:rsid w:val="002F5868"/>
    <w:rPr>
      <w:sz w:val="24"/>
      <w:lang w:val="en-US" w:eastAsia="en-US" w:bidi="ar-SA"/>
    </w:rPr>
  </w:style>
  <w:style w:type="character" w:customStyle="1" w:styleId="NormalArialChar">
    <w:name w:val="Normal+Arial Char"/>
    <w:link w:val="NormalArial"/>
    <w:rsid w:val="002F5868"/>
    <w:rPr>
      <w:rFonts w:ascii="Arial" w:hAnsi="Arial"/>
      <w:sz w:val="24"/>
      <w:szCs w:val="24"/>
      <w:lang w:val="en-US" w:eastAsia="en-US" w:bidi="ar-SA"/>
    </w:rPr>
  </w:style>
  <w:style w:type="character" w:customStyle="1" w:styleId="BulletIndentChar">
    <w:name w:val="Bullet Indent Char"/>
    <w:link w:val="BulletIndent"/>
    <w:rsid w:val="002F5868"/>
    <w:rPr>
      <w:sz w:val="24"/>
      <w:lang w:val="en-US" w:eastAsia="en-US" w:bidi="ar-SA"/>
    </w:rPr>
  </w:style>
  <w:style w:type="character" w:customStyle="1" w:styleId="CharChar">
    <w:name w:val="Char Char"/>
    <w:rsid w:val="002F5868"/>
    <w:rPr>
      <w:sz w:val="24"/>
      <w:lang w:val="en-US" w:eastAsia="en-US" w:bidi="ar-SA"/>
    </w:rPr>
  </w:style>
  <w:style w:type="paragraph" w:customStyle="1" w:styleId="TXUHeaderForm">
    <w:name w:val="TXUHeaderForm"/>
    <w:basedOn w:val="Normal"/>
    <w:next w:val="Normal"/>
    <w:rsid w:val="002F5868"/>
    <w:pPr>
      <w:tabs>
        <w:tab w:val="right" w:pos="9360"/>
      </w:tabs>
    </w:pPr>
    <w:rPr>
      <w:noProof/>
    </w:rPr>
  </w:style>
  <w:style w:type="paragraph" w:customStyle="1" w:styleId="Char3">
    <w:name w:val="Char3"/>
    <w:basedOn w:val="Normal"/>
    <w:rsid w:val="002F5868"/>
    <w:pPr>
      <w:spacing w:after="160" w:line="240" w:lineRule="exact"/>
    </w:pPr>
    <w:rPr>
      <w:rFonts w:ascii="Verdana" w:hAnsi="Verdana"/>
      <w:sz w:val="16"/>
    </w:rPr>
  </w:style>
  <w:style w:type="character" w:customStyle="1" w:styleId="H4Char">
    <w:name w:val="H4 Char"/>
    <w:link w:val="H4"/>
    <w:rsid w:val="002F5868"/>
    <w:rPr>
      <w:b/>
      <w:bCs/>
      <w:snapToGrid w:val="0"/>
      <w:sz w:val="24"/>
      <w:lang w:val="en-US" w:eastAsia="en-US" w:bidi="ar-SA"/>
    </w:rPr>
  </w:style>
  <w:style w:type="character" w:customStyle="1" w:styleId="H5Char">
    <w:name w:val="H5 Char"/>
    <w:link w:val="H5"/>
    <w:rsid w:val="002F5868"/>
    <w:rPr>
      <w:b/>
      <w:bCs/>
      <w:i/>
      <w:iCs/>
      <w:sz w:val="24"/>
      <w:szCs w:val="26"/>
      <w:lang w:val="en-US" w:eastAsia="en-US" w:bidi="ar-SA"/>
    </w:rPr>
  </w:style>
  <w:style w:type="paragraph" w:styleId="DocumentMap">
    <w:name w:val="Document Map"/>
    <w:basedOn w:val="Normal"/>
    <w:link w:val="DocumentMapChar"/>
    <w:rsid w:val="002F5868"/>
    <w:pPr>
      <w:shd w:val="clear" w:color="auto" w:fill="000080"/>
    </w:pPr>
    <w:rPr>
      <w:rFonts w:ascii="Tahoma" w:hAnsi="Tahoma" w:cs="Tahoma"/>
      <w:sz w:val="20"/>
    </w:rPr>
  </w:style>
  <w:style w:type="character" w:styleId="CommentReference">
    <w:name w:val="annotation reference"/>
    <w:rsid w:val="002F5868"/>
    <w:rPr>
      <w:sz w:val="16"/>
      <w:szCs w:val="16"/>
    </w:rPr>
  </w:style>
  <w:style w:type="paragraph" w:styleId="CommentSubject">
    <w:name w:val="annotation subject"/>
    <w:basedOn w:val="CommentText"/>
    <w:next w:val="CommentText"/>
    <w:link w:val="CommentSubjectChar"/>
    <w:semiHidden/>
    <w:rsid w:val="002F5868"/>
    <w:rPr>
      <w:b/>
      <w:bCs/>
    </w:rPr>
  </w:style>
  <w:style w:type="paragraph" w:styleId="Revision">
    <w:name w:val="Revision"/>
    <w:hidden/>
    <w:semiHidden/>
    <w:rsid w:val="002F5868"/>
    <w:rPr>
      <w:sz w:val="24"/>
    </w:rPr>
  </w:style>
  <w:style w:type="character" w:customStyle="1" w:styleId="HeaderChar">
    <w:name w:val="Header Char"/>
    <w:link w:val="Header"/>
    <w:rsid w:val="00A43CDA"/>
    <w:rPr>
      <w:smallCaps/>
    </w:rPr>
  </w:style>
  <w:style w:type="character" w:styleId="FollowedHyperlink">
    <w:name w:val="FollowedHyperlink"/>
    <w:rsid w:val="009C65F4"/>
    <w:rPr>
      <w:color w:val="800080"/>
      <w:u w:val="single"/>
    </w:rPr>
  </w:style>
  <w:style w:type="character" w:customStyle="1" w:styleId="BodyTextNumberedChar1">
    <w:name w:val="Body Text Numbered Char1"/>
    <w:rsid w:val="00983E12"/>
    <w:rPr>
      <w:iCs/>
      <w:sz w:val="24"/>
    </w:rPr>
  </w:style>
  <w:style w:type="character" w:customStyle="1" w:styleId="InstructionsChar">
    <w:name w:val="Instructions Char"/>
    <w:link w:val="Instructions"/>
    <w:rsid w:val="00834D02"/>
    <w:rPr>
      <w:b/>
      <w:i/>
      <w:iCs/>
      <w:sz w:val="24"/>
      <w:szCs w:val="24"/>
    </w:rPr>
  </w:style>
  <w:style w:type="character" w:customStyle="1" w:styleId="FormulaBoldChar">
    <w:name w:val="Formula Bold Char"/>
    <w:link w:val="FormulaBold"/>
    <w:rsid w:val="006A6713"/>
    <w:rPr>
      <w:b/>
      <w:sz w:val="24"/>
      <w:lang w:val="x-none" w:eastAsia="x-none"/>
    </w:rPr>
  </w:style>
  <w:style w:type="character" w:customStyle="1" w:styleId="Heading4Char">
    <w:name w:val="Heading 4 Char"/>
    <w:aliases w:val="h4 Char,delete Char"/>
    <w:link w:val="Heading4"/>
    <w:rsid w:val="005E554F"/>
    <w:rPr>
      <w:b/>
      <w:bCs/>
      <w:snapToGrid w:val="0"/>
      <w:sz w:val="24"/>
      <w:lang w:val="x-none" w:eastAsia="x-none"/>
    </w:rPr>
  </w:style>
  <w:style w:type="character" w:customStyle="1" w:styleId="ListChar1">
    <w:name w:val="List Char1"/>
    <w:aliases w:val=" Char2 Char Char Char Char Char, Char2 Char Char1"/>
    <w:rsid w:val="005E554F"/>
    <w:rPr>
      <w:sz w:val="24"/>
      <w:lang w:val="en-US" w:eastAsia="en-US" w:bidi="ar-SA"/>
    </w:rPr>
  </w:style>
  <w:style w:type="character" w:customStyle="1" w:styleId="List2Char">
    <w:name w:val="List 2 Char"/>
    <w:aliases w:val=" Char2 Char1,Char2 Char Char Char1,Char2 Char"/>
    <w:link w:val="List2"/>
    <w:rsid w:val="005E554F"/>
    <w:rPr>
      <w:sz w:val="24"/>
    </w:rPr>
  </w:style>
  <w:style w:type="character" w:customStyle="1" w:styleId="H2Char">
    <w:name w:val="H2 Char"/>
    <w:link w:val="H2"/>
    <w:rsid w:val="005E554F"/>
    <w:rPr>
      <w:b/>
      <w:sz w:val="24"/>
    </w:rPr>
  </w:style>
  <w:style w:type="character" w:customStyle="1" w:styleId="H6Char">
    <w:name w:val="H6 Char"/>
    <w:link w:val="H6"/>
    <w:rsid w:val="005E554F"/>
    <w:rPr>
      <w:b/>
      <w:bCs/>
      <w:sz w:val="24"/>
      <w:szCs w:val="22"/>
    </w:rPr>
  </w:style>
  <w:style w:type="character" w:customStyle="1" w:styleId="CharChar1">
    <w:name w:val="Char Char1"/>
    <w:rsid w:val="005E554F"/>
    <w:rPr>
      <w:b/>
      <w:bCs/>
      <w:i/>
      <w:iCs/>
      <w:sz w:val="24"/>
      <w:szCs w:val="26"/>
      <w:lang w:val="en-US" w:eastAsia="en-US" w:bidi="ar-SA"/>
    </w:rPr>
  </w:style>
  <w:style w:type="character" w:customStyle="1" w:styleId="VariableDefinitionChar">
    <w:name w:val="Variable Definition Char"/>
    <w:link w:val="VariableDefinition"/>
    <w:rsid w:val="005E554F"/>
    <w:rPr>
      <w:iCs/>
      <w:sz w:val="24"/>
    </w:rPr>
  </w:style>
  <w:style w:type="paragraph" w:customStyle="1" w:styleId="note">
    <w:name w:val="note"/>
    <w:basedOn w:val="Normal"/>
    <w:rsid w:val="005E554F"/>
    <w:rPr>
      <w:sz w:val="22"/>
    </w:rPr>
  </w:style>
  <w:style w:type="paragraph" w:customStyle="1" w:styleId="Default">
    <w:name w:val="Default"/>
    <w:rsid w:val="005E554F"/>
    <w:pPr>
      <w:autoSpaceDE w:val="0"/>
      <w:autoSpaceDN w:val="0"/>
      <w:adjustRightInd w:val="0"/>
    </w:pPr>
    <w:rPr>
      <w:rFonts w:ascii="Arial" w:hAnsi="Arial" w:cs="Arial"/>
      <w:color w:val="000000"/>
      <w:sz w:val="24"/>
      <w:szCs w:val="24"/>
    </w:rPr>
  </w:style>
  <w:style w:type="paragraph" w:styleId="BlockText">
    <w:name w:val="Block Text"/>
    <w:basedOn w:val="Normal"/>
    <w:rsid w:val="005E554F"/>
    <w:pPr>
      <w:spacing w:after="120"/>
      <w:ind w:left="1440" w:right="1440"/>
    </w:pPr>
  </w:style>
  <w:style w:type="paragraph" w:styleId="NormalWeb">
    <w:name w:val="Normal (Web)"/>
    <w:basedOn w:val="Normal"/>
    <w:rsid w:val="005E554F"/>
    <w:pPr>
      <w:spacing w:before="100" w:beforeAutospacing="1" w:after="100" w:afterAutospacing="1"/>
    </w:pPr>
    <w:rPr>
      <w:szCs w:val="24"/>
    </w:rPr>
  </w:style>
  <w:style w:type="paragraph" w:customStyle="1" w:styleId="List1">
    <w:name w:val="List1"/>
    <w:basedOn w:val="H4"/>
    <w:rsid w:val="005E554F"/>
    <w:pPr>
      <w:tabs>
        <w:tab w:val="clear" w:pos="1260"/>
      </w:tabs>
      <w:ind w:left="1440" w:hanging="720"/>
    </w:pPr>
    <w:rPr>
      <w:b w:val="0"/>
    </w:rPr>
  </w:style>
  <w:style w:type="paragraph" w:customStyle="1" w:styleId="Char">
    <w:name w:val="Char"/>
    <w:basedOn w:val="Normal"/>
    <w:rsid w:val="005E554F"/>
    <w:pPr>
      <w:spacing w:after="160" w:line="240" w:lineRule="exact"/>
    </w:pPr>
    <w:rPr>
      <w:rFonts w:ascii="Verdana" w:hAnsi="Verdana"/>
      <w:sz w:val="16"/>
    </w:rPr>
  </w:style>
  <w:style w:type="character" w:customStyle="1" w:styleId="DeltaViewInsertion">
    <w:name w:val="DeltaView Insertion"/>
    <w:rsid w:val="005E554F"/>
    <w:rPr>
      <w:color w:val="0000FF"/>
      <w:spacing w:val="0"/>
      <w:u w:val="double"/>
    </w:rPr>
  </w:style>
  <w:style w:type="character" w:customStyle="1" w:styleId="DeltaViewMoveDestination">
    <w:name w:val="DeltaView Move Destination"/>
    <w:rsid w:val="005E554F"/>
    <w:rPr>
      <w:color w:val="00C000"/>
      <w:spacing w:val="0"/>
      <w:u w:val="double"/>
    </w:rPr>
  </w:style>
  <w:style w:type="character" w:customStyle="1" w:styleId="BulletChar">
    <w:name w:val="Bullet Char"/>
    <w:link w:val="Bullet"/>
    <w:rsid w:val="005E554F"/>
    <w:rPr>
      <w:sz w:val="24"/>
    </w:rPr>
  </w:style>
  <w:style w:type="paragraph" w:customStyle="1" w:styleId="Bullet15">
    <w:name w:val="Bullet (1.5)"/>
    <w:basedOn w:val="Normal"/>
    <w:rsid w:val="005E554F"/>
    <w:pPr>
      <w:tabs>
        <w:tab w:val="num" w:pos="2520"/>
      </w:tabs>
      <w:spacing w:after="120"/>
      <w:ind w:left="2520" w:hanging="720"/>
    </w:pPr>
  </w:style>
  <w:style w:type="paragraph" w:customStyle="1" w:styleId="BulletCharChar">
    <w:name w:val="Bullet Char Char"/>
    <w:basedOn w:val="Normal"/>
    <w:link w:val="BulletCharCharChar"/>
    <w:rsid w:val="005E554F"/>
    <w:pPr>
      <w:tabs>
        <w:tab w:val="num" w:pos="450"/>
      </w:tabs>
      <w:spacing w:after="180"/>
      <w:ind w:left="450" w:hanging="360"/>
    </w:pPr>
    <w:rPr>
      <w:lang w:val="x-none" w:eastAsia="x-none"/>
    </w:rPr>
  </w:style>
  <w:style w:type="character" w:customStyle="1" w:styleId="BulletCharCharChar">
    <w:name w:val="Bullet Char Char Char"/>
    <w:link w:val="BulletCharChar"/>
    <w:rsid w:val="005E554F"/>
    <w:rPr>
      <w:sz w:val="24"/>
    </w:rPr>
  </w:style>
  <w:style w:type="character" w:customStyle="1" w:styleId="Char2CharCharCharCharChar">
    <w:name w:val="Char2 Char Char Char Char Char"/>
    <w:aliases w:val=" Char2 Char Char Char"/>
    <w:rsid w:val="005E554F"/>
    <w:rPr>
      <w:sz w:val="24"/>
      <w:lang w:val="en-US" w:eastAsia="en-US" w:bidi="ar-SA"/>
    </w:rPr>
  </w:style>
  <w:style w:type="character" w:customStyle="1" w:styleId="BodyTextIndentChar">
    <w:name w:val="Body Text Indent Char"/>
    <w:aliases w:val=" Char Char"/>
    <w:rsid w:val="005E554F"/>
    <w:rPr>
      <w:iCs/>
      <w:sz w:val="24"/>
      <w:lang w:val="en-US" w:eastAsia="en-US" w:bidi="ar-SA"/>
    </w:rPr>
  </w:style>
  <w:style w:type="paragraph" w:styleId="BodyText3">
    <w:name w:val="Body Text 3"/>
    <w:basedOn w:val="Normal"/>
    <w:link w:val="BodyText3Char"/>
    <w:rsid w:val="005E554F"/>
    <w:pPr>
      <w:spacing w:after="120"/>
    </w:pPr>
    <w:rPr>
      <w:sz w:val="16"/>
      <w:szCs w:val="16"/>
      <w:lang w:val="x-none" w:eastAsia="x-none"/>
    </w:rPr>
  </w:style>
  <w:style w:type="character" w:customStyle="1" w:styleId="BodyText3Char">
    <w:name w:val="Body Text 3 Char"/>
    <w:link w:val="BodyText3"/>
    <w:rsid w:val="005E554F"/>
    <w:rPr>
      <w:sz w:val="16"/>
      <w:szCs w:val="16"/>
    </w:rPr>
  </w:style>
  <w:style w:type="paragraph" w:styleId="BodyTextFirstIndent">
    <w:name w:val="Body Text First Indent"/>
    <w:basedOn w:val="BodyText"/>
    <w:link w:val="BodyTextFirstIndentChar"/>
    <w:rsid w:val="005E554F"/>
    <w:pPr>
      <w:spacing w:after="120"/>
      <w:ind w:firstLine="210"/>
    </w:pPr>
  </w:style>
  <w:style w:type="character" w:customStyle="1" w:styleId="BodyTextFirstIndentChar">
    <w:name w:val="Body Text First Indent Char"/>
    <w:link w:val="BodyTextFirstIndent"/>
    <w:rsid w:val="005E554F"/>
    <w:rPr>
      <w:iCs/>
      <w:sz w:val="24"/>
      <w:lang w:val="en-US" w:eastAsia="en-US" w:bidi="ar-SA"/>
    </w:rPr>
  </w:style>
  <w:style w:type="paragraph" w:styleId="BodyTextFirstIndent2">
    <w:name w:val="Body Text First Indent 2"/>
    <w:basedOn w:val="BodyTextIndent"/>
    <w:link w:val="BodyTextFirstIndent2Char"/>
    <w:rsid w:val="005E554F"/>
    <w:pPr>
      <w:spacing w:after="120"/>
      <w:ind w:left="360" w:firstLine="210"/>
    </w:pPr>
  </w:style>
  <w:style w:type="character" w:customStyle="1" w:styleId="BodyTextIndentChar1">
    <w:name w:val="Body Text Indent Char1"/>
    <w:aliases w:val=" Char Char1"/>
    <w:link w:val="BodyTextIndent"/>
    <w:rsid w:val="005E554F"/>
    <w:rPr>
      <w:iCs/>
      <w:sz w:val="24"/>
    </w:rPr>
  </w:style>
  <w:style w:type="character" w:customStyle="1" w:styleId="BodyTextFirstIndent2Char">
    <w:name w:val="Body Text First Indent 2 Char"/>
    <w:link w:val="BodyTextFirstIndent2"/>
    <w:rsid w:val="005E554F"/>
    <w:rPr>
      <w:iCs/>
      <w:sz w:val="24"/>
    </w:rPr>
  </w:style>
  <w:style w:type="paragraph" w:styleId="BodyTextIndent2">
    <w:name w:val="Body Text Indent 2"/>
    <w:basedOn w:val="Normal"/>
    <w:link w:val="BodyTextIndent2Char"/>
    <w:rsid w:val="005E554F"/>
    <w:pPr>
      <w:spacing w:after="120" w:line="480" w:lineRule="auto"/>
      <w:ind w:left="360"/>
    </w:pPr>
    <w:rPr>
      <w:lang w:val="x-none" w:eastAsia="x-none"/>
    </w:rPr>
  </w:style>
  <w:style w:type="character" w:customStyle="1" w:styleId="BodyTextIndent2Char">
    <w:name w:val="Body Text Indent 2 Char"/>
    <w:link w:val="BodyTextIndent2"/>
    <w:rsid w:val="005E554F"/>
    <w:rPr>
      <w:sz w:val="24"/>
    </w:rPr>
  </w:style>
  <w:style w:type="paragraph" w:styleId="BodyTextIndent3">
    <w:name w:val="Body Text Indent 3"/>
    <w:basedOn w:val="Normal"/>
    <w:link w:val="BodyTextIndent3Char"/>
    <w:rsid w:val="005E554F"/>
    <w:pPr>
      <w:spacing w:after="120"/>
      <w:ind w:left="360"/>
    </w:pPr>
    <w:rPr>
      <w:sz w:val="16"/>
      <w:szCs w:val="16"/>
      <w:lang w:val="x-none" w:eastAsia="x-none"/>
    </w:rPr>
  </w:style>
  <w:style w:type="character" w:customStyle="1" w:styleId="BodyTextIndent3Char">
    <w:name w:val="Body Text Indent 3 Char"/>
    <w:link w:val="BodyTextIndent3"/>
    <w:rsid w:val="005E554F"/>
    <w:rPr>
      <w:sz w:val="16"/>
      <w:szCs w:val="16"/>
    </w:rPr>
  </w:style>
  <w:style w:type="paragraph" w:styleId="Caption">
    <w:name w:val="caption"/>
    <w:basedOn w:val="Normal"/>
    <w:next w:val="Normal"/>
    <w:qFormat/>
    <w:rsid w:val="005E554F"/>
    <w:rPr>
      <w:b/>
      <w:bCs/>
      <w:sz w:val="20"/>
    </w:rPr>
  </w:style>
  <w:style w:type="paragraph" w:styleId="Closing">
    <w:name w:val="Closing"/>
    <w:basedOn w:val="Normal"/>
    <w:link w:val="ClosingChar"/>
    <w:rsid w:val="005E554F"/>
    <w:pPr>
      <w:ind w:left="4320"/>
    </w:pPr>
    <w:rPr>
      <w:lang w:val="x-none" w:eastAsia="x-none"/>
    </w:rPr>
  </w:style>
  <w:style w:type="character" w:customStyle="1" w:styleId="ClosingChar">
    <w:name w:val="Closing Char"/>
    <w:link w:val="Closing"/>
    <w:rsid w:val="005E554F"/>
    <w:rPr>
      <w:sz w:val="24"/>
    </w:rPr>
  </w:style>
  <w:style w:type="paragraph" w:styleId="Date">
    <w:name w:val="Date"/>
    <w:basedOn w:val="Normal"/>
    <w:next w:val="Normal"/>
    <w:link w:val="DateChar"/>
    <w:rsid w:val="005E554F"/>
    <w:rPr>
      <w:lang w:val="x-none" w:eastAsia="x-none"/>
    </w:rPr>
  </w:style>
  <w:style w:type="character" w:customStyle="1" w:styleId="DateChar">
    <w:name w:val="Date Char"/>
    <w:link w:val="Date"/>
    <w:rsid w:val="005E554F"/>
    <w:rPr>
      <w:sz w:val="24"/>
    </w:rPr>
  </w:style>
  <w:style w:type="paragraph" w:styleId="E-mailSignature">
    <w:name w:val="E-mail Signature"/>
    <w:basedOn w:val="Normal"/>
    <w:link w:val="E-mailSignatureChar"/>
    <w:rsid w:val="005E554F"/>
    <w:rPr>
      <w:lang w:val="x-none" w:eastAsia="x-none"/>
    </w:rPr>
  </w:style>
  <w:style w:type="character" w:customStyle="1" w:styleId="E-mailSignatureChar">
    <w:name w:val="E-mail Signature Char"/>
    <w:link w:val="E-mailSignature"/>
    <w:rsid w:val="005E554F"/>
    <w:rPr>
      <w:sz w:val="24"/>
    </w:rPr>
  </w:style>
  <w:style w:type="paragraph" w:styleId="EndnoteText">
    <w:name w:val="endnote text"/>
    <w:basedOn w:val="Normal"/>
    <w:link w:val="EndnoteTextChar"/>
    <w:rsid w:val="005E554F"/>
    <w:rPr>
      <w:sz w:val="20"/>
    </w:rPr>
  </w:style>
  <w:style w:type="character" w:customStyle="1" w:styleId="EndnoteTextChar">
    <w:name w:val="Endnote Text Char"/>
    <w:basedOn w:val="DefaultParagraphFont"/>
    <w:link w:val="EndnoteText"/>
    <w:rsid w:val="005E554F"/>
  </w:style>
  <w:style w:type="paragraph" w:styleId="EnvelopeAddress">
    <w:name w:val="envelope address"/>
    <w:basedOn w:val="Normal"/>
    <w:rsid w:val="005E554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E554F"/>
    <w:rPr>
      <w:rFonts w:ascii="Arial" w:hAnsi="Arial" w:cs="Arial"/>
      <w:sz w:val="20"/>
    </w:rPr>
  </w:style>
  <w:style w:type="paragraph" w:styleId="HTMLAddress">
    <w:name w:val="HTML Address"/>
    <w:basedOn w:val="Normal"/>
    <w:link w:val="HTMLAddressChar"/>
    <w:rsid w:val="005E554F"/>
    <w:rPr>
      <w:i/>
      <w:iCs/>
      <w:lang w:val="x-none" w:eastAsia="x-none"/>
    </w:rPr>
  </w:style>
  <w:style w:type="character" w:customStyle="1" w:styleId="HTMLAddressChar">
    <w:name w:val="HTML Address Char"/>
    <w:link w:val="HTMLAddress"/>
    <w:rsid w:val="005E554F"/>
    <w:rPr>
      <w:i/>
      <w:iCs/>
      <w:sz w:val="24"/>
    </w:rPr>
  </w:style>
  <w:style w:type="paragraph" w:styleId="HTMLPreformatted">
    <w:name w:val="HTML Preformatted"/>
    <w:basedOn w:val="Normal"/>
    <w:link w:val="HTMLPreformattedChar"/>
    <w:rsid w:val="005E554F"/>
    <w:rPr>
      <w:rFonts w:ascii="Courier New" w:hAnsi="Courier New"/>
      <w:sz w:val="20"/>
      <w:lang w:val="x-none" w:eastAsia="x-none"/>
    </w:rPr>
  </w:style>
  <w:style w:type="character" w:customStyle="1" w:styleId="HTMLPreformattedChar">
    <w:name w:val="HTML Preformatted Char"/>
    <w:link w:val="HTMLPreformatted"/>
    <w:rsid w:val="005E554F"/>
    <w:rPr>
      <w:rFonts w:ascii="Courier New" w:hAnsi="Courier New" w:cs="Courier New"/>
    </w:rPr>
  </w:style>
  <w:style w:type="paragraph" w:styleId="List4">
    <w:name w:val="List 4"/>
    <w:basedOn w:val="Normal"/>
    <w:rsid w:val="005E554F"/>
    <w:pPr>
      <w:ind w:left="1440" w:hanging="360"/>
    </w:pPr>
  </w:style>
  <w:style w:type="paragraph" w:styleId="List5">
    <w:name w:val="List 5"/>
    <w:basedOn w:val="Normal"/>
    <w:rsid w:val="005E554F"/>
    <w:pPr>
      <w:ind w:left="1800" w:hanging="360"/>
    </w:pPr>
  </w:style>
  <w:style w:type="paragraph" w:styleId="ListBullet">
    <w:name w:val="List Bullet"/>
    <w:basedOn w:val="Normal"/>
    <w:rsid w:val="005E554F"/>
    <w:pPr>
      <w:numPr>
        <w:numId w:val="2"/>
      </w:numPr>
    </w:pPr>
  </w:style>
  <w:style w:type="paragraph" w:styleId="ListBullet2">
    <w:name w:val="List Bullet 2"/>
    <w:basedOn w:val="Normal"/>
    <w:rsid w:val="005E554F"/>
    <w:pPr>
      <w:numPr>
        <w:numId w:val="3"/>
      </w:numPr>
    </w:pPr>
  </w:style>
  <w:style w:type="paragraph" w:styleId="ListBullet3">
    <w:name w:val="List Bullet 3"/>
    <w:basedOn w:val="Normal"/>
    <w:rsid w:val="005E554F"/>
    <w:pPr>
      <w:numPr>
        <w:numId w:val="4"/>
      </w:numPr>
    </w:pPr>
  </w:style>
  <w:style w:type="paragraph" w:styleId="ListBullet4">
    <w:name w:val="List Bullet 4"/>
    <w:basedOn w:val="Normal"/>
    <w:rsid w:val="005E554F"/>
    <w:pPr>
      <w:numPr>
        <w:numId w:val="5"/>
      </w:numPr>
    </w:pPr>
  </w:style>
  <w:style w:type="paragraph" w:styleId="ListBullet5">
    <w:name w:val="List Bullet 5"/>
    <w:basedOn w:val="Normal"/>
    <w:rsid w:val="005E554F"/>
    <w:pPr>
      <w:numPr>
        <w:numId w:val="6"/>
      </w:numPr>
    </w:pPr>
  </w:style>
  <w:style w:type="paragraph" w:styleId="ListContinue">
    <w:name w:val="List Continue"/>
    <w:basedOn w:val="Normal"/>
    <w:rsid w:val="005E554F"/>
    <w:pPr>
      <w:spacing w:after="120"/>
      <w:ind w:left="360"/>
    </w:pPr>
  </w:style>
  <w:style w:type="paragraph" w:styleId="ListContinue2">
    <w:name w:val="List Continue 2"/>
    <w:basedOn w:val="Normal"/>
    <w:rsid w:val="005E554F"/>
    <w:pPr>
      <w:spacing w:after="120"/>
      <w:ind w:left="720"/>
    </w:pPr>
  </w:style>
  <w:style w:type="paragraph" w:styleId="ListContinue3">
    <w:name w:val="List Continue 3"/>
    <w:basedOn w:val="Normal"/>
    <w:rsid w:val="005E554F"/>
    <w:pPr>
      <w:spacing w:after="120"/>
      <w:ind w:left="1080"/>
    </w:pPr>
  </w:style>
  <w:style w:type="paragraph" w:styleId="ListContinue4">
    <w:name w:val="List Continue 4"/>
    <w:basedOn w:val="Normal"/>
    <w:rsid w:val="005E554F"/>
    <w:pPr>
      <w:spacing w:after="120"/>
      <w:ind w:left="1440"/>
    </w:pPr>
  </w:style>
  <w:style w:type="paragraph" w:styleId="ListContinue5">
    <w:name w:val="List Continue 5"/>
    <w:basedOn w:val="Normal"/>
    <w:rsid w:val="005E554F"/>
    <w:pPr>
      <w:spacing w:after="120"/>
      <w:ind w:left="1800"/>
    </w:pPr>
  </w:style>
  <w:style w:type="paragraph" w:styleId="ListNumber">
    <w:name w:val="List Number"/>
    <w:basedOn w:val="Normal"/>
    <w:rsid w:val="005E554F"/>
    <w:pPr>
      <w:numPr>
        <w:numId w:val="7"/>
      </w:numPr>
    </w:pPr>
  </w:style>
  <w:style w:type="paragraph" w:styleId="ListNumber2">
    <w:name w:val="List Number 2"/>
    <w:basedOn w:val="Normal"/>
    <w:rsid w:val="005E554F"/>
    <w:pPr>
      <w:numPr>
        <w:numId w:val="8"/>
      </w:numPr>
    </w:pPr>
  </w:style>
  <w:style w:type="paragraph" w:styleId="ListNumber3">
    <w:name w:val="List Number 3"/>
    <w:basedOn w:val="Normal"/>
    <w:rsid w:val="005E554F"/>
    <w:pPr>
      <w:numPr>
        <w:numId w:val="9"/>
      </w:numPr>
    </w:pPr>
  </w:style>
  <w:style w:type="paragraph" w:styleId="ListNumber4">
    <w:name w:val="List Number 4"/>
    <w:basedOn w:val="Normal"/>
    <w:rsid w:val="005E554F"/>
    <w:pPr>
      <w:numPr>
        <w:numId w:val="10"/>
      </w:numPr>
    </w:pPr>
  </w:style>
  <w:style w:type="paragraph" w:styleId="ListNumber5">
    <w:name w:val="List Number 5"/>
    <w:basedOn w:val="Normal"/>
    <w:rsid w:val="005E554F"/>
    <w:pPr>
      <w:numPr>
        <w:numId w:val="11"/>
      </w:numPr>
    </w:pPr>
  </w:style>
  <w:style w:type="paragraph" w:styleId="MacroText">
    <w:name w:val="macro"/>
    <w:link w:val="MacroTextChar"/>
    <w:rsid w:val="005E55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E554F"/>
    <w:rPr>
      <w:rFonts w:ascii="Courier New" w:hAnsi="Courier New" w:cs="Courier New"/>
      <w:lang w:val="en-US" w:eastAsia="en-US" w:bidi="ar-SA"/>
    </w:rPr>
  </w:style>
  <w:style w:type="paragraph" w:styleId="MessageHeader">
    <w:name w:val="Message Header"/>
    <w:basedOn w:val="Normal"/>
    <w:link w:val="MessageHeaderChar"/>
    <w:rsid w:val="005E55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5E554F"/>
    <w:rPr>
      <w:rFonts w:ascii="Arial" w:hAnsi="Arial" w:cs="Arial"/>
      <w:sz w:val="24"/>
      <w:szCs w:val="24"/>
      <w:shd w:val="pct20" w:color="auto" w:fill="auto"/>
    </w:rPr>
  </w:style>
  <w:style w:type="paragraph" w:styleId="NormalIndent">
    <w:name w:val="Normal Indent"/>
    <w:basedOn w:val="Normal"/>
    <w:rsid w:val="005E554F"/>
    <w:pPr>
      <w:ind w:left="720"/>
    </w:pPr>
  </w:style>
  <w:style w:type="paragraph" w:styleId="NoteHeading">
    <w:name w:val="Note Heading"/>
    <w:basedOn w:val="Normal"/>
    <w:next w:val="Normal"/>
    <w:link w:val="NoteHeadingChar"/>
    <w:rsid w:val="005E554F"/>
    <w:rPr>
      <w:lang w:val="x-none" w:eastAsia="x-none"/>
    </w:rPr>
  </w:style>
  <w:style w:type="character" w:customStyle="1" w:styleId="NoteHeadingChar">
    <w:name w:val="Note Heading Char"/>
    <w:link w:val="NoteHeading"/>
    <w:rsid w:val="005E554F"/>
    <w:rPr>
      <w:sz w:val="24"/>
    </w:rPr>
  </w:style>
  <w:style w:type="paragraph" w:styleId="PlainText">
    <w:name w:val="Plain Text"/>
    <w:basedOn w:val="Normal"/>
    <w:link w:val="PlainTextChar"/>
    <w:rsid w:val="005E554F"/>
    <w:rPr>
      <w:rFonts w:ascii="Courier New" w:hAnsi="Courier New"/>
      <w:sz w:val="20"/>
      <w:lang w:val="x-none" w:eastAsia="x-none"/>
    </w:rPr>
  </w:style>
  <w:style w:type="character" w:customStyle="1" w:styleId="PlainTextChar">
    <w:name w:val="Plain Text Char"/>
    <w:link w:val="PlainText"/>
    <w:rsid w:val="005E554F"/>
    <w:rPr>
      <w:rFonts w:ascii="Courier New" w:hAnsi="Courier New" w:cs="Courier New"/>
    </w:rPr>
  </w:style>
  <w:style w:type="paragraph" w:styleId="Salutation">
    <w:name w:val="Salutation"/>
    <w:basedOn w:val="Normal"/>
    <w:next w:val="Normal"/>
    <w:link w:val="SalutationChar"/>
    <w:rsid w:val="005E554F"/>
    <w:rPr>
      <w:lang w:val="x-none" w:eastAsia="x-none"/>
    </w:rPr>
  </w:style>
  <w:style w:type="character" w:customStyle="1" w:styleId="SalutationChar">
    <w:name w:val="Salutation Char"/>
    <w:link w:val="Salutation"/>
    <w:rsid w:val="005E554F"/>
    <w:rPr>
      <w:sz w:val="24"/>
    </w:rPr>
  </w:style>
  <w:style w:type="paragraph" w:styleId="Signature">
    <w:name w:val="Signature"/>
    <w:basedOn w:val="Normal"/>
    <w:link w:val="SignatureChar"/>
    <w:rsid w:val="005E554F"/>
    <w:pPr>
      <w:ind w:left="4320"/>
    </w:pPr>
    <w:rPr>
      <w:lang w:val="x-none" w:eastAsia="x-none"/>
    </w:rPr>
  </w:style>
  <w:style w:type="character" w:customStyle="1" w:styleId="SignatureChar">
    <w:name w:val="Signature Char"/>
    <w:link w:val="Signature"/>
    <w:rsid w:val="005E554F"/>
    <w:rPr>
      <w:sz w:val="24"/>
    </w:rPr>
  </w:style>
  <w:style w:type="paragraph" w:styleId="Subtitle">
    <w:name w:val="Subtitle"/>
    <w:basedOn w:val="Normal"/>
    <w:link w:val="SubtitleChar"/>
    <w:qFormat/>
    <w:rsid w:val="005E554F"/>
    <w:pPr>
      <w:spacing w:after="60"/>
      <w:jc w:val="center"/>
      <w:outlineLvl w:val="1"/>
    </w:pPr>
    <w:rPr>
      <w:rFonts w:ascii="Arial" w:hAnsi="Arial"/>
      <w:szCs w:val="24"/>
      <w:lang w:val="x-none" w:eastAsia="x-none"/>
    </w:rPr>
  </w:style>
  <w:style w:type="character" w:customStyle="1" w:styleId="SubtitleChar">
    <w:name w:val="Subtitle Char"/>
    <w:link w:val="Subtitle"/>
    <w:rsid w:val="005E554F"/>
    <w:rPr>
      <w:rFonts w:ascii="Arial" w:hAnsi="Arial" w:cs="Arial"/>
      <w:sz w:val="24"/>
      <w:szCs w:val="24"/>
    </w:rPr>
  </w:style>
  <w:style w:type="paragraph" w:styleId="TableofAuthorities">
    <w:name w:val="table of authorities"/>
    <w:basedOn w:val="Normal"/>
    <w:next w:val="Normal"/>
    <w:rsid w:val="005E554F"/>
    <w:pPr>
      <w:ind w:left="240" w:hanging="240"/>
    </w:pPr>
  </w:style>
  <w:style w:type="paragraph" w:styleId="TableofFigures">
    <w:name w:val="table of figures"/>
    <w:basedOn w:val="Normal"/>
    <w:next w:val="Normal"/>
    <w:rsid w:val="005E554F"/>
  </w:style>
  <w:style w:type="paragraph" w:styleId="Title">
    <w:name w:val="Title"/>
    <w:basedOn w:val="Normal"/>
    <w:link w:val="TitleChar"/>
    <w:qFormat/>
    <w:rsid w:val="005E554F"/>
    <w:pPr>
      <w:spacing w:before="240" w:after="60"/>
      <w:jc w:val="center"/>
      <w:outlineLvl w:val="0"/>
    </w:pPr>
    <w:rPr>
      <w:rFonts w:ascii="Arial" w:hAnsi="Arial"/>
      <w:b/>
      <w:bCs/>
      <w:kern w:val="28"/>
      <w:sz w:val="32"/>
      <w:szCs w:val="32"/>
      <w:lang w:val="x-none" w:eastAsia="x-none"/>
    </w:rPr>
  </w:style>
  <w:style w:type="character" w:customStyle="1" w:styleId="TitleChar">
    <w:name w:val="Title Char"/>
    <w:link w:val="Title"/>
    <w:rsid w:val="005E554F"/>
    <w:rPr>
      <w:rFonts w:ascii="Arial" w:hAnsi="Arial" w:cs="Arial"/>
      <w:b/>
      <w:bCs/>
      <w:kern w:val="28"/>
      <w:sz w:val="32"/>
      <w:szCs w:val="32"/>
    </w:rPr>
  </w:style>
  <w:style w:type="paragraph" w:styleId="TOAHeading">
    <w:name w:val="toa heading"/>
    <w:basedOn w:val="Normal"/>
    <w:next w:val="Normal"/>
    <w:rsid w:val="005E554F"/>
    <w:pPr>
      <w:spacing w:before="120"/>
    </w:pPr>
    <w:rPr>
      <w:rFonts w:ascii="Arial" w:hAnsi="Arial" w:cs="Arial"/>
      <w:b/>
      <w:bCs/>
      <w:szCs w:val="24"/>
    </w:rPr>
  </w:style>
  <w:style w:type="paragraph" w:customStyle="1" w:styleId="TXUFooterPage">
    <w:name w:val="TXUFooterPage"/>
    <w:basedOn w:val="Normal"/>
    <w:next w:val="Normal"/>
    <w:rsid w:val="005E554F"/>
    <w:pPr>
      <w:pBdr>
        <w:top w:val="single" w:sz="4" w:space="1" w:color="auto"/>
      </w:pBdr>
      <w:tabs>
        <w:tab w:val="center" w:pos="4536"/>
        <w:tab w:val="right" w:pos="9360"/>
      </w:tabs>
    </w:pPr>
    <w:rPr>
      <w:sz w:val="20"/>
    </w:rPr>
  </w:style>
  <w:style w:type="paragraph" w:customStyle="1" w:styleId="Char11">
    <w:name w:val="Char11"/>
    <w:basedOn w:val="Normal"/>
    <w:rsid w:val="005E554F"/>
    <w:pPr>
      <w:spacing w:after="160" w:line="240" w:lineRule="exact"/>
    </w:pPr>
    <w:rPr>
      <w:rFonts w:ascii="Verdana" w:hAnsi="Verdana"/>
      <w:sz w:val="16"/>
    </w:rPr>
  </w:style>
  <w:style w:type="paragraph" w:customStyle="1" w:styleId="Char4">
    <w:name w:val="Char4"/>
    <w:basedOn w:val="Normal"/>
    <w:rsid w:val="005E554F"/>
    <w:pPr>
      <w:spacing w:after="160" w:line="240" w:lineRule="exact"/>
    </w:pPr>
    <w:rPr>
      <w:rFonts w:ascii="Verdana" w:hAnsi="Verdana"/>
      <w:sz w:val="16"/>
    </w:rPr>
  </w:style>
  <w:style w:type="paragraph" w:customStyle="1" w:styleId="TXUFooter">
    <w:name w:val="TXUFooter"/>
    <w:basedOn w:val="Normal"/>
    <w:rsid w:val="005E554F"/>
    <w:pPr>
      <w:pBdr>
        <w:top w:val="single" w:sz="4" w:space="1" w:color="auto"/>
      </w:pBdr>
      <w:tabs>
        <w:tab w:val="center" w:pos="4536"/>
        <w:tab w:val="right" w:pos="9360"/>
      </w:tabs>
    </w:pPr>
    <w:rPr>
      <w:sz w:val="16"/>
    </w:rPr>
  </w:style>
  <w:style w:type="character" w:customStyle="1" w:styleId="Heading6Char">
    <w:name w:val="Heading 6 Char"/>
    <w:aliases w:val="h6 Char"/>
    <w:link w:val="Heading6"/>
    <w:locked/>
    <w:rsid w:val="005E554F"/>
    <w:rPr>
      <w:b/>
      <w:bCs/>
      <w:sz w:val="24"/>
      <w:szCs w:val="22"/>
      <w:lang w:val="x-none" w:eastAsia="x-none"/>
    </w:rPr>
  </w:style>
  <w:style w:type="paragraph" w:customStyle="1" w:styleId="TXUHeader">
    <w:name w:val="TXUHeader"/>
    <w:basedOn w:val="Normal"/>
    <w:rsid w:val="00975D78"/>
    <w:pPr>
      <w:tabs>
        <w:tab w:val="right" w:pos="9360"/>
      </w:tabs>
    </w:pPr>
    <w:rPr>
      <w:noProof/>
      <w:sz w:val="16"/>
    </w:rPr>
  </w:style>
  <w:style w:type="character" w:customStyle="1" w:styleId="Heading5Char">
    <w:name w:val="Heading 5 Char"/>
    <w:aliases w:val="h5 Char"/>
    <w:link w:val="Heading5"/>
    <w:rsid w:val="00E51290"/>
    <w:rPr>
      <w:b/>
      <w:bCs/>
      <w:i/>
      <w:iCs/>
      <w:sz w:val="24"/>
      <w:szCs w:val="26"/>
    </w:rPr>
  </w:style>
  <w:style w:type="paragraph" w:customStyle="1" w:styleId="TXUNormal">
    <w:name w:val="TXUNormal"/>
    <w:rsid w:val="00424F6A"/>
    <w:pPr>
      <w:spacing w:after="120"/>
    </w:pPr>
  </w:style>
  <w:style w:type="paragraph" w:customStyle="1" w:styleId="TXUSubject">
    <w:name w:val="TXUSubject"/>
    <w:basedOn w:val="TXUNormal"/>
    <w:next w:val="TXUNormal"/>
    <w:rsid w:val="00424F6A"/>
    <w:pPr>
      <w:spacing w:after="240"/>
    </w:pPr>
    <w:rPr>
      <w:b/>
    </w:rPr>
  </w:style>
  <w:style w:type="paragraph" w:customStyle="1" w:styleId="Comments">
    <w:name w:val="Comments"/>
    <w:basedOn w:val="Normal"/>
    <w:rsid w:val="00424F6A"/>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style>
  <w:style w:type="character" w:customStyle="1" w:styleId="CharChar3">
    <w:name w:val="Char Char3"/>
    <w:rsid w:val="00424F6A"/>
    <w:rPr>
      <w:sz w:val="24"/>
      <w:lang w:val="en-US" w:eastAsia="en-US" w:bidi="ar-SA"/>
    </w:rPr>
  </w:style>
  <w:style w:type="paragraph" w:customStyle="1" w:styleId="PJMNormal">
    <w:name w:val="PJM_Normal"/>
    <w:basedOn w:val="Default"/>
    <w:next w:val="Default"/>
    <w:rsid w:val="00424F6A"/>
    <w:pPr>
      <w:spacing w:before="120" w:after="120"/>
    </w:pPr>
    <w:rPr>
      <w:rFonts w:cs="Times New Roman"/>
      <w:color w:val="auto"/>
    </w:rPr>
  </w:style>
  <w:style w:type="paragraph" w:customStyle="1" w:styleId="PJMListOutline1">
    <w:name w:val="PJM_List_Outline_1"/>
    <w:basedOn w:val="Default"/>
    <w:next w:val="Default"/>
    <w:rsid w:val="00424F6A"/>
    <w:pPr>
      <w:spacing w:before="120" w:after="120"/>
    </w:pPr>
    <w:rPr>
      <w:rFonts w:cs="Times New Roman"/>
      <w:color w:val="auto"/>
    </w:rPr>
  </w:style>
  <w:style w:type="paragraph" w:customStyle="1" w:styleId="tablecontents">
    <w:name w:val="table contents"/>
    <w:basedOn w:val="Normal"/>
    <w:rsid w:val="00424F6A"/>
    <w:rPr>
      <w:sz w:val="20"/>
    </w:rPr>
  </w:style>
  <w:style w:type="character" w:customStyle="1" w:styleId="CharChar2">
    <w:name w:val="Char Char2"/>
    <w:rsid w:val="00424F6A"/>
    <w:rPr>
      <w:iCs/>
      <w:sz w:val="24"/>
      <w:lang w:val="en-US" w:eastAsia="en-US" w:bidi="ar-SA"/>
    </w:rPr>
  </w:style>
  <w:style w:type="character" w:customStyle="1" w:styleId="CharCharCharChar1">
    <w:name w:val="Char Char Char Char1"/>
    <w:rsid w:val="00424F6A"/>
    <w:rPr>
      <w:iCs/>
      <w:sz w:val="24"/>
      <w:lang w:val="en-US" w:eastAsia="en-US" w:bidi="ar-SA"/>
    </w:rPr>
  </w:style>
  <w:style w:type="character" w:customStyle="1" w:styleId="DocumentMapChar">
    <w:name w:val="Document Map Char"/>
    <w:link w:val="DocumentMap"/>
    <w:rsid w:val="00424F6A"/>
    <w:rPr>
      <w:rFonts w:ascii="Tahoma" w:hAnsi="Tahoma" w:cs="Tahoma"/>
      <w:shd w:val="clear" w:color="auto" w:fill="000080"/>
    </w:rPr>
  </w:style>
  <w:style w:type="paragraph" w:customStyle="1" w:styleId="equals">
    <w:name w:val="equals"/>
    <w:basedOn w:val="BodyText"/>
    <w:rsid w:val="00424F6A"/>
    <w:pPr>
      <w:ind w:left="3168" w:hanging="2880"/>
    </w:pPr>
  </w:style>
  <w:style w:type="paragraph" w:customStyle="1" w:styleId="VariableDefinitionwide">
    <w:name w:val="Variable Definition wide"/>
    <w:basedOn w:val="BodyTextIndent"/>
    <w:rsid w:val="00424F6A"/>
    <w:pPr>
      <w:tabs>
        <w:tab w:val="left" w:pos="2160"/>
      </w:tabs>
      <w:ind w:left="4320" w:hanging="3600"/>
      <w:contextualSpacing/>
    </w:pPr>
    <w:rPr>
      <w:szCs w:val="24"/>
      <w:lang w:val="en-US" w:eastAsia="en-US"/>
    </w:rPr>
  </w:style>
  <w:style w:type="character" w:customStyle="1" w:styleId="BodyText2Char">
    <w:name w:val="Body Text 2 Char"/>
    <w:link w:val="BodyText2"/>
    <w:rsid w:val="00424F6A"/>
    <w:rPr>
      <w:sz w:val="24"/>
    </w:rPr>
  </w:style>
  <w:style w:type="character" w:customStyle="1" w:styleId="CharChar5">
    <w:name w:val="Char Char5"/>
    <w:rsid w:val="00424F6A"/>
    <w:rPr>
      <w:iCs/>
      <w:sz w:val="24"/>
      <w:lang w:val="en-US" w:eastAsia="en-US" w:bidi="ar-SA"/>
    </w:rPr>
  </w:style>
  <w:style w:type="character" w:customStyle="1" w:styleId="CharCharCharCharChar">
    <w:name w:val="Char Char Char Char Char"/>
    <w:aliases w:val=" Char Char Char Char Char1"/>
    <w:rsid w:val="00424F6A"/>
    <w:rPr>
      <w:iCs/>
      <w:sz w:val="24"/>
      <w:lang w:val="en-US" w:eastAsia="en-US" w:bidi="ar-SA"/>
    </w:rPr>
  </w:style>
  <w:style w:type="character" w:customStyle="1" w:styleId="CharChar4">
    <w:name w:val="Char Char4"/>
    <w:rsid w:val="00424F6A"/>
    <w:rPr>
      <w:sz w:val="24"/>
      <w:lang w:val="en-US" w:eastAsia="en-US" w:bidi="ar-SA"/>
    </w:rPr>
  </w:style>
  <w:style w:type="character" w:customStyle="1" w:styleId="CharCharChar2">
    <w:name w:val="Char Char Char2"/>
    <w:rsid w:val="00424F6A"/>
    <w:rPr>
      <w:iCs/>
      <w:sz w:val="24"/>
      <w:lang w:val="en-US" w:eastAsia="en-US" w:bidi="ar-SA"/>
    </w:rPr>
  </w:style>
  <w:style w:type="character" w:customStyle="1" w:styleId="Char2CharCharChar">
    <w:name w:val="Char2 Char Char Char"/>
    <w:aliases w:val=" Char2 Char Char2"/>
    <w:rsid w:val="00424F6A"/>
    <w:rPr>
      <w:sz w:val="24"/>
      <w:lang w:val="en-US" w:eastAsia="en-US" w:bidi="ar-SA"/>
    </w:rPr>
  </w:style>
  <w:style w:type="character" w:customStyle="1" w:styleId="ListIntroductionCharChar">
    <w:name w:val="List Introduction Char Char"/>
    <w:rsid w:val="00424F6A"/>
    <w:rPr>
      <w:iCs/>
      <w:sz w:val="24"/>
      <w:lang w:val="en-US" w:eastAsia="en-US" w:bidi="ar-SA"/>
    </w:rPr>
  </w:style>
  <w:style w:type="paragraph" w:customStyle="1" w:styleId="VariableDefinition1">
    <w:name w:val="Variable Definition+1"/>
    <w:basedOn w:val="Default"/>
    <w:next w:val="Default"/>
    <w:rsid w:val="00424F6A"/>
    <w:pPr>
      <w:spacing w:after="240"/>
    </w:pPr>
    <w:rPr>
      <w:rFonts w:ascii="Times New Roman" w:hAnsi="Times New Roman" w:cs="Times New Roman"/>
      <w:color w:val="auto"/>
    </w:rPr>
  </w:style>
  <w:style w:type="character" w:customStyle="1" w:styleId="Char1CharChar1">
    <w:name w:val="Char1 Char Char1"/>
    <w:rsid w:val="00424F6A"/>
    <w:rPr>
      <w:sz w:val="24"/>
      <w:lang w:val="en-US" w:eastAsia="en-US" w:bidi="ar-SA"/>
    </w:rPr>
  </w:style>
  <w:style w:type="character" w:customStyle="1" w:styleId="BodyTextCharChar1">
    <w:name w:val="Body Text Char Char1"/>
    <w:rsid w:val="00424F6A"/>
    <w:rPr>
      <w:iCs/>
      <w:sz w:val="24"/>
      <w:lang w:val="en-US" w:eastAsia="en-US" w:bidi="ar-SA"/>
    </w:rPr>
  </w:style>
  <w:style w:type="paragraph" w:customStyle="1" w:styleId="ListSub2">
    <w:name w:val="List Sub+2"/>
    <w:basedOn w:val="Default"/>
    <w:next w:val="Default"/>
    <w:rsid w:val="00424F6A"/>
    <w:pPr>
      <w:spacing w:after="240"/>
    </w:pPr>
    <w:rPr>
      <w:rFonts w:ascii="Times New Roman" w:hAnsi="Times New Roman" w:cs="Times New Roman"/>
      <w:color w:val="auto"/>
    </w:rPr>
  </w:style>
  <w:style w:type="character" w:customStyle="1" w:styleId="BodyText1Char">
    <w:name w:val="Body Text1 Char"/>
    <w:aliases w:val=" Char11 Char, Char Char Char Char Char Char Char Char Char Char Char Char Char Char Char Char Char Char Char Char Char Char Char Char"/>
    <w:rsid w:val="00424F6A"/>
    <w:rPr>
      <w:iCs/>
      <w:sz w:val="24"/>
      <w:lang w:val="en-US" w:eastAsia="en-US" w:bidi="ar-SA"/>
    </w:rPr>
  </w:style>
  <w:style w:type="character" w:customStyle="1" w:styleId="Char1Char1">
    <w:name w:val="Char1 Char1"/>
    <w:rsid w:val="00424F6A"/>
    <w:rPr>
      <w:sz w:val="24"/>
      <w:lang w:val="en-US" w:eastAsia="en-US" w:bidi="ar-SA"/>
    </w:rPr>
  </w:style>
  <w:style w:type="paragraph" w:customStyle="1" w:styleId="H">
    <w:name w:val="H%"/>
    <w:basedOn w:val="H4"/>
    <w:rsid w:val="00424F6A"/>
    <w:rPr>
      <w:szCs w:val="24"/>
    </w:rPr>
  </w:style>
  <w:style w:type="character" w:styleId="FootnoteReference">
    <w:name w:val="footnote reference"/>
    <w:rsid w:val="00424F6A"/>
    <w:rPr>
      <w:vertAlign w:val="superscript"/>
    </w:rPr>
  </w:style>
  <w:style w:type="paragraph" w:customStyle="1" w:styleId="Style1">
    <w:name w:val="Style1"/>
    <w:basedOn w:val="H5"/>
    <w:rsid w:val="00424F6A"/>
  </w:style>
  <w:style w:type="paragraph" w:customStyle="1" w:styleId="Style2">
    <w:name w:val="Style2"/>
    <w:basedOn w:val="H5"/>
    <w:autoRedefine/>
    <w:rsid w:val="00424F6A"/>
    <w:rPr>
      <w:i w:val="0"/>
    </w:rPr>
  </w:style>
  <w:style w:type="character" w:customStyle="1" w:styleId="msoins0">
    <w:name w:val="msoins"/>
    <w:rsid w:val="00424F6A"/>
    <w:rPr>
      <w:u w:val="single"/>
    </w:rPr>
  </w:style>
  <w:style w:type="paragraph" w:customStyle="1" w:styleId="listintroduction0">
    <w:name w:val="listintroduction"/>
    <w:basedOn w:val="Normal"/>
    <w:rsid w:val="00424F6A"/>
    <w:pPr>
      <w:keepNext/>
      <w:spacing w:after="240"/>
    </w:pPr>
    <w:rPr>
      <w:szCs w:val="24"/>
    </w:rPr>
  </w:style>
  <w:style w:type="paragraph" w:customStyle="1" w:styleId="bodytextnumbered0">
    <w:name w:val="bodytextnumbered"/>
    <w:basedOn w:val="Normal"/>
    <w:rsid w:val="00424F6A"/>
    <w:pPr>
      <w:spacing w:after="240"/>
      <w:ind w:left="720" w:hanging="720"/>
    </w:pPr>
    <w:rPr>
      <w:szCs w:val="24"/>
    </w:rPr>
  </w:style>
  <w:style w:type="paragraph" w:customStyle="1" w:styleId="InstructionsCharCharCharCharCharChar">
    <w:name w:val="Instructions Char Char Char Char Char Char"/>
    <w:basedOn w:val="Normal"/>
    <w:link w:val="InstructionsCharCharCharCharCharCharChar"/>
    <w:rsid w:val="00424F6A"/>
    <w:pPr>
      <w:spacing w:after="240"/>
      <w:ind w:left="720" w:hanging="720"/>
    </w:pPr>
    <w:rPr>
      <w:b/>
      <w:i/>
      <w:iCs/>
      <w:szCs w:val="24"/>
    </w:rPr>
  </w:style>
  <w:style w:type="character" w:customStyle="1" w:styleId="InstructionsCharCharCharCharCharCharChar">
    <w:name w:val="Instructions Char Char Char Char Char Char Char"/>
    <w:link w:val="InstructionsCharCharCharCharCharChar"/>
    <w:rsid w:val="00424F6A"/>
    <w:rPr>
      <w:b/>
      <w:i/>
      <w:iCs/>
      <w:sz w:val="24"/>
      <w:szCs w:val="24"/>
    </w:rPr>
  </w:style>
  <w:style w:type="paragraph" w:customStyle="1" w:styleId="RegularText">
    <w:name w:val="Regular Text"/>
    <w:basedOn w:val="Normal"/>
    <w:rsid w:val="00424F6A"/>
    <w:pPr>
      <w:spacing w:before="120" w:after="120"/>
      <w:ind w:left="432"/>
      <w:jc w:val="both"/>
    </w:pPr>
  </w:style>
  <w:style w:type="character" w:customStyle="1" w:styleId="TextChar">
    <w:name w:val="Text Char"/>
    <w:rsid w:val="00424F6A"/>
    <w:rPr>
      <w:iCs/>
      <w:sz w:val="24"/>
      <w:lang w:val="en-US" w:eastAsia="en-US" w:bidi="ar-SA"/>
    </w:rPr>
  </w:style>
  <w:style w:type="paragraph" w:customStyle="1" w:styleId="Char31">
    <w:name w:val="Char31"/>
    <w:basedOn w:val="Normal"/>
    <w:rsid w:val="00424F6A"/>
    <w:pPr>
      <w:spacing w:after="160" w:line="240" w:lineRule="exact"/>
    </w:pPr>
    <w:rPr>
      <w:rFonts w:ascii="Verdana" w:hAnsi="Verdana"/>
      <w:sz w:val="16"/>
    </w:rPr>
  </w:style>
  <w:style w:type="character" w:styleId="Strong">
    <w:name w:val="Strong"/>
    <w:qFormat/>
    <w:rsid w:val="00424F6A"/>
    <w:rPr>
      <w:b/>
      <w:bCs/>
    </w:rPr>
  </w:style>
  <w:style w:type="character" w:customStyle="1" w:styleId="Heading1Char">
    <w:name w:val="Heading 1 Char"/>
    <w:aliases w:val="h1 Char"/>
    <w:link w:val="Heading1"/>
    <w:locked/>
    <w:rsid w:val="00424F6A"/>
    <w:rPr>
      <w:b/>
      <w:caps/>
      <w:sz w:val="24"/>
    </w:rPr>
  </w:style>
  <w:style w:type="character" w:customStyle="1" w:styleId="FooterChar">
    <w:name w:val="Footer Char"/>
    <w:link w:val="Footer"/>
    <w:uiPriority w:val="99"/>
    <w:rsid w:val="00424F6A"/>
    <w:rPr>
      <w:smallCaps/>
    </w:rPr>
  </w:style>
  <w:style w:type="character" w:customStyle="1" w:styleId="CommentTextChar">
    <w:name w:val="Comment Text Char"/>
    <w:link w:val="CommentText"/>
    <w:locked/>
    <w:rsid w:val="00424F6A"/>
  </w:style>
  <w:style w:type="paragraph" w:styleId="ListParagraph">
    <w:name w:val="List Paragraph"/>
    <w:basedOn w:val="Normal"/>
    <w:qFormat/>
    <w:rsid w:val="00424F6A"/>
    <w:pPr>
      <w:ind w:left="720"/>
      <w:contextualSpacing/>
    </w:pPr>
    <w:rPr>
      <w:szCs w:val="24"/>
    </w:rPr>
  </w:style>
  <w:style w:type="character" w:styleId="PlaceholderText">
    <w:name w:val="Placeholder Text"/>
    <w:uiPriority w:val="99"/>
    <w:semiHidden/>
    <w:rsid w:val="00424F6A"/>
    <w:rPr>
      <w:color w:val="808080"/>
    </w:rPr>
  </w:style>
  <w:style w:type="character" w:customStyle="1" w:styleId="Heading2Char">
    <w:name w:val="Heading 2 Char"/>
    <w:aliases w:val="h2 Char"/>
    <w:link w:val="Heading2"/>
    <w:rsid w:val="00424F6A"/>
    <w:rPr>
      <w:b/>
      <w:sz w:val="24"/>
    </w:rPr>
  </w:style>
  <w:style w:type="character" w:customStyle="1" w:styleId="Heading7Char">
    <w:name w:val="Heading 7 Char"/>
    <w:link w:val="Heading7"/>
    <w:rsid w:val="00424F6A"/>
    <w:rPr>
      <w:sz w:val="24"/>
      <w:szCs w:val="24"/>
    </w:rPr>
  </w:style>
  <w:style w:type="character" w:customStyle="1" w:styleId="Heading8Char">
    <w:name w:val="Heading 8 Char"/>
    <w:link w:val="Heading8"/>
    <w:rsid w:val="00424F6A"/>
    <w:rPr>
      <w:i/>
      <w:iCs/>
      <w:sz w:val="24"/>
      <w:szCs w:val="24"/>
    </w:rPr>
  </w:style>
  <w:style w:type="character" w:customStyle="1" w:styleId="Heading9Char">
    <w:name w:val="Heading 9 Char"/>
    <w:link w:val="Heading9"/>
    <w:rsid w:val="00424F6A"/>
    <w:rPr>
      <w:b/>
      <w:sz w:val="24"/>
      <w:szCs w:val="24"/>
    </w:rPr>
  </w:style>
  <w:style w:type="character" w:customStyle="1" w:styleId="FootnoteTextChar">
    <w:name w:val="Footnote Text Char"/>
    <w:link w:val="FootnoteText"/>
    <w:semiHidden/>
    <w:rsid w:val="00424F6A"/>
    <w:rPr>
      <w:sz w:val="18"/>
    </w:rPr>
  </w:style>
  <w:style w:type="character" w:customStyle="1" w:styleId="BalloonTextChar">
    <w:name w:val="Balloon Text Char"/>
    <w:link w:val="BalloonText"/>
    <w:semiHidden/>
    <w:rsid w:val="00424F6A"/>
    <w:rPr>
      <w:rFonts w:ascii="Tahoma" w:hAnsi="Tahoma" w:cs="Tahoma"/>
      <w:sz w:val="16"/>
      <w:szCs w:val="16"/>
    </w:rPr>
  </w:style>
  <w:style w:type="character" w:customStyle="1" w:styleId="CommentSubjectChar">
    <w:name w:val="Comment Subject Char"/>
    <w:link w:val="CommentSubject"/>
    <w:semiHidden/>
    <w:rsid w:val="00424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992">
      <w:bodyDiv w:val="1"/>
      <w:marLeft w:val="0"/>
      <w:marRight w:val="0"/>
      <w:marTop w:val="0"/>
      <w:marBottom w:val="0"/>
      <w:divBdr>
        <w:top w:val="none" w:sz="0" w:space="0" w:color="auto"/>
        <w:left w:val="none" w:sz="0" w:space="0" w:color="auto"/>
        <w:bottom w:val="none" w:sz="0" w:space="0" w:color="auto"/>
        <w:right w:val="none" w:sz="0" w:space="0" w:color="auto"/>
      </w:divBdr>
    </w:div>
    <w:div w:id="636960974">
      <w:bodyDiv w:val="1"/>
      <w:marLeft w:val="0"/>
      <w:marRight w:val="0"/>
      <w:marTop w:val="0"/>
      <w:marBottom w:val="0"/>
      <w:divBdr>
        <w:top w:val="none" w:sz="0" w:space="0" w:color="auto"/>
        <w:left w:val="none" w:sz="0" w:space="0" w:color="auto"/>
        <w:bottom w:val="none" w:sz="0" w:space="0" w:color="auto"/>
        <w:right w:val="none" w:sz="0" w:space="0" w:color="auto"/>
      </w:divBdr>
    </w:div>
    <w:div w:id="664673393">
      <w:bodyDiv w:val="1"/>
      <w:marLeft w:val="0"/>
      <w:marRight w:val="0"/>
      <w:marTop w:val="0"/>
      <w:marBottom w:val="0"/>
      <w:divBdr>
        <w:top w:val="none" w:sz="0" w:space="0" w:color="auto"/>
        <w:left w:val="none" w:sz="0" w:space="0" w:color="auto"/>
        <w:bottom w:val="none" w:sz="0" w:space="0" w:color="auto"/>
        <w:right w:val="none" w:sz="0" w:space="0" w:color="auto"/>
      </w:divBdr>
    </w:div>
    <w:div w:id="864828143">
      <w:bodyDiv w:val="1"/>
      <w:marLeft w:val="0"/>
      <w:marRight w:val="0"/>
      <w:marTop w:val="0"/>
      <w:marBottom w:val="0"/>
      <w:divBdr>
        <w:top w:val="none" w:sz="0" w:space="0" w:color="auto"/>
        <w:left w:val="none" w:sz="0" w:space="0" w:color="auto"/>
        <w:bottom w:val="none" w:sz="0" w:space="0" w:color="auto"/>
        <w:right w:val="none" w:sz="0" w:space="0" w:color="auto"/>
      </w:divBdr>
    </w:div>
    <w:div w:id="980690072">
      <w:bodyDiv w:val="1"/>
      <w:marLeft w:val="0"/>
      <w:marRight w:val="0"/>
      <w:marTop w:val="0"/>
      <w:marBottom w:val="0"/>
      <w:divBdr>
        <w:top w:val="none" w:sz="0" w:space="0" w:color="auto"/>
        <w:left w:val="none" w:sz="0" w:space="0" w:color="auto"/>
        <w:bottom w:val="none" w:sz="0" w:space="0" w:color="auto"/>
        <w:right w:val="none" w:sz="0" w:space="0" w:color="auto"/>
      </w:divBdr>
    </w:div>
    <w:div w:id="987514768">
      <w:bodyDiv w:val="1"/>
      <w:marLeft w:val="0"/>
      <w:marRight w:val="0"/>
      <w:marTop w:val="0"/>
      <w:marBottom w:val="0"/>
      <w:divBdr>
        <w:top w:val="none" w:sz="0" w:space="0" w:color="auto"/>
        <w:left w:val="none" w:sz="0" w:space="0" w:color="auto"/>
        <w:bottom w:val="none" w:sz="0" w:space="0" w:color="auto"/>
        <w:right w:val="none" w:sz="0" w:space="0" w:color="auto"/>
      </w:divBdr>
    </w:div>
    <w:div w:id="1203639302">
      <w:bodyDiv w:val="1"/>
      <w:marLeft w:val="0"/>
      <w:marRight w:val="0"/>
      <w:marTop w:val="0"/>
      <w:marBottom w:val="0"/>
      <w:divBdr>
        <w:top w:val="none" w:sz="0" w:space="0" w:color="auto"/>
        <w:left w:val="none" w:sz="0" w:space="0" w:color="auto"/>
        <w:bottom w:val="none" w:sz="0" w:space="0" w:color="auto"/>
        <w:right w:val="none" w:sz="0" w:space="0" w:color="auto"/>
      </w:divBdr>
    </w:div>
    <w:div w:id="1338381841">
      <w:bodyDiv w:val="1"/>
      <w:marLeft w:val="0"/>
      <w:marRight w:val="0"/>
      <w:marTop w:val="0"/>
      <w:marBottom w:val="0"/>
      <w:divBdr>
        <w:top w:val="none" w:sz="0" w:space="0" w:color="auto"/>
        <w:left w:val="none" w:sz="0" w:space="0" w:color="auto"/>
        <w:bottom w:val="none" w:sz="0" w:space="0" w:color="auto"/>
        <w:right w:val="none" w:sz="0" w:space="0" w:color="auto"/>
      </w:divBdr>
    </w:div>
    <w:div w:id="1379475329">
      <w:bodyDiv w:val="1"/>
      <w:marLeft w:val="0"/>
      <w:marRight w:val="0"/>
      <w:marTop w:val="0"/>
      <w:marBottom w:val="0"/>
      <w:divBdr>
        <w:top w:val="none" w:sz="0" w:space="0" w:color="auto"/>
        <w:left w:val="none" w:sz="0" w:space="0" w:color="auto"/>
        <w:bottom w:val="none" w:sz="0" w:space="0" w:color="auto"/>
        <w:right w:val="none" w:sz="0" w:space="0" w:color="auto"/>
      </w:divBdr>
    </w:div>
    <w:div w:id="1650865610">
      <w:bodyDiv w:val="1"/>
      <w:marLeft w:val="0"/>
      <w:marRight w:val="0"/>
      <w:marTop w:val="0"/>
      <w:marBottom w:val="0"/>
      <w:divBdr>
        <w:top w:val="none" w:sz="0" w:space="0" w:color="auto"/>
        <w:left w:val="none" w:sz="0" w:space="0" w:color="auto"/>
        <w:bottom w:val="none" w:sz="0" w:space="0" w:color="auto"/>
        <w:right w:val="none" w:sz="0" w:space="0" w:color="auto"/>
      </w:divBdr>
    </w:div>
    <w:div w:id="1680086970">
      <w:bodyDiv w:val="1"/>
      <w:marLeft w:val="0"/>
      <w:marRight w:val="0"/>
      <w:marTop w:val="0"/>
      <w:marBottom w:val="0"/>
      <w:divBdr>
        <w:top w:val="none" w:sz="0" w:space="0" w:color="auto"/>
        <w:left w:val="none" w:sz="0" w:space="0" w:color="auto"/>
        <w:bottom w:val="none" w:sz="0" w:space="0" w:color="auto"/>
        <w:right w:val="none" w:sz="0" w:space="0" w:color="auto"/>
      </w:divBdr>
    </w:div>
    <w:div w:id="1809781796">
      <w:bodyDiv w:val="1"/>
      <w:marLeft w:val="0"/>
      <w:marRight w:val="0"/>
      <w:marTop w:val="0"/>
      <w:marBottom w:val="0"/>
      <w:divBdr>
        <w:top w:val="none" w:sz="0" w:space="0" w:color="auto"/>
        <w:left w:val="none" w:sz="0" w:space="0" w:color="auto"/>
        <w:bottom w:val="none" w:sz="0" w:space="0" w:color="auto"/>
        <w:right w:val="none" w:sz="0" w:space="0" w:color="auto"/>
      </w:divBdr>
    </w:div>
    <w:div w:id="1992176344">
      <w:bodyDiv w:val="1"/>
      <w:marLeft w:val="0"/>
      <w:marRight w:val="0"/>
      <w:marTop w:val="0"/>
      <w:marBottom w:val="0"/>
      <w:divBdr>
        <w:top w:val="none" w:sz="0" w:space="0" w:color="auto"/>
        <w:left w:val="none" w:sz="0" w:space="0" w:color="auto"/>
        <w:bottom w:val="none" w:sz="0" w:space="0" w:color="auto"/>
        <w:right w:val="none" w:sz="0" w:space="0" w:color="auto"/>
      </w:divBdr>
    </w:div>
    <w:div w:id="206263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image" Target="media/image6.wmf"/><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oleObject" Target="embeddings/oleObject3.bin"/><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1C743-FB30-4103-AB2B-C03F65E8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1</TotalTime>
  <Pages>24</Pages>
  <Words>7306</Words>
  <Characters>39551</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46764</CharactersWithSpaces>
  <SharedDoc>false</SharedDoc>
  <HLinks>
    <vt:vector size="114" baseType="variant">
      <vt:variant>
        <vt:i4>2621440</vt:i4>
      </vt:variant>
      <vt:variant>
        <vt:i4>110</vt:i4>
      </vt:variant>
      <vt:variant>
        <vt:i4>0</vt:i4>
      </vt:variant>
      <vt:variant>
        <vt:i4>5</vt:i4>
      </vt:variant>
      <vt:variant>
        <vt:lpwstr/>
      </vt:variant>
      <vt:variant>
        <vt:lpwstr>_Toc181601</vt:lpwstr>
      </vt:variant>
      <vt:variant>
        <vt:i4>2686976</vt:i4>
      </vt:variant>
      <vt:variant>
        <vt:i4>104</vt:i4>
      </vt:variant>
      <vt:variant>
        <vt:i4>0</vt:i4>
      </vt:variant>
      <vt:variant>
        <vt:i4>5</vt:i4>
      </vt:variant>
      <vt:variant>
        <vt:lpwstr/>
      </vt:variant>
      <vt:variant>
        <vt:lpwstr>_Toc181600</vt:lpwstr>
      </vt:variant>
      <vt:variant>
        <vt:i4>2293769</vt:i4>
      </vt:variant>
      <vt:variant>
        <vt:i4>98</vt:i4>
      </vt:variant>
      <vt:variant>
        <vt:i4>0</vt:i4>
      </vt:variant>
      <vt:variant>
        <vt:i4>5</vt:i4>
      </vt:variant>
      <vt:variant>
        <vt:lpwstr/>
      </vt:variant>
      <vt:variant>
        <vt:lpwstr>_Toc181599</vt:lpwstr>
      </vt:variant>
      <vt:variant>
        <vt:i4>2228233</vt:i4>
      </vt:variant>
      <vt:variant>
        <vt:i4>92</vt:i4>
      </vt:variant>
      <vt:variant>
        <vt:i4>0</vt:i4>
      </vt:variant>
      <vt:variant>
        <vt:i4>5</vt:i4>
      </vt:variant>
      <vt:variant>
        <vt:lpwstr/>
      </vt:variant>
      <vt:variant>
        <vt:lpwstr>_Toc181598</vt:lpwstr>
      </vt:variant>
      <vt:variant>
        <vt:i4>2949129</vt:i4>
      </vt:variant>
      <vt:variant>
        <vt:i4>86</vt:i4>
      </vt:variant>
      <vt:variant>
        <vt:i4>0</vt:i4>
      </vt:variant>
      <vt:variant>
        <vt:i4>5</vt:i4>
      </vt:variant>
      <vt:variant>
        <vt:lpwstr/>
      </vt:variant>
      <vt:variant>
        <vt:lpwstr>_Toc181597</vt:lpwstr>
      </vt:variant>
      <vt:variant>
        <vt:i4>2883593</vt:i4>
      </vt:variant>
      <vt:variant>
        <vt:i4>80</vt:i4>
      </vt:variant>
      <vt:variant>
        <vt:i4>0</vt:i4>
      </vt:variant>
      <vt:variant>
        <vt:i4>5</vt:i4>
      </vt:variant>
      <vt:variant>
        <vt:lpwstr/>
      </vt:variant>
      <vt:variant>
        <vt:lpwstr>_Toc181596</vt:lpwstr>
      </vt:variant>
      <vt:variant>
        <vt:i4>3080201</vt:i4>
      </vt:variant>
      <vt:variant>
        <vt:i4>74</vt:i4>
      </vt:variant>
      <vt:variant>
        <vt:i4>0</vt:i4>
      </vt:variant>
      <vt:variant>
        <vt:i4>5</vt:i4>
      </vt:variant>
      <vt:variant>
        <vt:lpwstr/>
      </vt:variant>
      <vt:variant>
        <vt:lpwstr>_Toc181595</vt:lpwstr>
      </vt:variant>
      <vt:variant>
        <vt:i4>3014665</vt:i4>
      </vt:variant>
      <vt:variant>
        <vt:i4>68</vt:i4>
      </vt:variant>
      <vt:variant>
        <vt:i4>0</vt:i4>
      </vt:variant>
      <vt:variant>
        <vt:i4>5</vt:i4>
      </vt:variant>
      <vt:variant>
        <vt:lpwstr/>
      </vt:variant>
      <vt:variant>
        <vt:lpwstr>_Toc181594</vt:lpwstr>
      </vt:variant>
      <vt:variant>
        <vt:i4>2686985</vt:i4>
      </vt:variant>
      <vt:variant>
        <vt:i4>62</vt:i4>
      </vt:variant>
      <vt:variant>
        <vt:i4>0</vt:i4>
      </vt:variant>
      <vt:variant>
        <vt:i4>5</vt:i4>
      </vt:variant>
      <vt:variant>
        <vt:lpwstr/>
      </vt:variant>
      <vt:variant>
        <vt:lpwstr>_Toc181593</vt:lpwstr>
      </vt:variant>
      <vt:variant>
        <vt:i4>2621449</vt:i4>
      </vt:variant>
      <vt:variant>
        <vt:i4>56</vt:i4>
      </vt:variant>
      <vt:variant>
        <vt:i4>0</vt:i4>
      </vt:variant>
      <vt:variant>
        <vt:i4>5</vt:i4>
      </vt:variant>
      <vt:variant>
        <vt:lpwstr/>
      </vt:variant>
      <vt:variant>
        <vt:lpwstr>_Toc181592</vt:lpwstr>
      </vt:variant>
      <vt:variant>
        <vt:i4>2818057</vt:i4>
      </vt:variant>
      <vt:variant>
        <vt:i4>50</vt:i4>
      </vt:variant>
      <vt:variant>
        <vt:i4>0</vt:i4>
      </vt:variant>
      <vt:variant>
        <vt:i4>5</vt:i4>
      </vt:variant>
      <vt:variant>
        <vt:lpwstr/>
      </vt:variant>
      <vt:variant>
        <vt:lpwstr>_Toc181591</vt:lpwstr>
      </vt:variant>
      <vt:variant>
        <vt:i4>2752521</vt:i4>
      </vt:variant>
      <vt:variant>
        <vt:i4>44</vt:i4>
      </vt:variant>
      <vt:variant>
        <vt:i4>0</vt:i4>
      </vt:variant>
      <vt:variant>
        <vt:i4>5</vt:i4>
      </vt:variant>
      <vt:variant>
        <vt:lpwstr/>
      </vt:variant>
      <vt:variant>
        <vt:lpwstr>_Toc181590</vt:lpwstr>
      </vt:variant>
      <vt:variant>
        <vt:i4>2293768</vt:i4>
      </vt:variant>
      <vt:variant>
        <vt:i4>38</vt:i4>
      </vt:variant>
      <vt:variant>
        <vt:i4>0</vt:i4>
      </vt:variant>
      <vt:variant>
        <vt:i4>5</vt:i4>
      </vt:variant>
      <vt:variant>
        <vt:lpwstr/>
      </vt:variant>
      <vt:variant>
        <vt:lpwstr>_Toc181589</vt:lpwstr>
      </vt:variant>
      <vt:variant>
        <vt:i4>2228232</vt:i4>
      </vt:variant>
      <vt:variant>
        <vt:i4>32</vt:i4>
      </vt:variant>
      <vt:variant>
        <vt:i4>0</vt:i4>
      </vt:variant>
      <vt:variant>
        <vt:i4>5</vt:i4>
      </vt:variant>
      <vt:variant>
        <vt:lpwstr/>
      </vt:variant>
      <vt:variant>
        <vt:lpwstr>_Toc181588</vt:lpwstr>
      </vt:variant>
      <vt:variant>
        <vt:i4>2949128</vt:i4>
      </vt:variant>
      <vt:variant>
        <vt:i4>26</vt:i4>
      </vt:variant>
      <vt:variant>
        <vt:i4>0</vt:i4>
      </vt:variant>
      <vt:variant>
        <vt:i4>5</vt:i4>
      </vt:variant>
      <vt:variant>
        <vt:lpwstr/>
      </vt:variant>
      <vt:variant>
        <vt:lpwstr>_Toc181587</vt:lpwstr>
      </vt:variant>
      <vt:variant>
        <vt:i4>2883592</vt:i4>
      </vt:variant>
      <vt:variant>
        <vt:i4>20</vt:i4>
      </vt:variant>
      <vt:variant>
        <vt:i4>0</vt:i4>
      </vt:variant>
      <vt:variant>
        <vt:i4>5</vt:i4>
      </vt:variant>
      <vt:variant>
        <vt:lpwstr/>
      </vt:variant>
      <vt:variant>
        <vt:lpwstr>_Toc181586</vt:lpwstr>
      </vt:variant>
      <vt:variant>
        <vt:i4>3080200</vt:i4>
      </vt:variant>
      <vt:variant>
        <vt:i4>14</vt:i4>
      </vt:variant>
      <vt:variant>
        <vt:i4>0</vt:i4>
      </vt:variant>
      <vt:variant>
        <vt:i4>5</vt:i4>
      </vt:variant>
      <vt:variant>
        <vt:lpwstr/>
      </vt:variant>
      <vt:variant>
        <vt:lpwstr>_Toc181585</vt:lpwstr>
      </vt:variant>
      <vt:variant>
        <vt:i4>3014664</vt:i4>
      </vt:variant>
      <vt:variant>
        <vt:i4>8</vt:i4>
      </vt:variant>
      <vt:variant>
        <vt:i4>0</vt:i4>
      </vt:variant>
      <vt:variant>
        <vt:i4>5</vt:i4>
      </vt:variant>
      <vt:variant>
        <vt:lpwstr/>
      </vt:variant>
      <vt:variant>
        <vt:lpwstr>_Toc181584</vt:lpwstr>
      </vt:variant>
      <vt:variant>
        <vt:i4>2686984</vt:i4>
      </vt:variant>
      <vt:variant>
        <vt:i4>2</vt:i4>
      </vt:variant>
      <vt:variant>
        <vt:i4>0</vt:i4>
      </vt:variant>
      <vt:variant>
        <vt:i4>5</vt:i4>
      </vt:variant>
      <vt:variant>
        <vt:lpwstr/>
      </vt:variant>
      <vt:variant>
        <vt:lpwstr>_Toc181583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Lancium</cp:lastModifiedBy>
  <cp:revision>2</cp:revision>
  <cp:lastPrinted>2019-02-26T20:05:00Z</cp:lastPrinted>
  <dcterms:created xsi:type="dcterms:W3CDTF">2023-09-22T16:39:00Z</dcterms:created>
  <dcterms:modified xsi:type="dcterms:W3CDTF">2023-09-22T16:39:00Z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2023-08-25T14:55:23Z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173ab78b-623a-434e-b23f-ee269de5a3ef</vt:lpwstr>
  </property>
  <property fmtid="{D5CDD505-2E9C-101B-9397-08002B2CF9AE}" pid="8" name="MSIP_Label_7084cbda-52b8-46fb-a7b7-cb5bd465ed85_ContentBits">
    <vt:lpwstr>0</vt:lpwstr>
  </property>
</Properties>
</file>