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C5FB" w14:textId="77777777" w:rsidR="003F580A" w:rsidRDefault="003F580A" w:rsidP="003F580A">
      <w:pPr>
        <w:spacing w:before="2400"/>
        <w:jc w:val="center"/>
        <w:rPr>
          <w:b/>
          <w:sz w:val="36"/>
          <w:szCs w:val="36"/>
        </w:rPr>
      </w:pPr>
      <w:r>
        <w:rPr>
          <w:b/>
          <w:sz w:val="36"/>
          <w:szCs w:val="36"/>
        </w:rPr>
        <w:t>ERCOT Nodal Protocols</w:t>
      </w:r>
    </w:p>
    <w:p w14:paraId="5076039A" w14:textId="77777777" w:rsidR="003F580A" w:rsidRDefault="003F580A" w:rsidP="003F580A">
      <w:pPr>
        <w:jc w:val="center"/>
        <w:rPr>
          <w:b/>
          <w:sz w:val="36"/>
          <w:szCs w:val="36"/>
        </w:rPr>
      </w:pPr>
    </w:p>
    <w:p w14:paraId="5A75077B" w14:textId="77777777" w:rsidR="003F580A" w:rsidRDefault="003F580A" w:rsidP="003F580A">
      <w:pPr>
        <w:spacing w:after="240"/>
        <w:jc w:val="center"/>
        <w:rPr>
          <w:b/>
          <w:sz w:val="22"/>
          <w:szCs w:val="22"/>
        </w:rPr>
      </w:pPr>
      <w:r>
        <w:rPr>
          <w:b/>
          <w:sz w:val="36"/>
          <w:szCs w:val="36"/>
        </w:rPr>
        <w:t xml:space="preserve">Section 26:  </w:t>
      </w:r>
      <w:r w:rsidRPr="00D24933">
        <w:rPr>
          <w:b/>
          <w:sz w:val="36"/>
          <w:szCs w:val="36"/>
        </w:rPr>
        <w:t>Securitization Default Charges</w:t>
      </w:r>
    </w:p>
    <w:p w14:paraId="56ACE009" w14:textId="48427A7E" w:rsidR="003F580A" w:rsidRDefault="003A2E8C" w:rsidP="003F580A">
      <w:pPr>
        <w:spacing w:before="360"/>
        <w:jc w:val="center"/>
        <w:rPr>
          <w:b/>
          <w:szCs w:val="24"/>
        </w:rPr>
      </w:pPr>
      <w:r>
        <w:rPr>
          <w:b/>
          <w:szCs w:val="24"/>
        </w:rPr>
        <w:t>August</w:t>
      </w:r>
      <w:r w:rsidR="003F580A">
        <w:rPr>
          <w:b/>
          <w:szCs w:val="24"/>
        </w:rPr>
        <w:t xml:space="preserve"> 1, 202</w:t>
      </w:r>
      <w:r>
        <w:rPr>
          <w:b/>
          <w:szCs w:val="24"/>
        </w:rPr>
        <w:t>3</w:t>
      </w:r>
    </w:p>
    <w:p w14:paraId="411B97C1" w14:textId="77777777" w:rsidR="003F580A" w:rsidRDefault="003F580A" w:rsidP="003F580A">
      <w:pPr>
        <w:spacing w:before="360"/>
        <w:jc w:val="center"/>
        <w:rPr>
          <w:b/>
        </w:rPr>
      </w:pPr>
    </w:p>
    <w:p w14:paraId="5A99A2D3" w14:textId="77777777" w:rsidR="003F580A" w:rsidRDefault="003F580A" w:rsidP="003F580A">
      <w:pPr>
        <w:pBdr>
          <w:top w:val="single" w:sz="4" w:space="1" w:color="auto"/>
        </w:pBdr>
        <w:rPr>
          <w:b/>
          <w:sz w:val="20"/>
        </w:rPr>
      </w:pPr>
    </w:p>
    <w:p w14:paraId="53085F14" w14:textId="77777777" w:rsidR="003F580A" w:rsidRDefault="003F580A" w:rsidP="003F580A">
      <w:pPr>
        <w:pStyle w:val="TOC1"/>
      </w:pPr>
    </w:p>
    <w:p w14:paraId="033467B9" w14:textId="77777777" w:rsidR="003F580A" w:rsidRDefault="003F580A" w:rsidP="003F580A">
      <w:pPr>
        <w:pStyle w:val="TOC1"/>
        <w:sectPr w:rsidR="003F580A">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p>
    <w:p w14:paraId="4622F04A" w14:textId="0237DA0C" w:rsidR="00793B91" w:rsidRDefault="003F580A">
      <w:pPr>
        <w:pStyle w:val="TOC1"/>
        <w:rPr>
          <w:rFonts w:asciiTheme="minorHAnsi" w:eastAsiaTheme="minorEastAsia" w:hAnsiTheme="minorHAnsi" w:cstheme="minorBidi"/>
          <w:b w:val="0"/>
          <w:bCs w:val="0"/>
          <w:sz w:val="22"/>
          <w:szCs w:val="22"/>
        </w:rPr>
      </w:pPr>
      <w:r w:rsidRPr="00424F6A">
        <w:rPr>
          <w:iCs/>
        </w:rPr>
        <w:lastRenderedPageBreak/>
        <w:fldChar w:fldCharType="begin"/>
      </w:r>
      <w:r w:rsidRPr="00424F6A">
        <w:rPr>
          <w:iCs/>
        </w:rPr>
        <w:instrText xml:space="preserve"> TOC \o "1-5" \h \z \u </w:instrText>
      </w:r>
      <w:r w:rsidRPr="00424F6A">
        <w:rPr>
          <w:iCs/>
        </w:rPr>
        <w:fldChar w:fldCharType="separate"/>
      </w:r>
      <w:hyperlink w:anchor="_Toc141427849" w:history="1">
        <w:r w:rsidR="00793B91" w:rsidRPr="00E946AE">
          <w:rPr>
            <w:rStyle w:val="Hyperlink"/>
          </w:rPr>
          <w:t>26</w:t>
        </w:r>
        <w:r w:rsidR="00793B91">
          <w:rPr>
            <w:rFonts w:asciiTheme="minorHAnsi" w:eastAsiaTheme="minorEastAsia" w:hAnsiTheme="minorHAnsi" w:cstheme="minorBidi"/>
            <w:b w:val="0"/>
            <w:bCs w:val="0"/>
            <w:sz w:val="22"/>
            <w:szCs w:val="22"/>
          </w:rPr>
          <w:tab/>
        </w:r>
        <w:r w:rsidR="00793B91" w:rsidRPr="00E946AE">
          <w:rPr>
            <w:rStyle w:val="Hyperlink"/>
          </w:rPr>
          <w:t>Securitization default charges</w:t>
        </w:r>
        <w:r w:rsidR="00793B91">
          <w:rPr>
            <w:webHidden/>
          </w:rPr>
          <w:tab/>
        </w:r>
        <w:r w:rsidR="00793B91">
          <w:rPr>
            <w:webHidden/>
          </w:rPr>
          <w:fldChar w:fldCharType="begin"/>
        </w:r>
        <w:r w:rsidR="00793B91">
          <w:rPr>
            <w:webHidden/>
          </w:rPr>
          <w:instrText xml:space="preserve"> PAGEREF _Toc141427849 \h </w:instrText>
        </w:r>
        <w:r w:rsidR="00793B91">
          <w:rPr>
            <w:webHidden/>
          </w:rPr>
        </w:r>
        <w:r w:rsidR="00793B91">
          <w:rPr>
            <w:webHidden/>
          </w:rPr>
          <w:fldChar w:fldCharType="separate"/>
        </w:r>
        <w:r w:rsidR="00793B91">
          <w:rPr>
            <w:webHidden/>
          </w:rPr>
          <w:t>26-1</w:t>
        </w:r>
        <w:r w:rsidR="00793B91">
          <w:rPr>
            <w:webHidden/>
          </w:rPr>
          <w:fldChar w:fldCharType="end"/>
        </w:r>
      </w:hyperlink>
    </w:p>
    <w:p w14:paraId="45691230" w14:textId="383ED1FC" w:rsidR="00793B91" w:rsidRPr="00793B91" w:rsidRDefault="00AE36F0">
      <w:pPr>
        <w:pStyle w:val="TOC2"/>
        <w:rPr>
          <w:rFonts w:asciiTheme="minorHAnsi" w:eastAsiaTheme="minorEastAsia" w:hAnsiTheme="minorHAnsi" w:cstheme="minorBidi"/>
          <w:noProof/>
          <w:sz w:val="22"/>
          <w:szCs w:val="22"/>
        </w:rPr>
      </w:pPr>
      <w:hyperlink w:anchor="_Toc141427850" w:history="1">
        <w:r w:rsidR="00793B91" w:rsidRPr="00793B91">
          <w:rPr>
            <w:rStyle w:val="Hyperlink"/>
            <w:noProof/>
            <w:u w:val="none"/>
          </w:rPr>
          <w:t>26.1</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Overview</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_Toc141427850 \h </w:instrText>
        </w:r>
        <w:r w:rsidR="00793B91" w:rsidRPr="00793B91">
          <w:rPr>
            <w:noProof/>
            <w:webHidden/>
          </w:rPr>
        </w:r>
        <w:r w:rsidR="00793B91" w:rsidRPr="00793B91">
          <w:rPr>
            <w:noProof/>
            <w:webHidden/>
          </w:rPr>
          <w:fldChar w:fldCharType="separate"/>
        </w:r>
        <w:r w:rsidR="00793B91" w:rsidRPr="00793B91">
          <w:rPr>
            <w:noProof/>
            <w:webHidden/>
          </w:rPr>
          <w:t>26-1</w:t>
        </w:r>
        <w:r w:rsidR="00793B91" w:rsidRPr="00793B91">
          <w:rPr>
            <w:noProof/>
            <w:webHidden/>
          </w:rPr>
          <w:fldChar w:fldCharType="end"/>
        </w:r>
      </w:hyperlink>
    </w:p>
    <w:p w14:paraId="6AEB83F7" w14:textId="05512530" w:rsidR="00793B91" w:rsidRPr="00793B91" w:rsidRDefault="00AE36F0">
      <w:pPr>
        <w:pStyle w:val="TOC2"/>
        <w:rPr>
          <w:rFonts w:asciiTheme="minorHAnsi" w:eastAsiaTheme="minorEastAsia" w:hAnsiTheme="minorHAnsi" w:cstheme="minorBidi"/>
          <w:noProof/>
          <w:sz w:val="22"/>
          <w:szCs w:val="22"/>
        </w:rPr>
      </w:pPr>
      <w:hyperlink w:anchor="_Toc141427851" w:history="1">
        <w:r w:rsidR="00793B91" w:rsidRPr="00793B91">
          <w:rPr>
            <w:rStyle w:val="Hyperlink"/>
            <w:noProof/>
            <w:u w:val="none"/>
          </w:rPr>
          <w:t>26.2</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Securitization Default Charges</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_Toc141427851 \h </w:instrText>
        </w:r>
        <w:r w:rsidR="00793B91" w:rsidRPr="00793B91">
          <w:rPr>
            <w:noProof/>
            <w:webHidden/>
          </w:rPr>
        </w:r>
        <w:r w:rsidR="00793B91" w:rsidRPr="00793B91">
          <w:rPr>
            <w:noProof/>
            <w:webHidden/>
          </w:rPr>
          <w:fldChar w:fldCharType="separate"/>
        </w:r>
        <w:r w:rsidR="00793B91" w:rsidRPr="00793B91">
          <w:rPr>
            <w:noProof/>
            <w:webHidden/>
          </w:rPr>
          <w:t>26-1</w:t>
        </w:r>
        <w:r w:rsidR="00793B91" w:rsidRPr="00793B91">
          <w:rPr>
            <w:noProof/>
            <w:webHidden/>
          </w:rPr>
          <w:fldChar w:fldCharType="end"/>
        </w:r>
      </w:hyperlink>
    </w:p>
    <w:p w14:paraId="68329456" w14:textId="1357BA3D" w:rsidR="00793B91" w:rsidRPr="00793B91" w:rsidRDefault="00AE36F0">
      <w:pPr>
        <w:pStyle w:val="TOC2"/>
        <w:rPr>
          <w:rFonts w:asciiTheme="minorHAnsi" w:eastAsiaTheme="minorEastAsia" w:hAnsiTheme="minorHAnsi" w:cstheme="minorBidi"/>
          <w:noProof/>
          <w:sz w:val="22"/>
          <w:szCs w:val="22"/>
        </w:rPr>
      </w:pPr>
      <w:hyperlink w:anchor="_Toc141427852" w:history="1">
        <w:r w:rsidR="00793B91" w:rsidRPr="00793B91">
          <w:rPr>
            <w:rStyle w:val="Hyperlink"/>
            <w:noProof/>
            <w:u w:val="none"/>
          </w:rPr>
          <w:t xml:space="preserve">26.3 </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Securitization Default Charge Invoices</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_Toc141427852 \h </w:instrText>
        </w:r>
        <w:r w:rsidR="00793B91" w:rsidRPr="00793B91">
          <w:rPr>
            <w:noProof/>
            <w:webHidden/>
          </w:rPr>
        </w:r>
        <w:r w:rsidR="00793B91" w:rsidRPr="00793B91">
          <w:rPr>
            <w:noProof/>
            <w:webHidden/>
          </w:rPr>
          <w:fldChar w:fldCharType="separate"/>
        </w:r>
        <w:r w:rsidR="00793B91" w:rsidRPr="00793B91">
          <w:rPr>
            <w:noProof/>
            <w:webHidden/>
          </w:rPr>
          <w:t>26-6</w:t>
        </w:r>
        <w:r w:rsidR="00793B91" w:rsidRPr="00793B91">
          <w:rPr>
            <w:noProof/>
            <w:webHidden/>
          </w:rPr>
          <w:fldChar w:fldCharType="end"/>
        </w:r>
      </w:hyperlink>
    </w:p>
    <w:p w14:paraId="77719FF3" w14:textId="5497F8EE" w:rsidR="00793B91" w:rsidRPr="00793B91" w:rsidRDefault="00AE36F0">
      <w:pPr>
        <w:pStyle w:val="TOC3"/>
        <w:rPr>
          <w:rFonts w:asciiTheme="minorHAnsi" w:eastAsiaTheme="minorEastAsia" w:hAnsiTheme="minorHAnsi" w:cstheme="minorBidi"/>
          <w:i w:val="0"/>
          <w:iCs w:val="0"/>
          <w:noProof/>
          <w:sz w:val="22"/>
          <w:szCs w:val="22"/>
        </w:rPr>
      </w:pPr>
      <w:hyperlink w:anchor="_Toc141427853" w:history="1">
        <w:r w:rsidR="00793B91" w:rsidRPr="00793B91">
          <w:rPr>
            <w:rStyle w:val="Hyperlink"/>
            <w:i w:val="0"/>
            <w:iCs w:val="0"/>
            <w:noProof/>
            <w:u w:val="none"/>
          </w:rPr>
          <w:t>26.3.1</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Payment Process for Securitization Default Charge Invoices</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_Toc141427853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26-7</w:t>
        </w:r>
        <w:r w:rsidR="00793B91" w:rsidRPr="00793B91">
          <w:rPr>
            <w:i w:val="0"/>
            <w:iCs w:val="0"/>
            <w:noProof/>
            <w:webHidden/>
          </w:rPr>
          <w:fldChar w:fldCharType="end"/>
        </w:r>
      </w:hyperlink>
    </w:p>
    <w:p w14:paraId="5D121F04" w14:textId="5BD47DAF" w:rsidR="00793B91" w:rsidRPr="00793B91" w:rsidRDefault="00AE36F0">
      <w:pPr>
        <w:pStyle w:val="TOC4"/>
        <w:rPr>
          <w:rFonts w:asciiTheme="minorHAnsi" w:eastAsiaTheme="minorEastAsia" w:hAnsiTheme="minorHAnsi" w:cstheme="minorBidi"/>
          <w:noProof/>
          <w:sz w:val="22"/>
          <w:szCs w:val="22"/>
        </w:rPr>
      </w:pPr>
      <w:hyperlink w:anchor="_Toc141427854" w:history="1">
        <w:r w:rsidR="00793B91" w:rsidRPr="00793B91">
          <w:rPr>
            <w:rStyle w:val="Hyperlink"/>
            <w:noProof/>
            <w:u w:val="none"/>
          </w:rPr>
          <w:t>26.3.1.1</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Invoice Recipient Payment to ERCOT for Securitization Default Charge Invoices</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_Toc141427854 \h </w:instrText>
        </w:r>
        <w:r w:rsidR="00793B91" w:rsidRPr="00793B91">
          <w:rPr>
            <w:noProof/>
            <w:webHidden/>
          </w:rPr>
        </w:r>
        <w:r w:rsidR="00793B91" w:rsidRPr="00793B91">
          <w:rPr>
            <w:noProof/>
            <w:webHidden/>
          </w:rPr>
          <w:fldChar w:fldCharType="separate"/>
        </w:r>
        <w:r w:rsidR="00793B91" w:rsidRPr="00793B91">
          <w:rPr>
            <w:noProof/>
            <w:webHidden/>
          </w:rPr>
          <w:t>26-7</w:t>
        </w:r>
        <w:r w:rsidR="00793B91" w:rsidRPr="00793B91">
          <w:rPr>
            <w:noProof/>
            <w:webHidden/>
          </w:rPr>
          <w:fldChar w:fldCharType="end"/>
        </w:r>
      </w:hyperlink>
    </w:p>
    <w:p w14:paraId="1B3CD278" w14:textId="50C4ADC7" w:rsidR="00793B91" w:rsidRPr="00793B91" w:rsidRDefault="00AE36F0">
      <w:pPr>
        <w:pStyle w:val="TOC4"/>
        <w:rPr>
          <w:rFonts w:asciiTheme="minorHAnsi" w:eastAsiaTheme="minorEastAsia" w:hAnsiTheme="minorHAnsi" w:cstheme="minorBidi"/>
          <w:noProof/>
          <w:sz w:val="22"/>
          <w:szCs w:val="22"/>
        </w:rPr>
      </w:pPr>
      <w:hyperlink w:anchor="_Toc141427855" w:history="1">
        <w:r w:rsidR="00793B91" w:rsidRPr="00793B91">
          <w:rPr>
            <w:rStyle w:val="Hyperlink"/>
            <w:noProof/>
            <w:u w:val="none"/>
          </w:rPr>
          <w:t>26.3.1.2</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Insufficient Payments by Invoice Recipients for Securitization Default Charge Invoices</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_Toc141427855 \h </w:instrText>
        </w:r>
        <w:r w:rsidR="00793B91" w:rsidRPr="00793B91">
          <w:rPr>
            <w:noProof/>
            <w:webHidden/>
          </w:rPr>
        </w:r>
        <w:r w:rsidR="00793B91" w:rsidRPr="00793B91">
          <w:rPr>
            <w:noProof/>
            <w:webHidden/>
          </w:rPr>
          <w:fldChar w:fldCharType="separate"/>
        </w:r>
        <w:r w:rsidR="00793B91" w:rsidRPr="00793B91">
          <w:rPr>
            <w:noProof/>
            <w:webHidden/>
          </w:rPr>
          <w:t>26-8</w:t>
        </w:r>
        <w:r w:rsidR="00793B91" w:rsidRPr="00793B91">
          <w:rPr>
            <w:noProof/>
            <w:webHidden/>
          </w:rPr>
          <w:fldChar w:fldCharType="end"/>
        </w:r>
      </w:hyperlink>
    </w:p>
    <w:p w14:paraId="0762FC4C" w14:textId="1A225321" w:rsidR="00793B91" w:rsidRPr="00793B91" w:rsidRDefault="00AE36F0">
      <w:pPr>
        <w:pStyle w:val="TOC2"/>
        <w:rPr>
          <w:rFonts w:asciiTheme="minorHAnsi" w:eastAsiaTheme="minorEastAsia" w:hAnsiTheme="minorHAnsi" w:cstheme="minorBidi"/>
          <w:noProof/>
          <w:sz w:val="22"/>
          <w:szCs w:val="22"/>
        </w:rPr>
      </w:pPr>
      <w:hyperlink w:anchor="_Toc141427856" w:history="1">
        <w:r w:rsidR="00793B91" w:rsidRPr="00793B91">
          <w:rPr>
            <w:rStyle w:val="Hyperlink"/>
            <w:noProof/>
            <w:u w:val="none"/>
          </w:rPr>
          <w:t xml:space="preserve">26.4 </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Securitization Default Charge Supporting Data Reporting</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_Toc141427856 \h </w:instrText>
        </w:r>
        <w:r w:rsidR="00793B91" w:rsidRPr="00793B91">
          <w:rPr>
            <w:noProof/>
            <w:webHidden/>
          </w:rPr>
        </w:r>
        <w:r w:rsidR="00793B91" w:rsidRPr="00793B91">
          <w:rPr>
            <w:noProof/>
            <w:webHidden/>
          </w:rPr>
          <w:fldChar w:fldCharType="separate"/>
        </w:r>
        <w:r w:rsidR="00793B91" w:rsidRPr="00793B91">
          <w:rPr>
            <w:noProof/>
            <w:webHidden/>
          </w:rPr>
          <w:t>26-9</w:t>
        </w:r>
        <w:r w:rsidR="00793B91" w:rsidRPr="00793B91">
          <w:rPr>
            <w:noProof/>
            <w:webHidden/>
          </w:rPr>
          <w:fldChar w:fldCharType="end"/>
        </w:r>
      </w:hyperlink>
    </w:p>
    <w:p w14:paraId="7B7593A6" w14:textId="2E752DC2" w:rsidR="00793B91" w:rsidRPr="00793B91" w:rsidRDefault="00AE36F0">
      <w:pPr>
        <w:pStyle w:val="TOC2"/>
        <w:rPr>
          <w:rFonts w:asciiTheme="minorHAnsi" w:eastAsiaTheme="minorEastAsia" w:hAnsiTheme="minorHAnsi" w:cstheme="minorBidi"/>
          <w:noProof/>
          <w:sz w:val="22"/>
          <w:szCs w:val="22"/>
        </w:rPr>
      </w:pPr>
      <w:hyperlink w:anchor="_Toc141427857" w:history="1">
        <w:r w:rsidR="00793B91" w:rsidRPr="00793B91">
          <w:rPr>
            <w:rStyle w:val="Hyperlink"/>
            <w:noProof/>
            <w:u w:val="none"/>
          </w:rPr>
          <w:t>26.5</w:t>
        </w:r>
        <w:r w:rsidR="00793B91" w:rsidRPr="00793B91">
          <w:rPr>
            <w:rFonts w:asciiTheme="minorHAnsi" w:eastAsiaTheme="minorEastAsia" w:hAnsiTheme="minorHAnsi" w:cstheme="minorBidi"/>
            <w:noProof/>
            <w:sz w:val="22"/>
            <w:szCs w:val="22"/>
          </w:rPr>
          <w:tab/>
        </w:r>
        <w:r w:rsidR="00793B91" w:rsidRPr="00793B91">
          <w:rPr>
            <w:rStyle w:val="Hyperlink"/>
            <w:noProof/>
            <w:u w:val="none"/>
          </w:rPr>
          <w:t>Securitization Default Charge Escrow Deposit Requirements</w:t>
        </w:r>
        <w:r w:rsidR="00793B91" w:rsidRPr="00793B91">
          <w:rPr>
            <w:noProof/>
            <w:webHidden/>
          </w:rPr>
          <w:tab/>
        </w:r>
        <w:r w:rsidR="00793B91" w:rsidRPr="00793B91">
          <w:rPr>
            <w:noProof/>
            <w:webHidden/>
          </w:rPr>
          <w:fldChar w:fldCharType="begin"/>
        </w:r>
        <w:r w:rsidR="00793B91" w:rsidRPr="00793B91">
          <w:rPr>
            <w:noProof/>
            <w:webHidden/>
          </w:rPr>
          <w:instrText xml:space="preserve"> PAGEREF _Toc141427857 \h </w:instrText>
        </w:r>
        <w:r w:rsidR="00793B91" w:rsidRPr="00793B91">
          <w:rPr>
            <w:noProof/>
            <w:webHidden/>
          </w:rPr>
        </w:r>
        <w:r w:rsidR="00793B91" w:rsidRPr="00793B91">
          <w:rPr>
            <w:noProof/>
            <w:webHidden/>
          </w:rPr>
          <w:fldChar w:fldCharType="separate"/>
        </w:r>
        <w:r w:rsidR="00793B91" w:rsidRPr="00793B91">
          <w:rPr>
            <w:noProof/>
            <w:webHidden/>
          </w:rPr>
          <w:t>26-10</w:t>
        </w:r>
        <w:r w:rsidR="00793B91" w:rsidRPr="00793B91">
          <w:rPr>
            <w:noProof/>
            <w:webHidden/>
          </w:rPr>
          <w:fldChar w:fldCharType="end"/>
        </w:r>
      </w:hyperlink>
    </w:p>
    <w:p w14:paraId="68AE2F4E" w14:textId="648B7F98" w:rsidR="00793B91" w:rsidRPr="00793B91" w:rsidRDefault="00AE36F0">
      <w:pPr>
        <w:pStyle w:val="TOC3"/>
        <w:rPr>
          <w:rFonts w:asciiTheme="minorHAnsi" w:eastAsiaTheme="minorEastAsia" w:hAnsiTheme="minorHAnsi" w:cstheme="minorBidi"/>
          <w:i w:val="0"/>
          <w:iCs w:val="0"/>
          <w:noProof/>
          <w:sz w:val="22"/>
          <w:szCs w:val="22"/>
        </w:rPr>
      </w:pPr>
      <w:hyperlink w:anchor="_Toc141427858" w:history="1">
        <w:r w:rsidR="00793B91" w:rsidRPr="00793B91">
          <w:rPr>
            <w:rStyle w:val="Hyperlink"/>
            <w:i w:val="0"/>
            <w:iCs w:val="0"/>
            <w:noProof/>
            <w:u w:val="none"/>
          </w:rPr>
          <w:t xml:space="preserve">26.5.1 </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Securitization Default Charge Escrow</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_Toc141427858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26-10</w:t>
        </w:r>
        <w:r w:rsidR="00793B91" w:rsidRPr="00793B91">
          <w:rPr>
            <w:i w:val="0"/>
            <w:iCs w:val="0"/>
            <w:noProof/>
            <w:webHidden/>
          </w:rPr>
          <w:fldChar w:fldCharType="end"/>
        </w:r>
      </w:hyperlink>
    </w:p>
    <w:p w14:paraId="7D59A1AB" w14:textId="379BF851" w:rsidR="00793B91" w:rsidRPr="00793B91" w:rsidRDefault="00AE36F0">
      <w:pPr>
        <w:pStyle w:val="TOC3"/>
        <w:rPr>
          <w:rFonts w:asciiTheme="minorHAnsi" w:eastAsiaTheme="minorEastAsia" w:hAnsiTheme="minorHAnsi" w:cstheme="minorBidi"/>
          <w:i w:val="0"/>
          <w:iCs w:val="0"/>
          <w:noProof/>
          <w:sz w:val="22"/>
          <w:szCs w:val="22"/>
        </w:rPr>
      </w:pPr>
      <w:hyperlink w:anchor="_Toc141427859" w:history="1">
        <w:r w:rsidR="00793B91" w:rsidRPr="00793B91">
          <w:rPr>
            <w:rStyle w:val="Hyperlink"/>
            <w:i w:val="0"/>
            <w:iCs w:val="0"/>
            <w:noProof/>
            <w:u w:val="none"/>
          </w:rPr>
          <w:t xml:space="preserve">26.5.2 </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ERCOT Securitization Default Charge Credit Requirements for Counter-Parties</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_Toc141427859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26-10</w:t>
        </w:r>
        <w:r w:rsidR="00793B91" w:rsidRPr="00793B91">
          <w:rPr>
            <w:i w:val="0"/>
            <w:iCs w:val="0"/>
            <w:noProof/>
            <w:webHidden/>
          </w:rPr>
          <w:fldChar w:fldCharType="end"/>
        </w:r>
      </w:hyperlink>
    </w:p>
    <w:p w14:paraId="729C1142" w14:textId="34C43B8B" w:rsidR="00793B91" w:rsidRPr="00793B91" w:rsidRDefault="00AE36F0">
      <w:pPr>
        <w:pStyle w:val="TOC3"/>
        <w:rPr>
          <w:rFonts w:asciiTheme="minorHAnsi" w:eastAsiaTheme="minorEastAsia" w:hAnsiTheme="minorHAnsi" w:cstheme="minorBidi"/>
          <w:i w:val="0"/>
          <w:iCs w:val="0"/>
          <w:noProof/>
          <w:sz w:val="22"/>
          <w:szCs w:val="22"/>
        </w:rPr>
      </w:pPr>
      <w:hyperlink w:anchor="_Toc141427860" w:history="1">
        <w:r w:rsidR="00793B91" w:rsidRPr="00793B91">
          <w:rPr>
            <w:rStyle w:val="Hyperlink"/>
            <w:i w:val="0"/>
            <w:iCs w:val="0"/>
            <w:noProof/>
            <w:u w:val="none"/>
          </w:rPr>
          <w:t>26.5.3</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Means of Satisfying Securitization Default Charge Credit Requirements</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_Toc141427860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26-10</w:t>
        </w:r>
        <w:r w:rsidR="00793B91" w:rsidRPr="00793B91">
          <w:rPr>
            <w:i w:val="0"/>
            <w:iCs w:val="0"/>
            <w:noProof/>
            <w:webHidden/>
          </w:rPr>
          <w:fldChar w:fldCharType="end"/>
        </w:r>
      </w:hyperlink>
    </w:p>
    <w:p w14:paraId="684EFFCB" w14:textId="1A8442D1" w:rsidR="00793B91" w:rsidRPr="00793B91" w:rsidRDefault="00AE36F0">
      <w:pPr>
        <w:pStyle w:val="TOC3"/>
        <w:rPr>
          <w:rFonts w:asciiTheme="minorHAnsi" w:eastAsiaTheme="minorEastAsia" w:hAnsiTheme="minorHAnsi" w:cstheme="minorBidi"/>
          <w:i w:val="0"/>
          <w:iCs w:val="0"/>
          <w:noProof/>
          <w:sz w:val="22"/>
          <w:szCs w:val="22"/>
        </w:rPr>
      </w:pPr>
      <w:hyperlink w:anchor="_Toc141427861" w:history="1">
        <w:r w:rsidR="00793B91" w:rsidRPr="00793B91">
          <w:rPr>
            <w:rStyle w:val="Hyperlink"/>
            <w:i w:val="0"/>
            <w:iCs w:val="0"/>
            <w:noProof/>
            <w:u w:val="none"/>
          </w:rPr>
          <w:t>26.5.4</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Determination of Securitization Default Charge Credit Exposure for a Counter-Party</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_Toc141427861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26-12</w:t>
        </w:r>
        <w:r w:rsidR="00793B91" w:rsidRPr="00793B91">
          <w:rPr>
            <w:i w:val="0"/>
            <w:iCs w:val="0"/>
            <w:noProof/>
            <w:webHidden/>
          </w:rPr>
          <w:fldChar w:fldCharType="end"/>
        </w:r>
      </w:hyperlink>
    </w:p>
    <w:p w14:paraId="39B80176" w14:textId="4CE0F12F" w:rsidR="00793B91" w:rsidRPr="00793B91" w:rsidRDefault="00AE36F0">
      <w:pPr>
        <w:pStyle w:val="TOC3"/>
        <w:rPr>
          <w:rFonts w:asciiTheme="minorHAnsi" w:eastAsiaTheme="minorEastAsia" w:hAnsiTheme="minorHAnsi" w:cstheme="minorBidi"/>
          <w:i w:val="0"/>
          <w:iCs w:val="0"/>
          <w:noProof/>
          <w:sz w:val="22"/>
          <w:szCs w:val="22"/>
        </w:rPr>
      </w:pPr>
      <w:hyperlink w:anchor="_Toc141427862" w:history="1">
        <w:r w:rsidR="00793B91" w:rsidRPr="00793B91">
          <w:rPr>
            <w:rStyle w:val="Hyperlink"/>
            <w:i w:val="0"/>
            <w:iCs w:val="0"/>
            <w:noProof/>
            <w:u w:val="none"/>
          </w:rPr>
          <w:t>26.5.5</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Monitoring of a Counter-Party’s Securitization Default Charge Credit Exposure by ERCOT</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_Toc141427862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26-12</w:t>
        </w:r>
        <w:r w:rsidR="00793B91" w:rsidRPr="00793B91">
          <w:rPr>
            <w:i w:val="0"/>
            <w:iCs w:val="0"/>
            <w:noProof/>
            <w:webHidden/>
          </w:rPr>
          <w:fldChar w:fldCharType="end"/>
        </w:r>
      </w:hyperlink>
    </w:p>
    <w:p w14:paraId="631CE93A" w14:textId="7A98B9D1" w:rsidR="00793B91" w:rsidRPr="00793B91" w:rsidRDefault="00AE36F0">
      <w:pPr>
        <w:pStyle w:val="TOC3"/>
        <w:rPr>
          <w:rFonts w:asciiTheme="minorHAnsi" w:eastAsiaTheme="minorEastAsia" w:hAnsiTheme="minorHAnsi" w:cstheme="minorBidi"/>
          <w:i w:val="0"/>
          <w:iCs w:val="0"/>
          <w:noProof/>
          <w:sz w:val="22"/>
          <w:szCs w:val="22"/>
        </w:rPr>
      </w:pPr>
      <w:hyperlink w:anchor="_Toc141427863" w:history="1">
        <w:r w:rsidR="00793B91" w:rsidRPr="00793B91">
          <w:rPr>
            <w:rStyle w:val="Hyperlink"/>
            <w:i w:val="0"/>
            <w:iCs w:val="0"/>
            <w:noProof/>
            <w:u w:val="none"/>
          </w:rPr>
          <w:t>26.5.6</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Payment Breach and Late Payments by Market Participants</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_Toc141427863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26-14</w:t>
        </w:r>
        <w:r w:rsidR="00793B91" w:rsidRPr="00793B91">
          <w:rPr>
            <w:i w:val="0"/>
            <w:iCs w:val="0"/>
            <w:noProof/>
            <w:webHidden/>
          </w:rPr>
          <w:fldChar w:fldCharType="end"/>
        </w:r>
      </w:hyperlink>
    </w:p>
    <w:p w14:paraId="672C3C58" w14:textId="0BF43805" w:rsidR="00793B91" w:rsidRPr="00793B91" w:rsidRDefault="00AE36F0">
      <w:pPr>
        <w:pStyle w:val="TOC3"/>
        <w:rPr>
          <w:rFonts w:asciiTheme="minorHAnsi" w:eastAsiaTheme="minorEastAsia" w:hAnsiTheme="minorHAnsi" w:cstheme="minorBidi"/>
          <w:i w:val="0"/>
          <w:iCs w:val="0"/>
          <w:noProof/>
          <w:sz w:val="22"/>
          <w:szCs w:val="22"/>
        </w:rPr>
      </w:pPr>
      <w:hyperlink w:anchor="_Toc141427864" w:history="1">
        <w:r w:rsidR="00793B91" w:rsidRPr="00793B91">
          <w:rPr>
            <w:rStyle w:val="Hyperlink"/>
            <w:i w:val="0"/>
            <w:iCs w:val="0"/>
            <w:noProof/>
            <w:u w:val="none"/>
          </w:rPr>
          <w:t>26.5.7</w:t>
        </w:r>
        <w:r w:rsidR="00793B91" w:rsidRPr="00793B91">
          <w:rPr>
            <w:rFonts w:asciiTheme="minorHAnsi" w:eastAsiaTheme="minorEastAsia" w:hAnsiTheme="minorHAnsi" w:cstheme="minorBidi"/>
            <w:i w:val="0"/>
            <w:iCs w:val="0"/>
            <w:noProof/>
            <w:sz w:val="22"/>
            <w:szCs w:val="22"/>
          </w:rPr>
          <w:tab/>
        </w:r>
        <w:r w:rsidR="00793B91" w:rsidRPr="00793B91">
          <w:rPr>
            <w:rStyle w:val="Hyperlink"/>
            <w:i w:val="0"/>
            <w:iCs w:val="0"/>
            <w:noProof/>
            <w:u w:val="none"/>
          </w:rPr>
          <w:t>Release of Market Participant’s Securitization Default Charge Escrow Deposit Requirement</w:t>
        </w:r>
        <w:r w:rsidR="00793B91" w:rsidRPr="00793B91">
          <w:rPr>
            <w:i w:val="0"/>
            <w:iCs w:val="0"/>
            <w:noProof/>
            <w:webHidden/>
          </w:rPr>
          <w:tab/>
        </w:r>
        <w:r w:rsidR="00793B91" w:rsidRPr="00793B91">
          <w:rPr>
            <w:i w:val="0"/>
            <w:iCs w:val="0"/>
            <w:noProof/>
            <w:webHidden/>
          </w:rPr>
          <w:fldChar w:fldCharType="begin"/>
        </w:r>
        <w:r w:rsidR="00793B91" w:rsidRPr="00793B91">
          <w:rPr>
            <w:i w:val="0"/>
            <w:iCs w:val="0"/>
            <w:noProof/>
            <w:webHidden/>
          </w:rPr>
          <w:instrText xml:space="preserve"> PAGEREF _Toc141427864 \h </w:instrText>
        </w:r>
        <w:r w:rsidR="00793B91" w:rsidRPr="00793B91">
          <w:rPr>
            <w:i w:val="0"/>
            <w:iCs w:val="0"/>
            <w:noProof/>
            <w:webHidden/>
          </w:rPr>
        </w:r>
        <w:r w:rsidR="00793B91" w:rsidRPr="00793B91">
          <w:rPr>
            <w:i w:val="0"/>
            <w:iCs w:val="0"/>
            <w:noProof/>
            <w:webHidden/>
          </w:rPr>
          <w:fldChar w:fldCharType="separate"/>
        </w:r>
        <w:r w:rsidR="00793B91" w:rsidRPr="00793B91">
          <w:rPr>
            <w:i w:val="0"/>
            <w:iCs w:val="0"/>
            <w:noProof/>
            <w:webHidden/>
          </w:rPr>
          <w:t>26-14</w:t>
        </w:r>
        <w:r w:rsidR="00793B91" w:rsidRPr="00793B91">
          <w:rPr>
            <w:i w:val="0"/>
            <w:iCs w:val="0"/>
            <w:noProof/>
            <w:webHidden/>
          </w:rPr>
          <w:fldChar w:fldCharType="end"/>
        </w:r>
      </w:hyperlink>
    </w:p>
    <w:p w14:paraId="25DBD037" w14:textId="2713F9DA" w:rsidR="003F580A" w:rsidRDefault="003F580A" w:rsidP="003F580A">
      <w:pPr>
        <w:rPr>
          <w:b/>
          <w:bCs/>
          <w:szCs w:val="24"/>
        </w:rPr>
      </w:pPr>
      <w:r w:rsidRPr="00424F6A">
        <w:rPr>
          <w:bCs/>
          <w:iCs/>
          <w:sz w:val="20"/>
        </w:rPr>
        <w:fldChar w:fldCharType="end"/>
      </w:r>
    </w:p>
    <w:p w14:paraId="7CCF8340" w14:textId="77777777" w:rsidR="003F580A" w:rsidRDefault="003F580A" w:rsidP="003F580A">
      <w:pPr>
        <w:sectPr w:rsidR="003F580A">
          <w:headerReference w:type="first" r:id="rId12"/>
          <w:footerReference w:type="first" r:id="rId13"/>
          <w:pgSz w:w="12240" w:h="15840" w:code="1"/>
          <w:pgMar w:top="1440" w:right="1440" w:bottom="1440" w:left="1440" w:header="720" w:footer="510" w:gutter="0"/>
          <w:pgNumType w:start="1" w:chapStyle="1"/>
          <w:cols w:space="720"/>
          <w:titlePg/>
        </w:sectPr>
      </w:pPr>
    </w:p>
    <w:p w14:paraId="3FEB3413" w14:textId="77777777" w:rsidR="003F580A" w:rsidRDefault="003F580A" w:rsidP="003F580A">
      <w:pPr>
        <w:pStyle w:val="Heading1"/>
      </w:pPr>
      <w:bookmarkStart w:id="0" w:name="_Toc141427849"/>
      <w:r>
        <w:lastRenderedPageBreak/>
        <w:t>Securitization default charges</w:t>
      </w:r>
      <w:bookmarkEnd w:id="0"/>
    </w:p>
    <w:p w14:paraId="3D398043" w14:textId="77777777" w:rsidR="003F580A" w:rsidRPr="00ED3498" w:rsidRDefault="003F580A" w:rsidP="003F580A">
      <w:pPr>
        <w:keepNext/>
        <w:tabs>
          <w:tab w:val="left" w:pos="900"/>
        </w:tabs>
        <w:spacing w:before="240" w:after="240"/>
        <w:outlineLvl w:val="1"/>
        <w:rPr>
          <w:b/>
          <w:bCs/>
        </w:rPr>
      </w:pPr>
      <w:bookmarkStart w:id="1" w:name="_Toc141427850"/>
      <w:r w:rsidRPr="00ED3498">
        <w:rPr>
          <w:b/>
          <w:bCs/>
        </w:rPr>
        <w:t>26.1</w:t>
      </w:r>
      <w:r w:rsidRPr="00ED3498">
        <w:rPr>
          <w:b/>
          <w:bCs/>
        </w:rPr>
        <w:tab/>
        <w:t>Overview</w:t>
      </w:r>
      <w:bookmarkEnd w:id="1"/>
    </w:p>
    <w:p w14:paraId="61FA6F7E" w14:textId="77777777" w:rsidR="000505C8" w:rsidRPr="00ED3498" w:rsidRDefault="000505C8" w:rsidP="000505C8">
      <w:pPr>
        <w:spacing w:after="240"/>
        <w:ind w:left="720" w:hanging="720"/>
      </w:pPr>
      <w:bookmarkStart w:id="2" w:name="_Toc309731112"/>
      <w:bookmarkStart w:id="3" w:name="_Toc405814085"/>
      <w:bookmarkStart w:id="4" w:name="_Toc422207976"/>
      <w:bookmarkStart w:id="5" w:name="_Toc438044887"/>
      <w:bookmarkStart w:id="6" w:name="_Toc447622670"/>
      <w:bookmarkStart w:id="7" w:name="_Toc54881773"/>
      <w:bookmarkStart w:id="8" w:name="_Toc243718293"/>
      <w:r>
        <w:t>(1)</w:t>
      </w:r>
      <w:r>
        <w:tab/>
      </w:r>
      <w:r w:rsidRPr="00ED3498">
        <w:t>This section establishes processes for the assessment of Securitization Default Charges and Securitization Default Charge credit requirements.</w:t>
      </w:r>
    </w:p>
    <w:p w14:paraId="5F9416DA" w14:textId="77777777" w:rsidR="003F580A" w:rsidRPr="00ED3498" w:rsidRDefault="003F580A" w:rsidP="003F580A">
      <w:pPr>
        <w:keepNext/>
        <w:tabs>
          <w:tab w:val="left" w:pos="900"/>
        </w:tabs>
        <w:spacing w:before="240" w:after="240"/>
        <w:outlineLvl w:val="1"/>
        <w:rPr>
          <w:b/>
          <w:iCs/>
        </w:rPr>
      </w:pPr>
      <w:bookmarkStart w:id="9" w:name="_Toc141427851"/>
      <w:r w:rsidRPr="00D24933">
        <w:rPr>
          <w:b/>
          <w:bCs/>
        </w:rPr>
        <w:t>26</w:t>
      </w:r>
      <w:r w:rsidRPr="00ED3498">
        <w:rPr>
          <w:b/>
          <w:iCs/>
        </w:rPr>
        <w:t>.2</w:t>
      </w:r>
      <w:r w:rsidRPr="00ED3498">
        <w:rPr>
          <w:b/>
          <w:iCs/>
        </w:rPr>
        <w:tab/>
        <w:t>Securitization Default Charges</w:t>
      </w:r>
      <w:bookmarkEnd w:id="9"/>
      <w:r w:rsidRPr="00ED3498">
        <w:rPr>
          <w:b/>
          <w:iCs/>
        </w:rPr>
        <w:t xml:space="preserve"> </w:t>
      </w:r>
      <w:bookmarkEnd w:id="2"/>
      <w:bookmarkEnd w:id="3"/>
      <w:bookmarkEnd w:id="4"/>
      <w:bookmarkEnd w:id="5"/>
      <w:bookmarkEnd w:id="6"/>
      <w:bookmarkEnd w:id="7"/>
    </w:p>
    <w:p w14:paraId="4F3DA07B" w14:textId="77777777" w:rsidR="003F580A" w:rsidRPr="00ED3498" w:rsidRDefault="003F580A" w:rsidP="003F580A">
      <w:pPr>
        <w:spacing w:after="240"/>
        <w:ind w:left="720" w:hanging="720"/>
      </w:pPr>
      <w:r w:rsidRPr="00ED3498">
        <w:t>(1)</w:t>
      </w:r>
      <w:r w:rsidRPr="00ED3498">
        <w:tab/>
        <w:t>ERCOT shall issue Invoices to Qualified Scheduling Entities (QSEs) and Congestion Revenue Right (CRR) Account Holders to collect the monthly amount determined by ERCOT to be necessary to repay the Securitization Default Balance.  ERCOT may assess Securitization Default Charges over a period of up to 30 years.</w:t>
      </w:r>
    </w:p>
    <w:p w14:paraId="0A426F1F" w14:textId="77777777" w:rsidR="003F580A" w:rsidRPr="00ED3498" w:rsidRDefault="003F580A" w:rsidP="003F580A">
      <w:pPr>
        <w:spacing w:after="240"/>
        <w:ind w:left="720" w:hanging="720"/>
      </w:pPr>
      <w:r w:rsidRPr="00ED3498">
        <w:t>(2)</w:t>
      </w:r>
      <w:r w:rsidRPr="00ED3498">
        <w:tab/>
        <w:t>Each Counter-Party’s share of the Securitization Default Charge for a month is calculated using the best available Settlement data for the most recent month for which ERCOT has posted Final Settlement data for all Operating Days in the month (referred to below as “the reference month”), as follows:</w:t>
      </w:r>
    </w:p>
    <w:p w14:paraId="31ADA2F9" w14:textId="77777777" w:rsidR="003F580A" w:rsidRPr="00ED3498" w:rsidRDefault="003F580A" w:rsidP="003F580A">
      <w:pPr>
        <w:spacing w:after="240"/>
        <w:ind w:left="2880" w:hanging="1440"/>
        <w:rPr>
          <w:b/>
          <w:lang w:val="pt-BR"/>
        </w:rPr>
      </w:pPr>
      <w:r w:rsidRPr="00ED3498">
        <w:rPr>
          <w:b/>
          <w:lang w:val="pt-BR"/>
        </w:rPr>
        <w:t>SDCRSCP</w:t>
      </w:r>
      <w:r w:rsidRPr="00ED3498">
        <w:rPr>
          <w:lang w:val="pt-BR"/>
        </w:rPr>
        <w:t xml:space="preserve"> </w:t>
      </w:r>
      <w:r w:rsidRPr="00ED3498">
        <w:rPr>
          <w:rFonts w:ascii="Times New Roman Bold" w:hAnsi="Times New Roman Bold"/>
          <w:b/>
          <w:i/>
          <w:vertAlign w:val="subscript"/>
          <w:lang w:val="pt-BR"/>
        </w:rPr>
        <w:t>cp</w:t>
      </w:r>
      <w:r w:rsidRPr="00ED3498">
        <w:rPr>
          <w:rFonts w:ascii="Times New Roman Bold" w:hAnsi="Times New Roman Bold"/>
          <w:b/>
          <w:vertAlign w:val="subscript"/>
          <w:lang w:val="pt-BR"/>
        </w:rPr>
        <w:t xml:space="preserve">  = </w:t>
      </w:r>
      <w:r w:rsidRPr="00ED3498">
        <w:rPr>
          <w:b/>
          <w:lang w:val="pt-BR"/>
        </w:rPr>
        <w:t>TSDCMA * SDCMMARS</w:t>
      </w:r>
      <w:r w:rsidRPr="00ED3498">
        <w:rPr>
          <w:lang w:val="pt-BR"/>
        </w:rPr>
        <w:t xml:space="preserve"> </w:t>
      </w:r>
      <w:r w:rsidRPr="00ED3498">
        <w:rPr>
          <w:rFonts w:ascii="Times New Roman Bold" w:hAnsi="Times New Roman Bold"/>
          <w:b/>
          <w:i/>
          <w:vertAlign w:val="subscript"/>
          <w:lang w:val="pt-BR"/>
        </w:rPr>
        <w:t>cp</w:t>
      </w:r>
    </w:p>
    <w:p w14:paraId="6D51F276" w14:textId="77777777" w:rsidR="003F580A" w:rsidRPr="00ED3498" w:rsidRDefault="003F580A" w:rsidP="003F580A">
      <w:pPr>
        <w:spacing w:after="240"/>
        <w:ind w:left="2160" w:hanging="1440"/>
        <w:rPr>
          <w:lang w:val="pt-BR"/>
        </w:rPr>
      </w:pPr>
      <w:r w:rsidRPr="00ED3498">
        <w:rPr>
          <w:lang w:val="pt-BR"/>
        </w:rPr>
        <w:t>Where:</w:t>
      </w:r>
    </w:p>
    <w:p w14:paraId="7BCF880F" w14:textId="77777777" w:rsidR="003F580A" w:rsidRPr="009C374D" w:rsidRDefault="003F580A" w:rsidP="003F580A">
      <w:pPr>
        <w:spacing w:after="240"/>
        <w:ind w:left="2880" w:hanging="1440"/>
        <w:rPr>
          <w:lang w:val="pt-BR"/>
        </w:rPr>
      </w:pPr>
      <w:r w:rsidRPr="009C374D">
        <w:rPr>
          <w:lang w:val="pt-BR"/>
        </w:rPr>
        <w:t xml:space="preserve">SDCMMARS </w:t>
      </w:r>
      <w:r w:rsidRPr="009C374D">
        <w:rPr>
          <w:rFonts w:ascii="Times New Roman Bold" w:hAnsi="Times New Roman Bold"/>
          <w:i/>
          <w:vertAlign w:val="subscript"/>
          <w:lang w:val="pt-BR"/>
        </w:rPr>
        <w:t>cp</w:t>
      </w:r>
      <w:r w:rsidRPr="009C374D">
        <w:rPr>
          <w:lang w:val="pt-BR"/>
        </w:rPr>
        <w:t xml:space="preserve"> = SDCMMA </w:t>
      </w:r>
      <w:r w:rsidRPr="009C374D">
        <w:rPr>
          <w:rFonts w:ascii="Times New Roman Bold" w:hAnsi="Times New Roman Bold"/>
          <w:i/>
          <w:vertAlign w:val="subscript"/>
          <w:lang w:val="pt-BR"/>
        </w:rPr>
        <w:t>cp</w:t>
      </w:r>
      <w:r w:rsidRPr="009C374D">
        <w:rPr>
          <w:lang w:val="pt-BR"/>
        </w:rPr>
        <w:t xml:space="preserve"> / SDCMMATOT</w:t>
      </w:r>
    </w:p>
    <w:p w14:paraId="63A39691" w14:textId="77777777" w:rsidR="003F580A" w:rsidRPr="00ED3498" w:rsidRDefault="003F580A" w:rsidP="003F580A">
      <w:pPr>
        <w:spacing w:after="240"/>
        <w:ind w:left="720" w:firstLine="720"/>
        <w:rPr>
          <w:rFonts w:eastAsia="Calibri"/>
          <w:vertAlign w:val="subscript"/>
        </w:rPr>
      </w:pPr>
      <w:r w:rsidRPr="00ED3498">
        <w:rPr>
          <w:lang w:val="pt-BR"/>
        </w:rPr>
        <w:t xml:space="preserve">SDCMMA </w:t>
      </w:r>
      <w:r w:rsidRPr="00ED3498">
        <w:rPr>
          <w:rFonts w:eastAsia="Calibri"/>
          <w:i/>
          <w:vertAlign w:val="subscript"/>
        </w:rPr>
        <w:t>cp</w:t>
      </w:r>
      <w:r w:rsidRPr="00ED3498">
        <w:rPr>
          <w:lang w:val="pt-BR"/>
        </w:rPr>
        <w:t xml:space="preserve"> = Max</w:t>
      </w:r>
      <w:r w:rsidRPr="00ED3498">
        <w:rPr>
          <w:rFonts w:eastAsia="Calibri"/>
        </w:rPr>
        <w:t xml:space="preserve"> { </w:t>
      </w:r>
      <w:r w:rsidRPr="00ED3498">
        <w:t>∑</w:t>
      </w:r>
      <w:r w:rsidRPr="00ED3498">
        <w:rPr>
          <w:rFonts w:eastAsia="Calibri"/>
          <w:i/>
          <w:vertAlign w:val="subscript"/>
        </w:rPr>
        <w:t xml:space="preserve">mp </w:t>
      </w:r>
      <w:r w:rsidRPr="00ED3498">
        <w:rPr>
          <w:rFonts w:eastAsia="Calibri"/>
        </w:rPr>
        <w:t>(SDCRTMG </w:t>
      </w:r>
      <w:r w:rsidRPr="00ED3498">
        <w:rPr>
          <w:rFonts w:eastAsia="Calibri"/>
          <w:i/>
          <w:vertAlign w:val="subscript"/>
        </w:rPr>
        <w:t>mp</w:t>
      </w:r>
      <w:r w:rsidRPr="00ED3498">
        <w:rPr>
          <w:rFonts w:eastAsia="Calibri"/>
          <w:vertAlign w:val="subscript"/>
        </w:rPr>
        <w:t xml:space="preserve"> </w:t>
      </w:r>
      <w:r w:rsidRPr="00ED3498">
        <w:rPr>
          <w:rFonts w:eastAsia="Calibri"/>
        </w:rPr>
        <w:t>+ SDCRTDCIMP </w:t>
      </w:r>
      <w:r w:rsidRPr="00ED3498">
        <w:rPr>
          <w:rFonts w:eastAsia="Calibri"/>
          <w:i/>
          <w:vertAlign w:val="subscript"/>
        </w:rPr>
        <w:t>mp</w:t>
      </w:r>
      <w:r w:rsidRPr="00ED3498">
        <w:t>)</w:t>
      </w:r>
      <w:r w:rsidRPr="00ED3498">
        <w:rPr>
          <w:rFonts w:eastAsia="Calibri"/>
          <w:vertAlign w:val="subscript"/>
        </w:rPr>
        <w:t xml:space="preserve">, </w:t>
      </w:r>
    </w:p>
    <w:p w14:paraId="15D420E7" w14:textId="77777777" w:rsidR="003F580A" w:rsidRPr="00ED3498" w:rsidRDefault="003F580A" w:rsidP="003F580A">
      <w:pPr>
        <w:spacing w:after="240"/>
        <w:ind w:left="2880"/>
        <w:rPr>
          <w:rFonts w:eastAsia="Calibri"/>
          <w:vertAlign w:val="subscript"/>
        </w:rPr>
      </w:pPr>
      <w:r w:rsidRPr="00ED3498">
        <w:t>∑</w:t>
      </w:r>
      <w:r w:rsidRPr="00ED3498">
        <w:rPr>
          <w:rFonts w:eastAsia="Calibri"/>
          <w:i/>
          <w:vertAlign w:val="subscript"/>
        </w:rPr>
        <w:t>mp</w:t>
      </w:r>
      <w:r w:rsidRPr="00ED3498">
        <w:rPr>
          <w:rFonts w:eastAsia="Calibri"/>
        </w:rPr>
        <w:t> (SDCRTAML </w:t>
      </w:r>
      <w:r w:rsidRPr="00ED3498">
        <w:rPr>
          <w:rFonts w:eastAsia="Calibri"/>
          <w:i/>
          <w:vertAlign w:val="subscript"/>
        </w:rPr>
        <w:t>mp</w:t>
      </w:r>
      <w:r w:rsidRPr="00ED3498">
        <w:rPr>
          <w:rFonts w:eastAsia="Calibri"/>
        </w:rPr>
        <w:t xml:space="preserve"> + SDCWSLTOT </w:t>
      </w:r>
      <w:r w:rsidRPr="00ED3498">
        <w:rPr>
          <w:rFonts w:eastAsia="Calibri"/>
          <w:i/>
          <w:vertAlign w:val="subscript"/>
        </w:rPr>
        <w:t>mp</w:t>
      </w:r>
      <w:r w:rsidRPr="00ED3498">
        <w:rPr>
          <w:rFonts w:eastAsia="Calibri"/>
        </w:rPr>
        <w:t>)</w:t>
      </w:r>
      <w:r w:rsidRPr="00ED3498">
        <w:rPr>
          <w:rFonts w:eastAsia="Calibri"/>
          <w:vertAlign w:val="subscript"/>
        </w:rPr>
        <w:t xml:space="preserve">, </w:t>
      </w:r>
    </w:p>
    <w:p w14:paraId="05FF0ACC" w14:textId="77777777" w:rsidR="003F580A" w:rsidRPr="00ED3498" w:rsidRDefault="003F580A" w:rsidP="003F580A">
      <w:pPr>
        <w:spacing w:after="240"/>
        <w:ind w:left="2160" w:firstLine="720"/>
        <w:rPr>
          <w:rFonts w:eastAsia="Calibri"/>
          <w:vertAlign w:val="subscript"/>
        </w:rPr>
      </w:pPr>
      <w:r w:rsidRPr="00ED3498">
        <w:t>∑</w:t>
      </w:r>
      <w:r w:rsidRPr="00ED3498">
        <w:rPr>
          <w:rFonts w:eastAsia="Calibri"/>
          <w:i/>
          <w:vertAlign w:val="subscript"/>
        </w:rPr>
        <w:t>mp</w:t>
      </w:r>
      <w:r w:rsidRPr="00ED3498">
        <w:rPr>
          <w:rFonts w:eastAsia="Calibri"/>
          <w:vertAlign w:val="subscript"/>
        </w:rPr>
        <w:t> </w:t>
      </w:r>
      <w:r w:rsidRPr="00ED3498">
        <w:rPr>
          <w:rFonts w:eastAsia="Calibri"/>
        </w:rPr>
        <w:t>SDCRTQQES </w:t>
      </w:r>
      <w:r w:rsidRPr="00ED3498">
        <w:rPr>
          <w:rFonts w:eastAsia="Calibri"/>
          <w:i/>
          <w:vertAlign w:val="subscript"/>
        </w:rPr>
        <w:t>mp</w:t>
      </w:r>
      <w:r w:rsidRPr="00ED3498">
        <w:rPr>
          <w:rFonts w:eastAsia="Calibri"/>
          <w:vertAlign w:val="subscript"/>
        </w:rPr>
        <w:t xml:space="preserve">, </w:t>
      </w:r>
    </w:p>
    <w:p w14:paraId="244DF586" w14:textId="77777777" w:rsidR="003F580A" w:rsidRPr="00ED3498" w:rsidRDefault="003F580A" w:rsidP="003F580A">
      <w:pPr>
        <w:spacing w:after="240"/>
        <w:ind w:left="2160" w:firstLine="720"/>
        <w:rPr>
          <w:rFonts w:eastAsia="Calibri"/>
          <w:vertAlign w:val="subscript"/>
        </w:rPr>
      </w:pPr>
      <w:r w:rsidRPr="00ED3498">
        <w:t>∑</w:t>
      </w:r>
      <w:r w:rsidRPr="00ED3498">
        <w:rPr>
          <w:rFonts w:eastAsia="Calibri"/>
          <w:i/>
          <w:vertAlign w:val="subscript"/>
        </w:rPr>
        <w:t>mp</w:t>
      </w:r>
      <w:r w:rsidRPr="00ED3498">
        <w:rPr>
          <w:rFonts w:eastAsia="Calibri"/>
        </w:rPr>
        <w:t> SDCRTQQEP </w:t>
      </w:r>
      <w:r w:rsidRPr="00ED3498">
        <w:rPr>
          <w:rFonts w:eastAsia="Calibri"/>
          <w:i/>
          <w:vertAlign w:val="subscript"/>
        </w:rPr>
        <w:t>mp</w:t>
      </w:r>
      <w:r w:rsidRPr="00ED3498">
        <w:rPr>
          <w:rFonts w:eastAsia="Calibri"/>
          <w:vertAlign w:val="subscript"/>
        </w:rPr>
        <w:t xml:space="preserve">, </w:t>
      </w:r>
    </w:p>
    <w:p w14:paraId="5DD0DF1C" w14:textId="77777777" w:rsidR="003F580A" w:rsidRPr="00ED3498" w:rsidRDefault="003F580A" w:rsidP="003F580A">
      <w:pPr>
        <w:spacing w:after="240"/>
        <w:ind w:left="2160" w:firstLine="720"/>
        <w:rPr>
          <w:rFonts w:eastAsia="Calibri"/>
          <w:vertAlign w:val="subscript"/>
        </w:rPr>
      </w:pPr>
      <w:r w:rsidRPr="00ED3498">
        <w:t>∑</w:t>
      </w:r>
      <w:r w:rsidRPr="00ED3498">
        <w:rPr>
          <w:rFonts w:eastAsia="Calibri"/>
          <w:i/>
          <w:vertAlign w:val="subscript"/>
        </w:rPr>
        <w:t>mp</w:t>
      </w:r>
      <w:r w:rsidRPr="00ED3498">
        <w:rPr>
          <w:rFonts w:eastAsia="Calibri"/>
        </w:rPr>
        <w:t> SDCDAES </w:t>
      </w:r>
      <w:r w:rsidRPr="00ED3498">
        <w:rPr>
          <w:rFonts w:eastAsia="Calibri"/>
          <w:i/>
          <w:vertAlign w:val="subscript"/>
        </w:rPr>
        <w:t>mp</w:t>
      </w:r>
      <w:r w:rsidRPr="00ED3498">
        <w:rPr>
          <w:rFonts w:eastAsia="Calibri"/>
          <w:vertAlign w:val="subscript"/>
        </w:rPr>
        <w:t xml:space="preserve">, </w:t>
      </w:r>
    </w:p>
    <w:p w14:paraId="310C0F50" w14:textId="77777777" w:rsidR="003F580A" w:rsidRPr="00ED3498" w:rsidRDefault="003F580A" w:rsidP="003F580A">
      <w:pPr>
        <w:spacing w:after="240"/>
        <w:ind w:left="2160" w:firstLine="720"/>
        <w:rPr>
          <w:rFonts w:eastAsia="Calibri"/>
          <w:vertAlign w:val="subscript"/>
        </w:rPr>
      </w:pPr>
      <w:r w:rsidRPr="00ED3498">
        <w:t>∑</w:t>
      </w:r>
      <w:r w:rsidRPr="00ED3498">
        <w:rPr>
          <w:rFonts w:eastAsia="Calibri"/>
          <w:i/>
          <w:vertAlign w:val="subscript"/>
        </w:rPr>
        <w:t>mp</w:t>
      </w:r>
      <w:r w:rsidRPr="00ED3498">
        <w:rPr>
          <w:rFonts w:eastAsia="Calibri"/>
        </w:rPr>
        <w:t> SDCDAEP </w:t>
      </w:r>
      <w:r w:rsidRPr="00ED3498">
        <w:rPr>
          <w:rFonts w:eastAsia="Calibri"/>
          <w:i/>
          <w:vertAlign w:val="subscript"/>
        </w:rPr>
        <w:t>mp</w:t>
      </w:r>
      <w:r w:rsidRPr="00ED3498">
        <w:rPr>
          <w:rFonts w:eastAsia="Calibri"/>
          <w:vertAlign w:val="subscript"/>
        </w:rPr>
        <w:t>,</w:t>
      </w:r>
    </w:p>
    <w:p w14:paraId="36B4373F" w14:textId="77777777" w:rsidR="003F580A" w:rsidRPr="00ED3498" w:rsidRDefault="003F580A" w:rsidP="003F580A">
      <w:pPr>
        <w:spacing w:after="240"/>
        <w:ind w:left="2160" w:firstLine="720"/>
        <w:rPr>
          <w:rFonts w:eastAsia="Calibri"/>
          <w:vertAlign w:val="subscript"/>
        </w:rPr>
      </w:pPr>
      <w:r w:rsidRPr="00ED3498">
        <w:t>∑</w:t>
      </w:r>
      <w:r w:rsidRPr="00ED3498">
        <w:rPr>
          <w:rFonts w:eastAsia="Calibri"/>
          <w:i/>
          <w:vertAlign w:val="subscript"/>
        </w:rPr>
        <w:t>mp</w:t>
      </w:r>
      <w:r w:rsidRPr="00ED3498">
        <w:rPr>
          <w:rFonts w:eastAsia="Calibri"/>
        </w:rPr>
        <w:t> (SDCRTOBL </w:t>
      </w:r>
      <w:r w:rsidRPr="00ED3498">
        <w:rPr>
          <w:rFonts w:eastAsia="Calibri"/>
          <w:i/>
          <w:vertAlign w:val="subscript"/>
        </w:rPr>
        <w:t xml:space="preserve">mp </w:t>
      </w:r>
      <w:r w:rsidRPr="00ED3498">
        <w:rPr>
          <w:rFonts w:eastAsia="Calibri"/>
          <w:i/>
        </w:rPr>
        <w:t xml:space="preserve">+ </w:t>
      </w:r>
      <w:r w:rsidRPr="00ED3498">
        <w:rPr>
          <w:rFonts w:eastAsia="Calibri"/>
        </w:rPr>
        <w:t xml:space="preserve">SDCRTOBLLO </w:t>
      </w:r>
      <w:r w:rsidRPr="00ED3498">
        <w:rPr>
          <w:rFonts w:eastAsia="Calibri"/>
          <w:i/>
          <w:vertAlign w:val="subscript"/>
        </w:rPr>
        <w:t>mp</w:t>
      </w:r>
      <w:r w:rsidRPr="00ED3498">
        <w:rPr>
          <w:rFonts w:eastAsia="Calibri"/>
        </w:rPr>
        <w:t>)</w:t>
      </w:r>
      <w:r w:rsidRPr="00ED3498">
        <w:rPr>
          <w:rFonts w:eastAsia="Calibri"/>
          <w:vertAlign w:val="subscript"/>
        </w:rPr>
        <w:t xml:space="preserve">, </w:t>
      </w:r>
    </w:p>
    <w:p w14:paraId="3AB834CB" w14:textId="77777777" w:rsidR="003F580A" w:rsidRPr="00ED3498" w:rsidRDefault="003F580A" w:rsidP="003F580A">
      <w:pPr>
        <w:spacing w:after="240"/>
        <w:ind w:left="3330" w:hanging="450"/>
      </w:pPr>
      <w:r w:rsidRPr="00ED3498">
        <w:t>∑</w:t>
      </w:r>
      <w:r w:rsidRPr="00ED3498">
        <w:rPr>
          <w:rFonts w:eastAsia="Calibri"/>
          <w:i/>
          <w:vertAlign w:val="subscript"/>
        </w:rPr>
        <w:t>mp</w:t>
      </w:r>
      <w:r w:rsidRPr="00ED3498">
        <w:rPr>
          <w:rFonts w:eastAsia="Calibri"/>
        </w:rPr>
        <w:t> </w:t>
      </w:r>
      <w:r w:rsidRPr="00ED3498">
        <w:t>(</w:t>
      </w:r>
      <w:r w:rsidRPr="00ED3498">
        <w:rPr>
          <w:rFonts w:eastAsia="Calibri"/>
        </w:rPr>
        <w:t>SDCDAOPT </w:t>
      </w:r>
      <w:r w:rsidRPr="00ED3498">
        <w:rPr>
          <w:rFonts w:eastAsia="Calibri"/>
          <w:i/>
          <w:vertAlign w:val="subscript"/>
        </w:rPr>
        <w:t>mp</w:t>
      </w:r>
      <w:r w:rsidRPr="00ED3498">
        <w:rPr>
          <w:rFonts w:eastAsia="Calibri"/>
          <w:vertAlign w:val="subscript"/>
        </w:rPr>
        <w:t xml:space="preserve"> </w:t>
      </w:r>
      <w:r w:rsidRPr="00ED3498">
        <w:rPr>
          <w:rFonts w:eastAsia="Calibri"/>
        </w:rPr>
        <w:t>+ SDCDAOBL </w:t>
      </w:r>
      <w:r w:rsidRPr="00ED3498">
        <w:rPr>
          <w:rFonts w:eastAsia="Calibri"/>
          <w:i/>
          <w:vertAlign w:val="subscript"/>
        </w:rPr>
        <w:t>mp</w:t>
      </w:r>
      <w:r w:rsidRPr="00ED3498">
        <w:rPr>
          <w:rFonts w:eastAsia="Calibri"/>
          <w:vertAlign w:val="subscript"/>
        </w:rPr>
        <w:t xml:space="preserve"> </w:t>
      </w:r>
      <w:r w:rsidRPr="00ED3498">
        <w:rPr>
          <w:rFonts w:eastAsia="Calibri"/>
        </w:rPr>
        <w:t>+</w:t>
      </w:r>
      <w:r w:rsidRPr="00ED3498">
        <w:rPr>
          <w:rFonts w:eastAsia="Calibri"/>
          <w:vertAlign w:val="subscript"/>
        </w:rPr>
        <w:t xml:space="preserve"> </w:t>
      </w:r>
      <w:r w:rsidRPr="00ED3498">
        <w:rPr>
          <w:rFonts w:eastAsia="Calibri"/>
        </w:rPr>
        <w:t>SDCOPTS </w:t>
      </w:r>
      <w:r w:rsidRPr="00ED3498">
        <w:rPr>
          <w:rFonts w:eastAsia="Calibri"/>
          <w:i/>
          <w:vertAlign w:val="subscript"/>
        </w:rPr>
        <w:t>mp</w:t>
      </w:r>
      <w:r w:rsidRPr="00ED3498">
        <w:rPr>
          <w:rFonts w:eastAsia="Calibri"/>
          <w:vertAlign w:val="subscript"/>
        </w:rPr>
        <w:t xml:space="preserve"> </w:t>
      </w:r>
      <w:r w:rsidRPr="00ED3498">
        <w:rPr>
          <w:rFonts w:eastAsia="Calibri"/>
        </w:rPr>
        <w:t>+</w:t>
      </w:r>
      <w:r w:rsidRPr="00ED3498">
        <w:rPr>
          <w:rFonts w:eastAsia="Calibri"/>
          <w:vertAlign w:val="subscript"/>
        </w:rPr>
        <w:t xml:space="preserve">    </w:t>
      </w:r>
      <w:r w:rsidRPr="00ED3498">
        <w:rPr>
          <w:rFonts w:eastAsia="Calibri"/>
        </w:rPr>
        <w:t>SDCOBLS </w:t>
      </w:r>
      <w:r w:rsidRPr="00ED3498">
        <w:rPr>
          <w:rFonts w:eastAsia="Calibri"/>
          <w:i/>
          <w:vertAlign w:val="subscript"/>
        </w:rPr>
        <w:t>mp</w:t>
      </w:r>
      <w:r w:rsidRPr="00ED3498">
        <w:t xml:space="preserve">), </w:t>
      </w:r>
    </w:p>
    <w:p w14:paraId="47CE1F78" w14:textId="77777777" w:rsidR="003F580A" w:rsidRPr="00ED3498" w:rsidRDefault="003F580A" w:rsidP="003F580A">
      <w:pPr>
        <w:spacing w:after="240"/>
        <w:ind w:left="2160" w:firstLine="720"/>
      </w:pPr>
      <w:r w:rsidRPr="00ED3498">
        <w:t>∑</w:t>
      </w:r>
      <w:r w:rsidRPr="00ED3498">
        <w:rPr>
          <w:rFonts w:eastAsia="Calibri"/>
          <w:i/>
          <w:vertAlign w:val="subscript"/>
        </w:rPr>
        <w:t>mp</w:t>
      </w:r>
      <w:r w:rsidRPr="00ED3498">
        <w:rPr>
          <w:rFonts w:eastAsia="Calibri"/>
        </w:rPr>
        <w:t> </w:t>
      </w:r>
      <w:r w:rsidRPr="00ED3498">
        <w:t>(</w:t>
      </w:r>
      <w:r w:rsidRPr="00ED3498">
        <w:rPr>
          <w:rFonts w:eastAsia="Calibri"/>
        </w:rPr>
        <w:t>SDCOPTP </w:t>
      </w:r>
      <w:r w:rsidRPr="00ED3498">
        <w:rPr>
          <w:rFonts w:eastAsia="Calibri"/>
          <w:i/>
          <w:vertAlign w:val="subscript"/>
        </w:rPr>
        <w:t>mp</w:t>
      </w:r>
      <w:r w:rsidRPr="00ED3498">
        <w:rPr>
          <w:rFonts w:eastAsia="Calibri"/>
          <w:vertAlign w:val="subscript"/>
        </w:rPr>
        <w:t xml:space="preserve"> </w:t>
      </w:r>
      <w:r w:rsidRPr="00ED3498">
        <w:rPr>
          <w:rFonts w:eastAsia="Calibri"/>
        </w:rPr>
        <w:t>+ SDCOBLP </w:t>
      </w:r>
      <w:r w:rsidRPr="00ED3498">
        <w:rPr>
          <w:rFonts w:eastAsia="Calibri"/>
          <w:i/>
          <w:vertAlign w:val="subscript"/>
        </w:rPr>
        <w:t>mp</w:t>
      </w:r>
      <w:r w:rsidRPr="00ED3498">
        <w:t xml:space="preserve">)} </w:t>
      </w:r>
    </w:p>
    <w:p w14:paraId="499A229F" w14:textId="77777777" w:rsidR="003F580A" w:rsidRPr="00ED3498" w:rsidRDefault="003F580A" w:rsidP="00C745C0">
      <w:pPr>
        <w:spacing w:after="240"/>
        <w:ind w:left="1440"/>
        <w:rPr>
          <w:rFonts w:eastAsia="Calibri"/>
        </w:rPr>
      </w:pPr>
      <w:r w:rsidRPr="00ED3498">
        <w:rPr>
          <w:rFonts w:eastAsia="Calibri"/>
        </w:rPr>
        <w:t>SDC</w:t>
      </w:r>
      <w:r w:rsidRPr="00ED3498">
        <w:t>MMATOT = ∑</w:t>
      </w:r>
      <w:r w:rsidRPr="00ED3498">
        <w:rPr>
          <w:rFonts w:eastAsia="Calibri"/>
          <w:i/>
          <w:vertAlign w:val="subscript"/>
        </w:rPr>
        <w:t>cp</w:t>
      </w:r>
      <w:r w:rsidRPr="00ED3498">
        <w:rPr>
          <w:rFonts w:eastAsia="Calibri"/>
        </w:rPr>
        <w:t> (SDC</w:t>
      </w:r>
      <w:r w:rsidRPr="00ED3498">
        <w:rPr>
          <w:lang w:val="pt-BR"/>
        </w:rPr>
        <w:t xml:space="preserve">MMA </w:t>
      </w:r>
      <w:r w:rsidRPr="00ED3498">
        <w:rPr>
          <w:rFonts w:eastAsia="Calibri"/>
          <w:i/>
          <w:vertAlign w:val="subscript"/>
        </w:rPr>
        <w:t>cp</w:t>
      </w:r>
      <w:r w:rsidRPr="00ED3498">
        <w:rPr>
          <w:rFonts w:eastAsia="Calibri"/>
        </w:rPr>
        <w:t>)</w:t>
      </w:r>
    </w:p>
    <w:p w14:paraId="392F1A69" w14:textId="77777777" w:rsidR="003F580A" w:rsidRPr="00ED3498" w:rsidRDefault="003F580A" w:rsidP="003F580A">
      <w:pPr>
        <w:spacing w:after="240"/>
        <w:ind w:left="720"/>
        <w:rPr>
          <w:rFonts w:eastAsia="Calibri"/>
        </w:rPr>
      </w:pPr>
      <w:r w:rsidRPr="00ED3498">
        <w:rPr>
          <w:rFonts w:eastAsia="Calibri"/>
        </w:rPr>
        <w:t>Where:</w:t>
      </w:r>
    </w:p>
    <w:p w14:paraId="5F14F028" w14:textId="77777777" w:rsidR="003F580A" w:rsidRPr="00ED3498" w:rsidRDefault="003F580A" w:rsidP="003F580A">
      <w:pPr>
        <w:tabs>
          <w:tab w:val="left" w:pos="2340"/>
          <w:tab w:val="left" w:pos="3420"/>
        </w:tabs>
        <w:spacing w:after="240"/>
        <w:ind w:left="3420" w:hanging="2700"/>
        <w:rPr>
          <w:rFonts w:eastAsia="Calibri"/>
          <w:bCs/>
        </w:rPr>
      </w:pPr>
      <w:r w:rsidRPr="00ED3498">
        <w:rPr>
          <w:rFonts w:eastAsia="Calibri"/>
          <w:b/>
          <w:bCs/>
        </w:rPr>
        <w:lastRenderedPageBreak/>
        <w:t>S</w:t>
      </w:r>
      <w:r w:rsidRPr="00ED3498">
        <w:rPr>
          <w:rFonts w:eastAsia="Calibri"/>
        </w:rPr>
        <w:t>DC</w:t>
      </w:r>
      <w:r w:rsidRPr="00ED3498">
        <w:rPr>
          <w:bCs/>
        </w:rPr>
        <w:t>RTMG </w:t>
      </w:r>
      <w:r w:rsidRPr="00ED3498">
        <w:rPr>
          <w:bCs/>
          <w:i/>
          <w:vertAlign w:val="subscript"/>
        </w:rPr>
        <w:t>mp</w:t>
      </w:r>
      <w:r w:rsidRPr="00ED3498">
        <w:rPr>
          <w:rFonts w:eastAsia="Calibri"/>
          <w:bCs/>
        </w:rPr>
        <w:t xml:space="preserve"> = </w:t>
      </w:r>
      <w:r w:rsidRPr="00ED3498">
        <w:rPr>
          <w:bCs/>
        </w:rPr>
        <w:t>∑</w:t>
      </w:r>
      <w:r w:rsidRPr="00ED3498">
        <w:rPr>
          <w:bCs/>
          <w:i/>
          <w:vertAlign w:val="subscript"/>
        </w:rPr>
        <w:t xml:space="preserve"> r, p, i</w:t>
      </w:r>
      <w:r w:rsidRPr="00ED3498">
        <w:rPr>
          <w:bCs/>
        </w:rPr>
        <w:t xml:space="preserve"> (RTMG </w:t>
      </w:r>
      <w:r w:rsidRPr="00ED3498">
        <w:rPr>
          <w:bCs/>
          <w:i/>
          <w:vertAlign w:val="subscript"/>
        </w:rPr>
        <w:t>mp, r, p, i</w:t>
      </w:r>
      <w:r w:rsidRPr="00ED3498">
        <w:rPr>
          <w:bCs/>
        </w:rPr>
        <w:t>), excluding RTMG for Reliability Must-Run (RMR) Resources and RTMG in Reliability Unit Commitment (RUC)-Committed Intervals for RUC-committed Resources</w:t>
      </w:r>
    </w:p>
    <w:p w14:paraId="414E0958" w14:textId="77777777" w:rsidR="003F580A" w:rsidRPr="00ED3498" w:rsidRDefault="003F580A" w:rsidP="003F580A">
      <w:pPr>
        <w:tabs>
          <w:tab w:val="left" w:pos="2340"/>
          <w:tab w:val="left" w:pos="3420"/>
        </w:tabs>
        <w:spacing w:after="240"/>
        <w:ind w:left="3420" w:hanging="2700"/>
        <w:rPr>
          <w:rFonts w:eastAsia="Calibri"/>
          <w:bCs/>
        </w:rPr>
      </w:pPr>
      <w:r w:rsidRPr="00ED3498">
        <w:rPr>
          <w:rFonts w:eastAsia="Calibri"/>
          <w:b/>
          <w:bCs/>
        </w:rPr>
        <w:t>S</w:t>
      </w:r>
      <w:r w:rsidRPr="00ED3498">
        <w:rPr>
          <w:rFonts w:eastAsia="Calibri"/>
        </w:rPr>
        <w:t>DC</w:t>
      </w:r>
      <w:r w:rsidRPr="00ED3498">
        <w:rPr>
          <w:rFonts w:eastAsia="Calibri"/>
          <w:bCs/>
        </w:rPr>
        <w:t>RTDCIMP</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p, i</w:t>
      </w:r>
      <w:r w:rsidRPr="00ED3498">
        <w:rPr>
          <w:bCs/>
        </w:rPr>
        <w:t xml:space="preserve"> (RTDCIMP </w:t>
      </w:r>
      <w:r w:rsidRPr="00ED3498">
        <w:rPr>
          <w:bCs/>
          <w:i/>
          <w:vertAlign w:val="subscript"/>
        </w:rPr>
        <w:t>mp, p, i</w:t>
      </w:r>
      <w:r w:rsidRPr="00ED3498">
        <w:rPr>
          <w:bCs/>
        </w:rPr>
        <w:t>) / 4</w:t>
      </w:r>
    </w:p>
    <w:p w14:paraId="69C95480"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RTAML</w:t>
      </w:r>
      <w:r w:rsidRPr="00ED3498">
        <w:rPr>
          <w:bCs/>
        </w:rPr>
        <w:t> </w:t>
      </w:r>
      <w:r w:rsidRPr="00ED3498">
        <w:rPr>
          <w:bCs/>
          <w:i/>
          <w:vertAlign w:val="subscript"/>
        </w:rPr>
        <w:t>mp</w:t>
      </w:r>
      <w:r w:rsidRPr="00ED3498">
        <w:rPr>
          <w:rFonts w:eastAsia="Calibri"/>
          <w:bCs/>
        </w:rPr>
        <w:t xml:space="preserve"> = max(0,</w:t>
      </w:r>
      <w:r w:rsidRPr="00ED3498">
        <w:rPr>
          <w:bCs/>
        </w:rPr>
        <w:t>∑</w:t>
      </w:r>
      <w:r w:rsidRPr="00ED3498">
        <w:rPr>
          <w:bCs/>
          <w:i/>
          <w:vertAlign w:val="subscript"/>
        </w:rPr>
        <w:t>p, i</w:t>
      </w:r>
      <w:r w:rsidRPr="00ED3498">
        <w:rPr>
          <w:bCs/>
        </w:rPr>
        <w:t xml:space="preserve"> (RTAML </w:t>
      </w:r>
      <w:r w:rsidRPr="00ED3498">
        <w:rPr>
          <w:bCs/>
          <w:i/>
          <w:vertAlign w:val="subscript"/>
        </w:rPr>
        <w:t>mp, p, i</w:t>
      </w:r>
      <w:r w:rsidRPr="00ED3498">
        <w:rPr>
          <w:bCs/>
        </w:rPr>
        <w:t>))</w:t>
      </w:r>
    </w:p>
    <w:p w14:paraId="6BBBA30A"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RTQQES</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p, i</w:t>
      </w:r>
      <w:r w:rsidRPr="00ED3498">
        <w:rPr>
          <w:bCs/>
        </w:rPr>
        <w:t xml:space="preserve"> (</w:t>
      </w:r>
      <w:r w:rsidRPr="00ED3498">
        <w:rPr>
          <w:rFonts w:eastAsia="Calibri"/>
          <w:bCs/>
        </w:rPr>
        <w:t>RTQQES </w:t>
      </w:r>
      <w:r w:rsidRPr="00ED3498">
        <w:rPr>
          <w:bCs/>
          <w:i/>
          <w:vertAlign w:val="subscript"/>
        </w:rPr>
        <w:t>mp, p, i</w:t>
      </w:r>
      <w:r w:rsidRPr="00ED3498">
        <w:rPr>
          <w:bCs/>
        </w:rPr>
        <w:t>) / 4</w:t>
      </w:r>
    </w:p>
    <w:p w14:paraId="186AB018"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RTQQEP</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p, i</w:t>
      </w:r>
      <w:r w:rsidRPr="00ED3498">
        <w:rPr>
          <w:bCs/>
        </w:rPr>
        <w:t xml:space="preserve"> (</w:t>
      </w:r>
      <w:r w:rsidRPr="00ED3498">
        <w:rPr>
          <w:rFonts w:eastAsia="Calibri"/>
          <w:bCs/>
        </w:rPr>
        <w:t>RTQQEP </w:t>
      </w:r>
      <w:r w:rsidRPr="00ED3498">
        <w:rPr>
          <w:bCs/>
          <w:i/>
          <w:vertAlign w:val="subscript"/>
        </w:rPr>
        <w:t>mp, p, i</w:t>
      </w:r>
      <w:r w:rsidRPr="00ED3498">
        <w:rPr>
          <w:bCs/>
        </w:rPr>
        <w:t>) / 4</w:t>
      </w:r>
    </w:p>
    <w:p w14:paraId="4FF24D21"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DAES</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p, h</w:t>
      </w:r>
      <w:r w:rsidRPr="00ED3498">
        <w:rPr>
          <w:bCs/>
        </w:rPr>
        <w:t xml:space="preserve"> (</w:t>
      </w:r>
      <w:r w:rsidRPr="00ED3498">
        <w:rPr>
          <w:rFonts w:eastAsia="Calibri"/>
          <w:bCs/>
        </w:rPr>
        <w:t>DAES </w:t>
      </w:r>
      <w:r w:rsidRPr="00ED3498">
        <w:rPr>
          <w:bCs/>
          <w:i/>
          <w:vertAlign w:val="subscript"/>
        </w:rPr>
        <w:t>mp, p, h</w:t>
      </w:r>
      <w:r w:rsidRPr="00ED3498">
        <w:rPr>
          <w:bCs/>
        </w:rPr>
        <w:t>)</w:t>
      </w:r>
    </w:p>
    <w:p w14:paraId="1D85BE9C"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DAEP</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p, h</w:t>
      </w:r>
      <w:r w:rsidRPr="00ED3498">
        <w:rPr>
          <w:bCs/>
        </w:rPr>
        <w:t xml:space="preserve"> (</w:t>
      </w:r>
      <w:r w:rsidRPr="00ED3498">
        <w:rPr>
          <w:rFonts w:eastAsia="Calibri"/>
          <w:bCs/>
        </w:rPr>
        <w:t>DAEP </w:t>
      </w:r>
      <w:r w:rsidRPr="00ED3498">
        <w:rPr>
          <w:bCs/>
          <w:i/>
          <w:vertAlign w:val="subscript"/>
        </w:rPr>
        <w:t>mp, p, h</w:t>
      </w:r>
      <w:r w:rsidRPr="00ED3498">
        <w:rPr>
          <w:bCs/>
        </w:rPr>
        <w:t>)</w:t>
      </w:r>
    </w:p>
    <w:p w14:paraId="2EEE356C"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RTOBL</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RTOBL</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03844668"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RTOBLLO</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rPr>
        <w:t xml:space="preserve"> (RT</w:t>
      </w:r>
      <w:r w:rsidRPr="00ED3498">
        <w:rPr>
          <w:rFonts w:eastAsia="Calibri"/>
          <w:bCs/>
        </w:rPr>
        <w:t>OBLLO</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048DB2EA"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bCs/>
        </w:rPr>
        <w:t>DAOPT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rPr>
        <w:t xml:space="preserve"> (</w:t>
      </w:r>
      <w:r w:rsidRPr="00ED3498">
        <w:rPr>
          <w:rFonts w:eastAsia="Calibri"/>
          <w:bCs/>
        </w:rPr>
        <w:t>OPT</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4B157826"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DAOBL</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DAOBL</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11AF2C0A"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OPTS</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OPTS</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 xml:space="preserve">) </w:t>
      </w:r>
    </w:p>
    <w:p w14:paraId="08393422"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OBLS</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OBLS</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1591AE2F"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OPTP</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OPTP</w:t>
      </w:r>
      <w:r w:rsidRPr="00ED3498">
        <w:rPr>
          <w:bCs/>
          <w:vertAlign w:val="subscript"/>
        </w:rPr>
        <w:t xml:space="preserve"> </w:t>
      </w:r>
      <w:r w:rsidRPr="00ED3498">
        <w:rPr>
          <w:bCs/>
          <w:i/>
          <w:vertAlign w:val="subscript"/>
        </w:rPr>
        <w:t xml:space="preserve">mp, </w:t>
      </w:r>
      <w:r w:rsidRPr="00ED3498">
        <w:rPr>
          <w:rFonts w:eastAsia="Calibri"/>
          <w:bCs/>
          <w:i/>
          <w:vertAlign w:val="subscript"/>
        </w:rPr>
        <w:t>j, h</w:t>
      </w:r>
      <w:r w:rsidRPr="00ED3498">
        <w:rPr>
          <w:bCs/>
        </w:rPr>
        <w:t>)</w:t>
      </w:r>
    </w:p>
    <w:p w14:paraId="10D3EC89"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rFonts w:eastAsia="Calibri"/>
          <w:bCs/>
        </w:rPr>
        <w:t>OBLP</w:t>
      </w:r>
      <w:r w:rsidRPr="00ED3498">
        <w:rPr>
          <w:bCs/>
        </w:rPr>
        <w:t> </w:t>
      </w:r>
      <w:r w:rsidRPr="00ED3498">
        <w:rPr>
          <w:bCs/>
          <w:i/>
          <w:vertAlign w:val="subscript"/>
        </w:rPr>
        <w:t>mp</w:t>
      </w:r>
      <w:r w:rsidRPr="00ED3498">
        <w:rPr>
          <w:rFonts w:eastAsia="Calibri"/>
          <w:bCs/>
        </w:rPr>
        <w:t xml:space="preserve"> = </w:t>
      </w:r>
      <w:r w:rsidRPr="00ED3498">
        <w:rPr>
          <w:bCs/>
        </w:rPr>
        <w:t>∑</w:t>
      </w:r>
      <w:r w:rsidRPr="00ED3498">
        <w:rPr>
          <w:bCs/>
          <w:i/>
          <w:vertAlign w:val="subscript"/>
        </w:rPr>
        <w:t>(j, k), h</w:t>
      </w:r>
      <w:r w:rsidRPr="00ED3498">
        <w:rPr>
          <w:bCs/>
          <w:i/>
        </w:rPr>
        <w:t xml:space="preserve"> </w:t>
      </w:r>
      <w:r w:rsidRPr="00ED3498">
        <w:rPr>
          <w:bCs/>
        </w:rPr>
        <w:t>(</w:t>
      </w:r>
      <w:r w:rsidRPr="00ED3498">
        <w:rPr>
          <w:rFonts w:eastAsia="Calibri"/>
          <w:bCs/>
        </w:rPr>
        <w:t>OBLP</w:t>
      </w:r>
      <w:r w:rsidRPr="00ED3498">
        <w:rPr>
          <w:bCs/>
          <w:vertAlign w:val="subscript"/>
        </w:rPr>
        <w:t xml:space="preserve"> </w:t>
      </w:r>
      <w:r w:rsidRPr="00ED3498">
        <w:rPr>
          <w:bCs/>
          <w:i/>
          <w:vertAlign w:val="subscript"/>
        </w:rPr>
        <w:t>mp, (</w:t>
      </w:r>
      <w:r w:rsidRPr="00ED3498">
        <w:rPr>
          <w:rFonts w:eastAsia="Calibri"/>
          <w:bCs/>
          <w:i/>
          <w:vertAlign w:val="subscript"/>
        </w:rPr>
        <w:t>j, k), h</w:t>
      </w:r>
      <w:r w:rsidRPr="00ED3498">
        <w:rPr>
          <w:bCs/>
        </w:rPr>
        <w:t>)</w:t>
      </w:r>
    </w:p>
    <w:p w14:paraId="2D2604BC" w14:textId="77777777" w:rsidR="003F580A" w:rsidRPr="00ED3498" w:rsidRDefault="003F580A" w:rsidP="003F580A">
      <w:pPr>
        <w:tabs>
          <w:tab w:val="left" w:pos="2340"/>
          <w:tab w:val="left" w:pos="3420"/>
        </w:tabs>
        <w:spacing w:after="240"/>
        <w:ind w:left="3420" w:hanging="2700"/>
        <w:rPr>
          <w:bCs/>
        </w:rPr>
      </w:pPr>
      <w:r w:rsidRPr="00ED3498">
        <w:rPr>
          <w:rFonts w:eastAsia="Calibri"/>
          <w:b/>
          <w:bCs/>
        </w:rPr>
        <w:t>S</w:t>
      </w:r>
      <w:r w:rsidRPr="00ED3498">
        <w:rPr>
          <w:rFonts w:eastAsia="Calibri"/>
        </w:rPr>
        <w:t>DC</w:t>
      </w:r>
      <w:r w:rsidRPr="00ED3498">
        <w:rPr>
          <w:bCs/>
        </w:rPr>
        <w:t>WSLTOT</w:t>
      </w:r>
      <w:r w:rsidRPr="00ED3498">
        <w:rPr>
          <w:bCs/>
          <w:i/>
          <w:vertAlign w:val="subscript"/>
        </w:rPr>
        <w:t xml:space="preserve"> mp</w:t>
      </w:r>
      <w:r w:rsidRPr="00ED3498">
        <w:rPr>
          <w:bCs/>
        </w:rPr>
        <w:t xml:space="preserve"> = (-1) * ∑</w:t>
      </w:r>
      <w:r w:rsidRPr="00ED3498">
        <w:rPr>
          <w:bCs/>
          <w:i/>
          <w:vertAlign w:val="subscript"/>
        </w:rPr>
        <w:t>r, b</w:t>
      </w:r>
      <w:r w:rsidRPr="00ED3498">
        <w:rPr>
          <w:bCs/>
        </w:rPr>
        <w:t xml:space="preserve"> (MEBL </w:t>
      </w:r>
      <w:r w:rsidRPr="00ED3498">
        <w:rPr>
          <w:bCs/>
          <w:i/>
          <w:vertAlign w:val="subscript"/>
        </w:rPr>
        <w:t>mp, r, b</w:t>
      </w:r>
      <w:r w:rsidRPr="00ED3498">
        <w:rPr>
          <w:bCs/>
        </w:rPr>
        <w:t>)</w:t>
      </w:r>
    </w:p>
    <w:p w14:paraId="26906648" w14:textId="77777777" w:rsidR="003F580A" w:rsidRPr="00ED3498" w:rsidRDefault="003F580A" w:rsidP="00C745C0">
      <w:pPr>
        <w:rPr>
          <w:rFonts w:eastAsia="Calibri"/>
        </w:rPr>
      </w:pPr>
      <w:r w:rsidRPr="00ED3498">
        <w:rPr>
          <w:rFonts w:eastAsia="Calibri"/>
        </w:rPr>
        <w:t>The above variables are defined as follows:</w:t>
      </w:r>
    </w:p>
    <w:tbl>
      <w:tblPr>
        <w:tblW w:w="976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03"/>
        <w:gridCol w:w="795"/>
        <w:gridCol w:w="6963"/>
      </w:tblGrid>
      <w:tr w:rsidR="003F580A" w:rsidRPr="00ED3498" w14:paraId="7ECD298F" w14:textId="77777777" w:rsidTr="000C6618">
        <w:trPr>
          <w:cantSplit/>
          <w:trHeight w:val="278"/>
          <w:tblHeader/>
        </w:trPr>
        <w:tc>
          <w:tcPr>
            <w:tcW w:w="1026" w:type="pct"/>
            <w:tcBorders>
              <w:top w:val="single" w:sz="4" w:space="0" w:color="auto"/>
              <w:left w:val="single" w:sz="4" w:space="0" w:color="auto"/>
              <w:bottom w:val="single" w:sz="6" w:space="0" w:color="auto"/>
              <w:right w:val="single" w:sz="6" w:space="0" w:color="auto"/>
            </w:tcBorders>
            <w:hideMark/>
          </w:tcPr>
          <w:p w14:paraId="0CB0A4A9" w14:textId="77777777" w:rsidR="003F580A" w:rsidRPr="00ED3498" w:rsidRDefault="003F580A" w:rsidP="000C6618">
            <w:pPr>
              <w:spacing w:after="240"/>
              <w:rPr>
                <w:b/>
                <w:iCs/>
                <w:sz w:val="20"/>
              </w:rPr>
            </w:pPr>
            <w:r w:rsidRPr="00ED3498">
              <w:rPr>
                <w:b/>
                <w:iCs/>
                <w:sz w:val="20"/>
              </w:rPr>
              <w:t>Variable</w:t>
            </w:r>
          </w:p>
        </w:tc>
        <w:tc>
          <w:tcPr>
            <w:tcW w:w="407" w:type="pct"/>
            <w:tcBorders>
              <w:top w:val="single" w:sz="4" w:space="0" w:color="auto"/>
              <w:left w:val="single" w:sz="6" w:space="0" w:color="auto"/>
              <w:bottom w:val="single" w:sz="6" w:space="0" w:color="auto"/>
              <w:right w:val="single" w:sz="6" w:space="0" w:color="auto"/>
            </w:tcBorders>
            <w:hideMark/>
          </w:tcPr>
          <w:p w14:paraId="6FA9AC53" w14:textId="77777777" w:rsidR="003F580A" w:rsidRPr="00ED3498" w:rsidRDefault="003F580A" w:rsidP="000C6618">
            <w:pPr>
              <w:spacing w:after="240"/>
              <w:rPr>
                <w:b/>
                <w:iCs/>
                <w:sz w:val="20"/>
              </w:rPr>
            </w:pPr>
            <w:r w:rsidRPr="00ED3498">
              <w:rPr>
                <w:b/>
                <w:iCs/>
                <w:sz w:val="20"/>
              </w:rPr>
              <w:t>Unit</w:t>
            </w:r>
          </w:p>
        </w:tc>
        <w:tc>
          <w:tcPr>
            <w:tcW w:w="3567" w:type="pct"/>
            <w:tcBorders>
              <w:top w:val="single" w:sz="4" w:space="0" w:color="auto"/>
              <w:left w:val="single" w:sz="6" w:space="0" w:color="auto"/>
              <w:bottom w:val="single" w:sz="6" w:space="0" w:color="auto"/>
              <w:right w:val="single" w:sz="4" w:space="0" w:color="auto"/>
            </w:tcBorders>
            <w:hideMark/>
          </w:tcPr>
          <w:p w14:paraId="5B44F08D" w14:textId="77777777" w:rsidR="003F580A" w:rsidRPr="00ED3498" w:rsidRDefault="003F580A" w:rsidP="000C6618">
            <w:pPr>
              <w:spacing w:after="240"/>
              <w:rPr>
                <w:b/>
                <w:iCs/>
                <w:sz w:val="20"/>
              </w:rPr>
            </w:pPr>
            <w:r w:rsidRPr="00ED3498">
              <w:rPr>
                <w:b/>
                <w:iCs/>
                <w:sz w:val="20"/>
              </w:rPr>
              <w:t>Definition</w:t>
            </w:r>
          </w:p>
        </w:tc>
      </w:tr>
      <w:tr w:rsidR="003F580A" w:rsidRPr="00ED3498" w14:paraId="7423E72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1FC05913" w14:textId="77777777" w:rsidR="003F580A" w:rsidRPr="00ED3498" w:rsidRDefault="003F580A" w:rsidP="000C6618">
            <w:pPr>
              <w:spacing w:after="60"/>
              <w:rPr>
                <w:iCs/>
                <w:color w:val="000000"/>
                <w:kern w:val="24"/>
                <w:sz w:val="20"/>
              </w:rPr>
            </w:pPr>
            <w:r w:rsidRPr="00ED3498">
              <w:rPr>
                <w:iCs/>
                <w:sz w:val="20"/>
                <w:lang w:val="pt-BR"/>
              </w:rPr>
              <w:t>S</w:t>
            </w:r>
            <w:r w:rsidRPr="00ED3498">
              <w:rPr>
                <w:rFonts w:eastAsia="Calibri"/>
                <w:bCs/>
                <w:iCs/>
                <w:sz w:val="20"/>
              </w:rPr>
              <w:t>DC</w:t>
            </w:r>
            <w:r w:rsidRPr="00ED3498">
              <w:rPr>
                <w:iCs/>
                <w:sz w:val="20"/>
                <w:lang w:val="pt-BR"/>
              </w:rPr>
              <w:t>RSCP</w:t>
            </w:r>
            <w:r w:rsidRPr="00ED3498">
              <w:rPr>
                <w:iCs/>
                <w:color w:val="000000"/>
                <w:kern w:val="24"/>
                <w:sz w:val="20"/>
                <w:lang w:val="pt-BR"/>
              </w:rPr>
              <w:t xml:space="preserve"> </w:t>
            </w:r>
            <w:r w:rsidRPr="00ED3498">
              <w:rPr>
                <w:i/>
                <w:iCs/>
                <w:color w:val="000000"/>
                <w:kern w:val="24"/>
                <w:sz w:val="20"/>
                <w:vertAlign w:val="subscript"/>
              </w:rPr>
              <w:t>cp</w:t>
            </w:r>
          </w:p>
        </w:tc>
        <w:tc>
          <w:tcPr>
            <w:tcW w:w="407" w:type="pct"/>
            <w:tcBorders>
              <w:top w:val="single" w:sz="6" w:space="0" w:color="auto"/>
              <w:left w:val="single" w:sz="6" w:space="0" w:color="auto"/>
              <w:bottom w:val="single" w:sz="6" w:space="0" w:color="auto"/>
              <w:right w:val="single" w:sz="6" w:space="0" w:color="auto"/>
            </w:tcBorders>
            <w:hideMark/>
          </w:tcPr>
          <w:p w14:paraId="3125E6C6" w14:textId="77777777" w:rsidR="003F580A" w:rsidRPr="00ED3498" w:rsidRDefault="003F580A" w:rsidP="000C6618">
            <w:pPr>
              <w:spacing w:after="60"/>
              <w:rPr>
                <w:iCs/>
                <w:sz w:val="20"/>
              </w:rPr>
            </w:pPr>
            <w:r w:rsidRPr="00ED3498">
              <w:rPr>
                <w:iCs/>
                <w:color w:val="000000"/>
                <w:kern w:val="24"/>
                <w:sz w:val="20"/>
              </w:rPr>
              <w:t>$</w:t>
            </w:r>
          </w:p>
        </w:tc>
        <w:tc>
          <w:tcPr>
            <w:tcW w:w="3567" w:type="pct"/>
            <w:tcBorders>
              <w:top w:val="single" w:sz="6" w:space="0" w:color="auto"/>
              <w:left w:val="single" w:sz="6" w:space="0" w:color="auto"/>
              <w:bottom w:val="single" w:sz="6" w:space="0" w:color="auto"/>
              <w:right w:val="single" w:sz="4" w:space="0" w:color="auto"/>
            </w:tcBorders>
            <w:hideMark/>
          </w:tcPr>
          <w:p w14:paraId="16130E9A" w14:textId="77777777" w:rsidR="003F580A" w:rsidRPr="00ED3498" w:rsidRDefault="003F580A" w:rsidP="000C6618">
            <w:pPr>
              <w:spacing w:after="60"/>
              <w:rPr>
                <w:i/>
                <w:iCs/>
                <w:sz w:val="20"/>
              </w:rPr>
            </w:pPr>
            <w:r w:rsidRPr="00ED3498">
              <w:rPr>
                <w:i/>
                <w:iCs/>
                <w:sz w:val="20"/>
              </w:rPr>
              <w:t>Securitization Default Charge Ratio Share per Counter-Party</w:t>
            </w:r>
            <w:r w:rsidRPr="00ED3498">
              <w:rPr>
                <w:iCs/>
                <w:sz w:val="20"/>
              </w:rPr>
              <w:t xml:space="preserve">—The Counter-Party’s pro rata portion of the total Securitization Charges for a month. </w:t>
            </w:r>
          </w:p>
        </w:tc>
      </w:tr>
      <w:tr w:rsidR="003F580A" w:rsidRPr="00ED3498" w14:paraId="40DFE5D7"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067F919" w14:textId="77777777" w:rsidR="003F580A" w:rsidRPr="00ED3498" w:rsidRDefault="003F580A" w:rsidP="000C6618">
            <w:pPr>
              <w:spacing w:after="60"/>
              <w:rPr>
                <w:iCs/>
                <w:color w:val="000000"/>
                <w:kern w:val="24"/>
                <w:sz w:val="20"/>
              </w:rPr>
            </w:pPr>
            <w:r w:rsidRPr="00ED3498">
              <w:rPr>
                <w:iCs/>
                <w:sz w:val="20"/>
                <w:lang w:val="pt-BR"/>
              </w:rPr>
              <w:t>TSDCMA</w:t>
            </w:r>
          </w:p>
        </w:tc>
        <w:tc>
          <w:tcPr>
            <w:tcW w:w="407" w:type="pct"/>
            <w:tcBorders>
              <w:top w:val="single" w:sz="6" w:space="0" w:color="auto"/>
              <w:left w:val="single" w:sz="6" w:space="0" w:color="auto"/>
              <w:bottom w:val="single" w:sz="6" w:space="0" w:color="auto"/>
              <w:right w:val="single" w:sz="6" w:space="0" w:color="auto"/>
            </w:tcBorders>
            <w:hideMark/>
          </w:tcPr>
          <w:p w14:paraId="4FCBE875" w14:textId="77777777" w:rsidR="003F580A" w:rsidRPr="00ED3498" w:rsidRDefault="003F580A" w:rsidP="000C6618">
            <w:pPr>
              <w:spacing w:after="60"/>
              <w:rPr>
                <w:iCs/>
                <w:sz w:val="20"/>
              </w:rPr>
            </w:pPr>
            <w:r w:rsidRPr="00ED3498">
              <w:rPr>
                <w:iCs/>
                <w:color w:val="000000"/>
                <w:kern w:val="24"/>
                <w:sz w:val="20"/>
              </w:rPr>
              <w:t>$</w:t>
            </w:r>
          </w:p>
        </w:tc>
        <w:tc>
          <w:tcPr>
            <w:tcW w:w="3567" w:type="pct"/>
            <w:tcBorders>
              <w:top w:val="single" w:sz="6" w:space="0" w:color="auto"/>
              <w:left w:val="single" w:sz="6" w:space="0" w:color="auto"/>
              <w:bottom w:val="single" w:sz="6" w:space="0" w:color="auto"/>
              <w:right w:val="single" w:sz="4" w:space="0" w:color="auto"/>
            </w:tcBorders>
            <w:hideMark/>
          </w:tcPr>
          <w:p w14:paraId="5CA1A911" w14:textId="77777777" w:rsidR="003F580A" w:rsidRPr="00ED3498" w:rsidRDefault="003F580A" w:rsidP="000C6618">
            <w:pPr>
              <w:spacing w:after="60"/>
              <w:rPr>
                <w:iCs/>
                <w:sz w:val="20"/>
              </w:rPr>
            </w:pPr>
            <w:bookmarkStart w:id="10" w:name="_Hlk83972874"/>
            <w:r w:rsidRPr="00ED3498">
              <w:rPr>
                <w:i/>
                <w:iCs/>
                <w:sz w:val="20"/>
              </w:rPr>
              <w:t>Total Securitization Default Charge Monthly Amount</w:t>
            </w:r>
            <w:bookmarkEnd w:id="10"/>
            <w:r w:rsidRPr="00ED3498">
              <w:rPr>
                <w:iCs/>
                <w:sz w:val="20"/>
              </w:rPr>
              <w:t>—</w:t>
            </w:r>
            <w:bookmarkStart w:id="11" w:name="_Hlk85616687"/>
            <w:r w:rsidRPr="00ED3498">
              <w:rPr>
                <w:iCs/>
                <w:sz w:val="20"/>
              </w:rPr>
              <w:t>The amount ERCOT determines must be collected for the month in order to timely repay the Securitization Default Balance.</w:t>
            </w:r>
            <w:bookmarkEnd w:id="11"/>
          </w:p>
        </w:tc>
      </w:tr>
      <w:tr w:rsidR="003F580A" w:rsidRPr="00ED3498" w14:paraId="2924D711"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68813BD3" w14:textId="77777777" w:rsidR="003F580A" w:rsidRPr="00ED3498" w:rsidRDefault="003F580A" w:rsidP="000C6618">
            <w:pPr>
              <w:spacing w:after="60"/>
              <w:rPr>
                <w:iCs/>
                <w:color w:val="000000"/>
                <w:kern w:val="24"/>
                <w:sz w:val="20"/>
              </w:rPr>
            </w:pPr>
            <w:r w:rsidRPr="00ED3498">
              <w:rPr>
                <w:iCs/>
                <w:color w:val="000000"/>
                <w:kern w:val="24"/>
                <w:sz w:val="20"/>
              </w:rPr>
              <w:t xml:space="preserve">SDCMMARS </w:t>
            </w:r>
            <w:r w:rsidRPr="00ED3498">
              <w:rPr>
                <w:i/>
                <w:iCs/>
                <w:color w:val="000000"/>
                <w:kern w:val="24"/>
                <w:sz w:val="20"/>
                <w:vertAlign w:val="subscript"/>
              </w:rPr>
              <w:t>cp</w:t>
            </w:r>
          </w:p>
        </w:tc>
        <w:tc>
          <w:tcPr>
            <w:tcW w:w="407" w:type="pct"/>
            <w:tcBorders>
              <w:top w:val="single" w:sz="6" w:space="0" w:color="auto"/>
              <w:left w:val="single" w:sz="6" w:space="0" w:color="auto"/>
              <w:bottom w:val="single" w:sz="6" w:space="0" w:color="auto"/>
              <w:right w:val="single" w:sz="6" w:space="0" w:color="auto"/>
            </w:tcBorders>
            <w:hideMark/>
          </w:tcPr>
          <w:p w14:paraId="40E0FBDF" w14:textId="77777777" w:rsidR="003F580A" w:rsidRPr="00ED3498" w:rsidRDefault="003F580A" w:rsidP="000C6618">
            <w:pPr>
              <w:spacing w:after="60"/>
              <w:rPr>
                <w:iCs/>
                <w:sz w:val="20"/>
              </w:rPr>
            </w:pPr>
            <w:r w:rsidRPr="00ED3498">
              <w:rPr>
                <w:iCs/>
                <w:color w:val="000000"/>
                <w:kern w:val="24"/>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122B7B46" w14:textId="77777777" w:rsidR="003F580A" w:rsidRPr="00ED3498" w:rsidRDefault="003F580A" w:rsidP="000C6618">
            <w:pPr>
              <w:spacing w:after="60"/>
              <w:rPr>
                <w:i/>
                <w:iCs/>
                <w:sz w:val="20"/>
              </w:rPr>
            </w:pPr>
            <w:r w:rsidRPr="00ED3498">
              <w:rPr>
                <w:i/>
                <w:iCs/>
                <w:sz w:val="20"/>
              </w:rPr>
              <w:t>Securitization Default Charge Maximum MWh Activity Ratio Share</w:t>
            </w:r>
            <w:r w:rsidRPr="00ED3498">
              <w:rPr>
                <w:iCs/>
                <w:sz w:val="20"/>
              </w:rPr>
              <w:t>—The Counter-Party’s pro rata share of Maximum MWh Activity.</w:t>
            </w:r>
          </w:p>
        </w:tc>
      </w:tr>
      <w:tr w:rsidR="003F580A" w:rsidRPr="00ED3498" w14:paraId="30622D90"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055B6838" w14:textId="77777777" w:rsidR="003F580A" w:rsidRPr="00ED3498" w:rsidRDefault="003F580A" w:rsidP="000C6618">
            <w:pPr>
              <w:spacing w:after="60"/>
              <w:rPr>
                <w:iCs/>
                <w:color w:val="000000"/>
                <w:kern w:val="24"/>
                <w:sz w:val="20"/>
              </w:rPr>
            </w:pPr>
            <w:r w:rsidRPr="00ED3498">
              <w:rPr>
                <w:iCs/>
                <w:color w:val="000000"/>
                <w:kern w:val="24"/>
                <w:sz w:val="20"/>
              </w:rPr>
              <w:t xml:space="preserve">SDCMMA </w:t>
            </w:r>
            <w:r w:rsidRPr="00ED3498">
              <w:rPr>
                <w:i/>
                <w:iCs/>
                <w:color w:val="000000"/>
                <w:kern w:val="24"/>
                <w:sz w:val="20"/>
                <w:vertAlign w:val="subscript"/>
              </w:rPr>
              <w:t>cp</w:t>
            </w:r>
          </w:p>
        </w:tc>
        <w:tc>
          <w:tcPr>
            <w:tcW w:w="407" w:type="pct"/>
            <w:tcBorders>
              <w:top w:val="single" w:sz="6" w:space="0" w:color="auto"/>
              <w:left w:val="single" w:sz="6" w:space="0" w:color="auto"/>
              <w:bottom w:val="single" w:sz="6" w:space="0" w:color="auto"/>
              <w:right w:val="single" w:sz="6" w:space="0" w:color="auto"/>
            </w:tcBorders>
            <w:hideMark/>
          </w:tcPr>
          <w:p w14:paraId="1EB9D2EF" w14:textId="77777777" w:rsidR="003F580A" w:rsidRPr="00ED3498" w:rsidRDefault="003F580A" w:rsidP="000C6618">
            <w:pPr>
              <w:spacing w:after="60"/>
              <w:rPr>
                <w:iCs/>
                <w:sz w:val="20"/>
              </w:rPr>
            </w:pPr>
            <w:r w:rsidRPr="00ED3498">
              <w:rPr>
                <w:iCs/>
                <w:color w:val="000000"/>
                <w:kern w:val="24"/>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59DDE334" w14:textId="77777777" w:rsidR="003F580A" w:rsidRPr="00ED3498" w:rsidRDefault="003F580A" w:rsidP="000C6618">
            <w:pPr>
              <w:spacing w:after="60"/>
              <w:rPr>
                <w:i/>
                <w:iCs/>
                <w:sz w:val="20"/>
              </w:rPr>
            </w:pPr>
            <w:r w:rsidRPr="00ED3498">
              <w:rPr>
                <w:i/>
                <w:iCs/>
                <w:sz w:val="20"/>
              </w:rPr>
              <w:t>Securitization Default Charge Maximum MWh Activity</w:t>
            </w:r>
            <w:r w:rsidRPr="00ED3498">
              <w:rPr>
                <w:iCs/>
                <w:sz w:val="20"/>
              </w:rPr>
              <w:t>—The maximum MWh activity of all Market Participants represented by the  Counter-Party in the DAM, RTM and CRR Auction for the reference month.</w:t>
            </w:r>
          </w:p>
        </w:tc>
      </w:tr>
      <w:tr w:rsidR="003F580A" w:rsidRPr="00ED3498" w14:paraId="1FFD6930"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17AC7D3" w14:textId="77777777" w:rsidR="003F580A" w:rsidRPr="00ED3498" w:rsidRDefault="003F580A" w:rsidP="000C6618">
            <w:pPr>
              <w:spacing w:after="60"/>
              <w:rPr>
                <w:iCs/>
                <w:color w:val="000000"/>
                <w:kern w:val="24"/>
                <w:sz w:val="20"/>
              </w:rPr>
            </w:pPr>
            <w:r w:rsidRPr="00ED3498">
              <w:rPr>
                <w:iCs/>
                <w:color w:val="000000"/>
                <w:kern w:val="24"/>
                <w:sz w:val="20"/>
              </w:rPr>
              <w:lastRenderedPageBreak/>
              <w:t>SDCMMATOT</w:t>
            </w:r>
          </w:p>
        </w:tc>
        <w:tc>
          <w:tcPr>
            <w:tcW w:w="407" w:type="pct"/>
            <w:tcBorders>
              <w:top w:val="single" w:sz="6" w:space="0" w:color="auto"/>
              <w:left w:val="single" w:sz="6" w:space="0" w:color="auto"/>
              <w:bottom w:val="single" w:sz="6" w:space="0" w:color="auto"/>
              <w:right w:val="single" w:sz="6" w:space="0" w:color="auto"/>
            </w:tcBorders>
            <w:hideMark/>
          </w:tcPr>
          <w:p w14:paraId="1E50D3AE" w14:textId="77777777" w:rsidR="003F580A" w:rsidRPr="00ED3498" w:rsidRDefault="003F580A" w:rsidP="000C6618">
            <w:pPr>
              <w:spacing w:after="60"/>
              <w:rPr>
                <w:iCs/>
                <w:sz w:val="20"/>
              </w:rPr>
            </w:pPr>
            <w:r w:rsidRPr="00ED3498">
              <w:rPr>
                <w:iCs/>
                <w:color w:val="000000"/>
                <w:kern w:val="24"/>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1DD56E83" w14:textId="77777777" w:rsidR="003F580A" w:rsidRPr="00ED3498" w:rsidRDefault="003F580A" w:rsidP="000C6618">
            <w:pPr>
              <w:spacing w:after="60"/>
              <w:rPr>
                <w:i/>
                <w:iCs/>
                <w:sz w:val="20"/>
              </w:rPr>
            </w:pPr>
            <w:r w:rsidRPr="00ED3498">
              <w:rPr>
                <w:i/>
                <w:iCs/>
                <w:sz w:val="20"/>
              </w:rPr>
              <w:t>Securitization Default Charge Maximum MWh Activity Total</w:t>
            </w:r>
            <w:r w:rsidRPr="00ED3498">
              <w:rPr>
                <w:iCs/>
                <w:sz w:val="20"/>
              </w:rPr>
              <w:t>—The sum of all  Counter-Party’s Maximum MWh Activity.</w:t>
            </w:r>
          </w:p>
        </w:tc>
      </w:tr>
      <w:tr w:rsidR="003F580A" w:rsidRPr="00ED3498" w14:paraId="1284A111"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7B928DC" w14:textId="77777777" w:rsidR="003F580A" w:rsidRPr="00ED3498" w:rsidRDefault="003F580A" w:rsidP="000C6618">
            <w:pPr>
              <w:spacing w:after="60"/>
              <w:rPr>
                <w:iCs/>
                <w:sz w:val="20"/>
              </w:rPr>
            </w:pPr>
            <w:r w:rsidRPr="00ED3498">
              <w:rPr>
                <w:iCs/>
                <w:color w:val="000000"/>
                <w:kern w:val="24"/>
                <w:sz w:val="20"/>
              </w:rPr>
              <w:t xml:space="preserve">RTMG </w:t>
            </w:r>
            <w:r w:rsidRPr="00ED3498">
              <w:rPr>
                <w:i/>
                <w:iCs/>
                <w:color w:val="000000"/>
                <w:kern w:val="24"/>
                <w:sz w:val="20"/>
                <w:vertAlign w:val="subscript"/>
              </w:rPr>
              <w:t>mp, p, r, i</w:t>
            </w:r>
          </w:p>
        </w:tc>
        <w:tc>
          <w:tcPr>
            <w:tcW w:w="407" w:type="pct"/>
            <w:tcBorders>
              <w:top w:val="single" w:sz="6" w:space="0" w:color="auto"/>
              <w:left w:val="single" w:sz="6" w:space="0" w:color="auto"/>
              <w:bottom w:val="single" w:sz="6" w:space="0" w:color="auto"/>
              <w:right w:val="single" w:sz="6" w:space="0" w:color="auto"/>
            </w:tcBorders>
            <w:hideMark/>
          </w:tcPr>
          <w:p w14:paraId="75615244"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319DEC72" w14:textId="77777777" w:rsidR="003F580A" w:rsidRPr="00ED3498" w:rsidRDefault="003F580A" w:rsidP="000C6618">
            <w:pPr>
              <w:spacing w:after="60"/>
              <w:rPr>
                <w:iCs/>
                <w:sz w:val="20"/>
              </w:rPr>
            </w:pPr>
            <w:r w:rsidRPr="00ED3498">
              <w:rPr>
                <w:i/>
                <w:iCs/>
                <w:sz w:val="20"/>
              </w:rPr>
              <w:t>Real-Time Metered Generation per Market Participant per Settlement Point per Resource</w:t>
            </w:r>
            <w:r w:rsidRPr="00ED3498">
              <w:rPr>
                <w:iCs/>
                <w:sz w:val="20"/>
              </w:rPr>
              <w:t xml:space="preserve">—The Real-Time energy produced by the Generation Resource </w:t>
            </w:r>
            <w:r w:rsidRPr="00ED3498">
              <w:rPr>
                <w:i/>
                <w:iCs/>
                <w:sz w:val="20"/>
              </w:rPr>
              <w:t>r</w:t>
            </w:r>
            <w:r w:rsidRPr="00ED3498">
              <w:rPr>
                <w:iCs/>
                <w:sz w:val="20"/>
              </w:rPr>
              <w:t xml:space="preserve"> represented by Market Participant </w:t>
            </w:r>
            <w:r w:rsidRPr="00ED3498">
              <w:rPr>
                <w:i/>
                <w:iCs/>
                <w:sz w:val="20"/>
              </w:rPr>
              <w:t>mp</w:t>
            </w:r>
            <w:r w:rsidRPr="00ED3498">
              <w:rPr>
                <w:iCs/>
                <w:sz w:val="20"/>
              </w:rPr>
              <w:t xml:space="preserve">, at Resource Node </w:t>
            </w:r>
            <w:r w:rsidRPr="00ED3498">
              <w:rPr>
                <w:i/>
                <w:iCs/>
                <w:sz w:val="20"/>
              </w:rPr>
              <w:t>p</w:t>
            </w:r>
            <w:r w:rsidRPr="00ED3498">
              <w:rPr>
                <w:iCs/>
                <w:sz w:val="20"/>
              </w:rPr>
              <w:t xml:space="preserve">, for the 15-minute Settlement Interval </w:t>
            </w:r>
            <w:r w:rsidRPr="00ED3498">
              <w:rPr>
                <w:i/>
                <w:iCs/>
                <w:sz w:val="20"/>
              </w:rPr>
              <w:t>i</w:t>
            </w:r>
            <w:r w:rsidRPr="00ED3498">
              <w:rPr>
                <w:iCs/>
                <w:sz w:val="20"/>
              </w:rPr>
              <w:t>, where the Market Participant is a QSE.</w:t>
            </w:r>
          </w:p>
        </w:tc>
      </w:tr>
      <w:tr w:rsidR="003F580A" w:rsidRPr="00ED3498" w14:paraId="3AB8DB95"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0523BFE1"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RTMG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4784BEC7"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4A97C04B" w14:textId="77777777" w:rsidR="003F580A" w:rsidRPr="00ED3498" w:rsidRDefault="003F580A" w:rsidP="000C6618">
            <w:pPr>
              <w:spacing w:after="60"/>
              <w:rPr>
                <w:i/>
                <w:iCs/>
                <w:sz w:val="20"/>
              </w:rPr>
            </w:pPr>
            <w:r w:rsidRPr="00ED3498">
              <w:rPr>
                <w:i/>
                <w:iCs/>
                <w:sz w:val="20"/>
              </w:rPr>
              <w:t>Securitization Default Charge Real-Time Metered Generation per Market Participant</w:t>
            </w:r>
            <w:r w:rsidRPr="00ED3498">
              <w:rPr>
                <w:iCs/>
                <w:sz w:val="20"/>
              </w:rPr>
              <w:t xml:space="preserve">—The monthly sum in the reference month of Real-Time energy produced by Generation Resources represented by Market Participant </w:t>
            </w:r>
            <w:r w:rsidRPr="00ED3498">
              <w:rPr>
                <w:i/>
                <w:iCs/>
                <w:sz w:val="20"/>
              </w:rPr>
              <w:t>mp</w:t>
            </w:r>
            <w:r w:rsidRPr="00ED3498">
              <w:rPr>
                <w:iCs/>
                <w:sz w:val="20"/>
              </w:rPr>
              <w:t xml:space="preserve">, excluding generation for RMR Resources and generation in RUC-Committed Intervals, where the Market Participant is a QSE assigned to the registered Counter-Party. </w:t>
            </w:r>
          </w:p>
        </w:tc>
      </w:tr>
      <w:tr w:rsidR="003F580A" w:rsidRPr="00ED3498" w14:paraId="7B383BCC"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60CCB0E7" w14:textId="77777777" w:rsidR="003F580A" w:rsidRPr="00ED3498" w:rsidRDefault="003F580A" w:rsidP="000C6618">
            <w:pPr>
              <w:spacing w:after="60"/>
              <w:rPr>
                <w:iCs/>
                <w:color w:val="000000"/>
                <w:kern w:val="24"/>
                <w:sz w:val="20"/>
              </w:rPr>
            </w:pPr>
            <w:r w:rsidRPr="00ED3498">
              <w:rPr>
                <w:iCs/>
                <w:color w:val="000000"/>
                <w:kern w:val="24"/>
                <w:sz w:val="20"/>
              </w:rPr>
              <w:t xml:space="preserve">RTDCIMP </w:t>
            </w:r>
            <w:r w:rsidRPr="00ED3498">
              <w:rPr>
                <w:i/>
                <w:iCs/>
                <w:color w:val="000000"/>
                <w:kern w:val="24"/>
                <w:sz w:val="20"/>
                <w:vertAlign w:val="subscript"/>
              </w:rPr>
              <w:t>mp, p, i</w:t>
            </w:r>
          </w:p>
        </w:tc>
        <w:tc>
          <w:tcPr>
            <w:tcW w:w="407" w:type="pct"/>
            <w:tcBorders>
              <w:top w:val="single" w:sz="6" w:space="0" w:color="auto"/>
              <w:left w:val="single" w:sz="6" w:space="0" w:color="auto"/>
              <w:bottom w:val="single" w:sz="6" w:space="0" w:color="auto"/>
              <w:right w:val="single" w:sz="6" w:space="0" w:color="auto"/>
            </w:tcBorders>
            <w:hideMark/>
          </w:tcPr>
          <w:p w14:paraId="27AB7C97"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78D76B31" w14:textId="77777777" w:rsidR="003F580A" w:rsidRPr="00ED3498" w:rsidRDefault="003F580A" w:rsidP="000C6618">
            <w:pPr>
              <w:spacing w:after="60"/>
              <w:rPr>
                <w:i/>
                <w:iCs/>
                <w:sz w:val="20"/>
              </w:rPr>
            </w:pPr>
            <w:r w:rsidRPr="00ED3498">
              <w:rPr>
                <w:i/>
                <w:iCs/>
                <w:sz w:val="20"/>
              </w:rPr>
              <w:t>Real-Time DC Import per QSE per Settlement Point</w:t>
            </w:r>
            <w:r w:rsidRPr="00ED3498">
              <w:rPr>
                <w:iCs/>
                <w:sz w:val="20"/>
              </w:rPr>
              <w:t xml:space="preserve">—The aggregated Direct Current Tie (DC Tie) Schedule submitted by Market Participant </w:t>
            </w:r>
            <w:r w:rsidRPr="00ED3498">
              <w:rPr>
                <w:i/>
                <w:iCs/>
                <w:sz w:val="20"/>
              </w:rPr>
              <w:t>mp,</w:t>
            </w:r>
            <w:r w:rsidRPr="00ED3498">
              <w:rPr>
                <w:iCs/>
                <w:sz w:val="20"/>
              </w:rPr>
              <w:t xml:space="preserve"> as an importer into the ERCOT System through DC Tie </w:t>
            </w:r>
            <w:r w:rsidRPr="00ED3498">
              <w:rPr>
                <w:i/>
                <w:iCs/>
                <w:sz w:val="20"/>
              </w:rPr>
              <w:t>p</w:t>
            </w:r>
            <w:r w:rsidRPr="00ED3498">
              <w:rPr>
                <w:iCs/>
                <w:sz w:val="20"/>
              </w:rPr>
              <w:t xml:space="preserve">, for the 15-minute Settlement Interval </w:t>
            </w:r>
            <w:r w:rsidRPr="00ED3498">
              <w:rPr>
                <w:i/>
                <w:iCs/>
                <w:sz w:val="20"/>
              </w:rPr>
              <w:t>i</w:t>
            </w:r>
            <w:r w:rsidRPr="00ED3498">
              <w:rPr>
                <w:iCs/>
                <w:sz w:val="20"/>
              </w:rPr>
              <w:t>, where the Market Participant is a QSE.</w:t>
            </w:r>
          </w:p>
        </w:tc>
      </w:tr>
      <w:tr w:rsidR="003F580A" w:rsidRPr="00ED3498" w14:paraId="69C32F3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375AEAD6" w14:textId="77777777" w:rsidR="003F580A" w:rsidRPr="00ED3498" w:rsidRDefault="003F580A" w:rsidP="000C6618">
            <w:pPr>
              <w:spacing w:after="60"/>
              <w:rPr>
                <w:iCs/>
                <w:color w:val="000000"/>
                <w:kern w:val="24"/>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RTDCIMP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35EFD29C"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4C6F6D5C" w14:textId="77777777" w:rsidR="003F580A" w:rsidRPr="00ED3498" w:rsidRDefault="003F580A" w:rsidP="000C6618">
            <w:pPr>
              <w:spacing w:after="60"/>
              <w:rPr>
                <w:i/>
                <w:iCs/>
                <w:sz w:val="20"/>
              </w:rPr>
            </w:pPr>
            <w:r w:rsidRPr="00ED3498">
              <w:rPr>
                <w:i/>
                <w:iCs/>
                <w:sz w:val="20"/>
              </w:rPr>
              <w:t>Securitization Default Charge Real-Time DC Import per Market Participant</w:t>
            </w:r>
            <w:r w:rsidRPr="00ED3498">
              <w:rPr>
                <w:iCs/>
                <w:sz w:val="20"/>
              </w:rPr>
              <w:t xml:space="preserve">—The monthly sum in the reference month of the aggregated DC Tie Schedule submitted by Market Participant </w:t>
            </w:r>
            <w:r w:rsidRPr="00ED3498">
              <w:rPr>
                <w:i/>
                <w:iCs/>
                <w:sz w:val="20"/>
              </w:rPr>
              <w:t>mp</w:t>
            </w:r>
            <w:r w:rsidRPr="00ED3498">
              <w:rPr>
                <w:iCs/>
                <w:sz w:val="20"/>
              </w:rPr>
              <w:t>, as an importer into the ERCOT System where the Market Participant is a QSE assigned to a registered Counter-Party.</w:t>
            </w:r>
          </w:p>
        </w:tc>
      </w:tr>
      <w:tr w:rsidR="003F580A" w:rsidRPr="00ED3498" w14:paraId="7687F40F"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FF77E83" w14:textId="77777777" w:rsidR="003F580A" w:rsidRPr="00ED3498" w:rsidRDefault="003F580A" w:rsidP="000C6618">
            <w:pPr>
              <w:spacing w:after="60"/>
              <w:rPr>
                <w:iCs/>
                <w:sz w:val="20"/>
              </w:rPr>
            </w:pPr>
            <w:r w:rsidRPr="00ED3498">
              <w:rPr>
                <w:iCs/>
                <w:color w:val="000000"/>
                <w:kern w:val="24"/>
                <w:sz w:val="20"/>
              </w:rPr>
              <w:t xml:space="preserve">RTAML </w:t>
            </w:r>
            <w:r w:rsidRPr="00ED3498">
              <w:rPr>
                <w:i/>
                <w:iCs/>
                <w:color w:val="000000"/>
                <w:kern w:val="24"/>
                <w:sz w:val="20"/>
                <w:vertAlign w:val="subscript"/>
              </w:rPr>
              <w:t>mp, p, i</w:t>
            </w:r>
          </w:p>
        </w:tc>
        <w:tc>
          <w:tcPr>
            <w:tcW w:w="407" w:type="pct"/>
            <w:tcBorders>
              <w:top w:val="single" w:sz="6" w:space="0" w:color="auto"/>
              <w:left w:val="single" w:sz="6" w:space="0" w:color="auto"/>
              <w:bottom w:val="single" w:sz="6" w:space="0" w:color="auto"/>
              <w:right w:val="single" w:sz="6" w:space="0" w:color="auto"/>
            </w:tcBorders>
            <w:hideMark/>
          </w:tcPr>
          <w:p w14:paraId="54BD5B81"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7F6C3DB3" w14:textId="77777777" w:rsidR="003F580A" w:rsidRPr="00ED3498" w:rsidRDefault="003F580A" w:rsidP="000C6618">
            <w:pPr>
              <w:spacing w:after="60"/>
              <w:rPr>
                <w:iCs/>
                <w:sz w:val="20"/>
              </w:rPr>
            </w:pPr>
            <w:r w:rsidRPr="00ED3498">
              <w:rPr>
                <w:i/>
                <w:iCs/>
                <w:sz w:val="20"/>
              </w:rPr>
              <w:t>Real-Time Adjusted Metered Load per Market Participant per Settlement Point</w:t>
            </w:r>
            <w:r w:rsidRPr="00ED3498">
              <w:rPr>
                <w:iCs/>
                <w:sz w:val="20"/>
              </w:rPr>
              <w:t xml:space="preserve">—The sum of the Adjusted Metered Load (AML) at the Electrical Buses that are included in Settlement Point </w:t>
            </w:r>
            <w:r w:rsidRPr="00ED3498">
              <w:rPr>
                <w:i/>
                <w:iCs/>
                <w:sz w:val="20"/>
              </w:rPr>
              <w:t>p</w:t>
            </w:r>
            <w:r w:rsidRPr="00ED3498">
              <w:rPr>
                <w:iCs/>
                <w:sz w:val="20"/>
              </w:rPr>
              <w:t xml:space="preserve"> represented by Market Participant </w:t>
            </w:r>
            <w:r w:rsidRPr="00ED3498">
              <w:rPr>
                <w:i/>
                <w:iCs/>
                <w:sz w:val="20"/>
              </w:rPr>
              <w:t>mp</w:t>
            </w:r>
            <w:r w:rsidRPr="00ED3498">
              <w:rPr>
                <w:iCs/>
                <w:sz w:val="20"/>
              </w:rPr>
              <w:t xml:space="preserve"> for the 15-minute Settlement Interval </w:t>
            </w:r>
            <w:r w:rsidRPr="00ED3498">
              <w:rPr>
                <w:i/>
                <w:iCs/>
                <w:sz w:val="20"/>
              </w:rPr>
              <w:t>i</w:t>
            </w:r>
            <w:r w:rsidRPr="00ED3498">
              <w:rPr>
                <w:iCs/>
                <w:sz w:val="20"/>
              </w:rPr>
              <w:t>, where the Market Participant is a QSE.</w:t>
            </w:r>
          </w:p>
        </w:tc>
      </w:tr>
      <w:tr w:rsidR="003F580A" w:rsidRPr="00ED3498" w14:paraId="6B184EF0"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8AAE35A"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RTAML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2EE0CFEF"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0195CE4F" w14:textId="77777777" w:rsidR="003F580A" w:rsidRPr="00ED3498" w:rsidRDefault="003F580A" w:rsidP="000C6618">
            <w:pPr>
              <w:spacing w:after="60"/>
              <w:rPr>
                <w:i/>
                <w:iCs/>
                <w:sz w:val="20"/>
              </w:rPr>
            </w:pPr>
            <w:r w:rsidRPr="00ED3498">
              <w:rPr>
                <w:i/>
                <w:iCs/>
                <w:sz w:val="20"/>
              </w:rPr>
              <w:t>Securitization Default Charge Real-Time Adjusted Metered Load per Market Participant</w:t>
            </w:r>
            <w:r w:rsidRPr="00ED3498">
              <w:rPr>
                <w:iCs/>
                <w:sz w:val="20"/>
              </w:rPr>
              <w:t xml:space="preserve">—The monthly sum in the reference month of the AML represented by Market Participant </w:t>
            </w:r>
            <w:r w:rsidRPr="00ED3498">
              <w:rPr>
                <w:i/>
                <w:iCs/>
                <w:sz w:val="20"/>
              </w:rPr>
              <w:t>mp</w:t>
            </w:r>
            <w:r w:rsidRPr="00ED3498">
              <w:rPr>
                <w:iCs/>
                <w:sz w:val="20"/>
              </w:rPr>
              <w:t>, where the Market Participant is a QSE assigned to the registered Counter-Party.</w:t>
            </w:r>
          </w:p>
        </w:tc>
      </w:tr>
      <w:tr w:rsidR="003F580A" w:rsidRPr="00ED3498" w14:paraId="13E722BB"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1E994DC5" w14:textId="77777777" w:rsidR="003F580A" w:rsidRPr="00ED3498" w:rsidRDefault="003F580A" w:rsidP="000C6618">
            <w:pPr>
              <w:spacing w:after="60"/>
              <w:rPr>
                <w:iCs/>
                <w:sz w:val="20"/>
              </w:rPr>
            </w:pPr>
            <w:r w:rsidRPr="00ED3498">
              <w:rPr>
                <w:rFonts w:eastAsia="Calibri"/>
                <w:iCs/>
                <w:sz w:val="20"/>
              </w:rPr>
              <w:t xml:space="preserve">RTQQES </w:t>
            </w:r>
            <w:r w:rsidRPr="00ED3498">
              <w:rPr>
                <w:i/>
                <w:iCs/>
                <w:color w:val="000000"/>
                <w:kern w:val="24"/>
                <w:sz w:val="20"/>
                <w:vertAlign w:val="subscript"/>
              </w:rPr>
              <w:t>mp, p, i</w:t>
            </w:r>
          </w:p>
        </w:tc>
        <w:tc>
          <w:tcPr>
            <w:tcW w:w="407" w:type="pct"/>
            <w:tcBorders>
              <w:top w:val="single" w:sz="6" w:space="0" w:color="auto"/>
              <w:left w:val="single" w:sz="6" w:space="0" w:color="auto"/>
              <w:bottom w:val="single" w:sz="6" w:space="0" w:color="auto"/>
              <w:right w:val="single" w:sz="6" w:space="0" w:color="auto"/>
            </w:tcBorders>
            <w:hideMark/>
          </w:tcPr>
          <w:p w14:paraId="7A4931E4"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650BE1ED" w14:textId="77777777" w:rsidR="003F580A" w:rsidRPr="00ED3498" w:rsidRDefault="003F580A" w:rsidP="000C6618">
            <w:pPr>
              <w:spacing w:after="60"/>
              <w:rPr>
                <w:i/>
                <w:iCs/>
                <w:sz w:val="20"/>
              </w:rPr>
            </w:pPr>
            <w:r w:rsidRPr="00ED3498">
              <w:rPr>
                <w:i/>
                <w:iCs/>
                <w:sz w:val="20"/>
              </w:rPr>
              <w:t>QSE-to-QSE Energy Sale per Market Participant per Settlement Point</w:t>
            </w:r>
            <w:r w:rsidRPr="00ED3498">
              <w:rPr>
                <w:iCs/>
                <w:sz w:val="20"/>
              </w:rPr>
              <w:t xml:space="preserve">—The amount of MW sold by Market Participant </w:t>
            </w:r>
            <w:r w:rsidRPr="00ED3498">
              <w:rPr>
                <w:i/>
                <w:iCs/>
                <w:sz w:val="20"/>
              </w:rPr>
              <w:t>mp</w:t>
            </w:r>
            <w:r w:rsidRPr="00ED3498">
              <w:rPr>
                <w:iCs/>
                <w:sz w:val="20"/>
              </w:rPr>
              <w:t xml:space="preserve"> through Energy Trades at Settlement Point </w:t>
            </w:r>
            <w:r w:rsidRPr="00ED3498">
              <w:rPr>
                <w:i/>
                <w:iCs/>
                <w:sz w:val="20"/>
              </w:rPr>
              <w:t>p</w:t>
            </w:r>
            <w:r w:rsidRPr="00ED3498">
              <w:rPr>
                <w:iCs/>
                <w:sz w:val="20"/>
              </w:rPr>
              <w:t xml:space="preserve"> for the 15-minute Settlement Interval </w:t>
            </w:r>
            <w:r w:rsidRPr="00ED3498">
              <w:rPr>
                <w:i/>
                <w:iCs/>
                <w:sz w:val="20"/>
              </w:rPr>
              <w:t>i</w:t>
            </w:r>
            <w:r w:rsidRPr="00ED3498">
              <w:rPr>
                <w:iCs/>
                <w:sz w:val="20"/>
              </w:rPr>
              <w:t>, where the Market Participant is a QSE.</w:t>
            </w:r>
          </w:p>
        </w:tc>
      </w:tr>
      <w:tr w:rsidR="003F580A" w:rsidRPr="00ED3498" w14:paraId="632F5B0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52C2D69"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RTQQES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2AD6E7F1"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118CD761" w14:textId="77777777" w:rsidR="003F580A" w:rsidRPr="00ED3498" w:rsidRDefault="003F580A" w:rsidP="000C6618">
            <w:pPr>
              <w:spacing w:after="60"/>
              <w:rPr>
                <w:i/>
                <w:iCs/>
                <w:sz w:val="20"/>
              </w:rPr>
            </w:pPr>
            <w:r w:rsidRPr="00ED3498">
              <w:rPr>
                <w:i/>
                <w:iCs/>
                <w:sz w:val="20"/>
              </w:rPr>
              <w:t>Securitization Default Charge QSE-to-QSE Energy Sale per Market Participant</w:t>
            </w:r>
            <w:r w:rsidRPr="00ED3498">
              <w:rPr>
                <w:iCs/>
                <w:sz w:val="20"/>
              </w:rPr>
              <w:t xml:space="preserve">—The monthly sum in the reference month of MW sold by Market Participant </w:t>
            </w:r>
            <w:r w:rsidRPr="00ED3498">
              <w:rPr>
                <w:i/>
                <w:iCs/>
                <w:sz w:val="20"/>
              </w:rPr>
              <w:t>mp</w:t>
            </w:r>
            <w:r w:rsidRPr="00ED3498">
              <w:rPr>
                <w:iCs/>
                <w:sz w:val="20"/>
              </w:rPr>
              <w:t xml:space="preserve"> through Energy Trades, where the Market Participant is a QSE assigned to the registered Counter-Party.</w:t>
            </w:r>
          </w:p>
        </w:tc>
      </w:tr>
      <w:tr w:rsidR="003F580A" w:rsidRPr="00ED3498" w14:paraId="444A9056"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AC35377" w14:textId="77777777" w:rsidR="003F580A" w:rsidRPr="00ED3498" w:rsidRDefault="003F580A" w:rsidP="000C6618">
            <w:pPr>
              <w:spacing w:after="60"/>
              <w:rPr>
                <w:iCs/>
                <w:sz w:val="20"/>
              </w:rPr>
            </w:pPr>
            <w:r w:rsidRPr="00ED3498">
              <w:rPr>
                <w:rFonts w:eastAsia="Calibri"/>
                <w:iCs/>
                <w:sz w:val="20"/>
              </w:rPr>
              <w:t xml:space="preserve">RTQQEP </w:t>
            </w:r>
            <w:r w:rsidRPr="00ED3498">
              <w:rPr>
                <w:i/>
                <w:iCs/>
                <w:color w:val="000000"/>
                <w:kern w:val="24"/>
                <w:sz w:val="20"/>
                <w:vertAlign w:val="subscript"/>
              </w:rPr>
              <w:t>mp, p, i</w:t>
            </w:r>
          </w:p>
        </w:tc>
        <w:tc>
          <w:tcPr>
            <w:tcW w:w="407" w:type="pct"/>
            <w:tcBorders>
              <w:top w:val="single" w:sz="6" w:space="0" w:color="auto"/>
              <w:left w:val="single" w:sz="6" w:space="0" w:color="auto"/>
              <w:bottom w:val="single" w:sz="6" w:space="0" w:color="auto"/>
              <w:right w:val="single" w:sz="6" w:space="0" w:color="auto"/>
            </w:tcBorders>
            <w:hideMark/>
          </w:tcPr>
          <w:p w14:paraId="2265B9C0"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393B319" w14:textId="77777777" w:rsidR="003F580A" w:rsidRPr="00ED3498" w:rsidRDefault="003F580A" w:rsidP="000C6618">
            <w:pPr>
              <w:spacing w:after="60"/>
              <w:rPr>
                <w:i/>
                <w:iCs/>
                <w:sz w:val="20"/>
              </w:rPr>
            </w:pPr>
            <w:r w:rsidRPr="00ED3498">
              <w:rPr>
                <w:i/>
                <w:iCs/>
                <w:sz w:val="20"/>
              </w:rPr>
              <w:t>QSE-to-QSE Energy Purchase per Market Participant per Settlement Point</w:t>
            </w:r>
            <w:r w:rsidRPr="00ED3498">
              <w:rPr>
                <w:iCs/>
                <w:sz w:val="20"/>
              </w:rPr>
              <w:t xml:space="preserve">—The amount of MW bought by Market Participant </w:t>
            </w:r>
            <w:r w:rsidRPr="00ED3498">
              <w:rPr>
                <w:i/>
                <w:iCs/>
                <w:sz w:val="20"/>
              </w:rPr>
              <w:t>mp</w:t>
            </w:r>
            <w:r w:rsidRPr="00ED3498">
              <w:rPr>
                <w:iCs/>
                <w:sz w:val="20"/>
              </w:rPr>
              <w:t xml:space="preserve"> through Energy Trades at Settlement Point </w:t>
            </w:r>
            <w:r w:rsidRPr="00ED3498">
              <w:rPr>
                <w:i/>
                <w:iCs/>
                <w:sz w:val="20"/>
              </w:rPr>
              <w:t>p</w:t>
            </w:r>
            <w:r w:rsidRPr="00ED3498">
              <w:rPr>
                <w:iCs/>
                <w:sz w:val="20"/>
              </w:rPr>
              <w:t xml:space="preserve"> for the 15-minute Settlement Interval </w:t>
            </w:r>
            <w:r w:rsidRPr="00ED3498">
              <w:rPr>
                <w:i/>
                <w:iCs/>
                <w:sz w:val="20"/>
              </w:rPr>
              <w:t>i</w:t>
            </w:r>
            <w:r w:rsidRPr="00ED3498">
              <w:rPr>
                <w:iCs/>
                <w:sz w:val="20"/>
              </w:rPr>
              <w:t>, where the Market Participant is a QSE.</w:t>
            </w:r>
          </w:p>
        </w:tc>
      </w:tr>
      <w:tr w:rsidR="003F580A" w:rsidRPr="00ED3498" w14:paraId="186CB57E"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B900D4D"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RTQQEP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605B4FE9"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2A15911C" w14:textId="77777777" w:rsidR="003F580A" w:rsidRPr="00ED3498" w:rsidRDefault="003F580A" w:rsidP="000C6618">
            <w:pPr>
              <w:spacing w:after="60"/>
              <w:rPr>
                <w:iCs/>
                <w:sz w:val="20"/>
              </w:rPr>
            </w:pPr>
            <w:r w:rsidRPr="00ED3498">
              <w:rPr>
                <w:i/>
                <w:iCs/>
                <w:sz w:val="20"/>
              </w:rPr>
              <w:t>Securitization Default Charge QSE-to-QSE Energy Purchase per Market Participant</w:t>
            </w:r>
            <w:r w:rsidRPr="00ED3498">
              <w:rPr>
                <w:iCs/>
                <w:sz w:val="20"/>
              </w:rPr>
              <w:t xml:space="preserve">—The monthly sum in the reference month of MW bought by Market Participant </w:t>
            </w:r>
            <w:r w:rsidRPr="00ED3498">
              <w:rPr>
                <w:i/>
                <w:iCs/>
                <w:sz w:val="20"/>
              </w:rPr>
              <w:t>mp</w:t>
            </w:r>
            <w:r w:rsidRPr="00ED3498">
              <w:rPr>
                <w:iCs/>
                <w:sz w:val="20"/>
              </w:rPr>
              <w:t xml:space="preserve"> through Energy Trades, where the Market Participant is a QSE assigned to the registered Counter-Party.</w:t>
            </w:r>
          </w:p>
        </w:tc>
      </w:tr>
      <w:tr w:rsidR="003F580A" w:rsidRPr="00ED3498" w14:paraId="01E004CF"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1D7B5FD8" w14:textId="77777777" w:rsidR="003F580A" w:rsidRPr="00ED3498" w:rsidRDefault="003F580A" w:rsidP="000C6618">
            <w:pPr>
              <w:spacing w:after="60"/>
              <w:rPr>
                <w:iCs/>
                <w:sz w:val="20"/>
              </w:rPr>
            </w:pPr>
            <w:r w:rsidRPr="00ED3498">
              <w:rPr>
                <w:rFonts w:eastAsia="Calibri"/>
                <w:iCs/>
                <w:sz w:val="20"/>
              </w:rPr>
              <w:t xml:space="preserve">DAES </w:t>
            </w:r>
            <w:r w:rsidRPr="00ED3498">
              <w:rPr>
                <w:i/>
                <w:iCs/>
                <w:color w:val="000000"/>
                <w:kern w:val="24"/>
                <w:sz w:val="20"/>
                <w:vertAlign w:val="subscript"/>
              </w:rPr>
              <w:t>mp, p, h</w:t>
            </w:r>
          </w:p>
        </w:tc>
        <w:tc>
          <w:tcPr>
            <w:tcW w:w="407" w:type="pct"/>
            <w:tcBorders>
              <w:top w:val="single" w:sz="6" w:space="0" w:color="auto"/>
              <w:left w:val="single" w:sz="6" w:space="0" w:color="auto"/>
              <w:bottom w:val="single" w:sz="6" w:space="0" w:color="auto"/>
              <w:right w:val="single" w:sz="6" w:space="0" w:color="auto"/>
            </w:tcBorders>
            <w:hideMark/>
          </w:tcPr>
          <w:p w14:paraId="2118965F"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474D7721" w14:textId="77777777" w:rsidR="003F580A" w:rsidRPr="00ED3498" w:rsidRDefault="003F580A" w:rsidP="000C6618">
            <w:pPr>
              <w:spacing w:after="60"/>
              <w:rPr>
                <w:iCs/>
                <w:sz w:val="20"/>
              </w:rPr>
            </w:pPr>
            <w:r w:rsidRPr="00ED3498">
              <w:rPr>
                <w:i/>
                <w:iCs/>
                <w:sz w:val="20"/>
              </w:rPr>
              <w:t>Day-Ahead Energy Sale per Market Participant per Settlement Point per hour</w:t>
            </w:r>
            <w:r w:rsidRPr="00ED3498">
              <w:rPr>
                <w:iCs/>
                <w:sz w:val="20"/>
              </w:rPr>
              <w:t xml:space="preserve">—The total amount of energy represented by Market Participant </w:t>
            </w:r>
            <w:proofErr w:type="spellStart"/>
            <w:r w:rsidRPr="00ED3498">
              <w:rPr>
                <w:i/>
                <w:iCs/>
                <w:sz w:val="20"/>
              </w:rPr>
              <w:t>mp</w:t>
            </w:r>
            <w:r w:rsidRPr="00ED3498">
              <w:rPr>
                <w:iCs/>
                <w:sz w:val="20"/>
              </w:rPr>
              <w:t>’s</w:t>
            </w:r>
            <w:proofErr w:type="spellEnd"/>
            <w:r w:rsidRPr="00ED3498">
              <w:rPr>
                <w:iCs/>
                <w:sz w:val="20"/>
              </w:rPr>
              <w:t xml:space="preserve"> cleared Three-Part Supply Offers in the DAM and cleared DAM Energy-Only Offers at Settlement Point </w:t>
            </w:r>
            <w:r w:rsidRPr="00ED3498">
              <w:rPr>
                <w:i/>
                <w:iCs/>
                <w:sz w:val="20"/>
              </w:rPr>
              <w:t>p</w:t>
            </w:r>
            <w:r w:rsidRPr="00ED3498">
              <w:rPr>
                <w:iCs/>
                <w:sz w:val="20"/>
              </w:rPr>
              <w:t xml:space="preserve">, for the hour </w:t>
            </w:r>
            <w:r w:rsidRPr="00ED3498">
              <w:rPr>
                <w:i/>
                <w:iCs/>
                <w:sz w:val="20"/>
              </w:rPr>
              <w:t>h</w:t>
            </w:r>
            <w:r w:rsidRPr="00ED3498">
              <w:rPr>
                <w:iCs/>
                <w:sz w:val="20"/>
              </w:rPr>
              <w:t>, where the Market Participant is a QSE.</w:t>
            </w:r>
          </w:p>
        </w:tc>
      </w:tr>
      <w:tr w:rsidR="003F580A" w:rsidRPr="00ED3498" w14:paraId="3FF4931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0A25282F" w14:textId="77777777" w:rsidR="003F580A" w:rsidRPr="00ED3498" w:rsidRDefault="003F580A" w:rsidP="000C6618">
            <w:pPr>
              <w:spacing w:after="60"/>
              <w:rPr>
                <w:iCs/>
                <w:sz w:val="20"/>
              </w:rPr>
            </w:pPr>
            <w:r w:rsidRPr="00ED3498">
              <w:rPr>
                <w:rFonts w:eastAsia="Calibri"/>
                <w:iCs/>
                <w:sz w:val="20"/>
              </w:rPr>
              <w:lastRenderedPageBreak/>
              <w:t>S</w:t>
            </w:r>
            <w:r w:rsidRPr="00ED3498">
              <w:rPr>
                <w:rFonts w:eastAsia="Calibri"/>
                <w:bCs/>
                <w:iCs/>
                <w:sz w:val="20"/>
              </w:rPr>
              <w:t>DC</w:t>
            </w:r>
            <w:r w:rsidRPr="00ED3498">
              <w:rPr>
                <w:rFonts w:eastAsia="Calibri"/>
                <w:iCs/>
                <w:sz w:val="20"/>
              </w:rPr>
              <w:t xml:space="preserve">DAES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4E834248"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1C929F43" w14:textId="77777777" w:rsidR="003F580A" w:rsidRPr="00ED3498" w:rsidRDefault="003F580A" w:rsidP="000C6618">
            <w:pPr>
              <w:spacing w:after="60"/>
              <w:rPr>
                <w:i/>
                <w:iCs/>
                <w:sz w:val="20"/>
              </w:rPr>
            </w:pPr>
            <w:r w:rsidRPr="00ED3498">
              <w:rPr>
                <w:i/>
                <w:iCs/>
                <w:sz w:val="20"/>
              </w:rPr>
              <w:t>Securitization Default Charge Day-Ahead Energy Sale per Market Participant</w:t>
            </w:r>
            <w:r w:rsidRPr="00ED3498">
              <w:rPr>
                <w:iCs/>
                <w:sz w:val="20"/>
              </w:rPr>
              <w:t xml:space="preserve">—The monthly total in the reference month of energy represented by Market Participant </w:t>
            </w:r>
            <w:proofErr w:type="spellStart"/>
            <w:r w:rsidRPr="00ED3498">
              <w:rPr>
                <w:i/>
                <w:iCs/>
                <w:sz w:val="20"/>
              </w:rPr>
              <w:t>mp</w:t>
            </w:r>
            <w:r w:rsidRPr="00ED3498">
              <w:rPr>
                <w:iCs/>
                <w:sz w:val="20"/>
              </w:rPr>
              <w:t>’s</w:t>
            </w:r>
            <w:proofErr w:type="spellEnd"/>
            <w:r w:rsidRPr="00ED3498">
              <w:rPr>
                <w:iCs/>
                <w:sz w:val="20"/>
              </w:rPr>
              <w:t xml:space="preserve"> cleared Three-Part Supply Offers in the DAM and cleared DAM Energy-Only Offer Curves, where the Market Participant is a QSE assigned to the registered Counter-Party.</w:t>
            </w:r>
          </w:p>
        </w:tc>
      </w:tr>
      <w:tr w:rsidR="003F580A" w:rsidRPr="00ED3498" w14:paraId="22B2D65D"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4BC040B" w14:textId="77777777" w:rsidR="003F580A" w:rsidRPr="00ED3498" w:rsidRDefault="003F580A" w:rsidP="000C6618">
            <w:pPr>
              <w:spacing w:after="60"/>
              <w:rPr>
                <w:iCs/>
                <w:sz w:val="20"/>
              </w:rPr>
            </w:pPr>
            <w:r w:rsidRPr="00ED3498">
              <w:rPr>
                <w:rFonts w:eastAsia="Calibri"/>
                <w:iCs/>
                <w:sz w:val="20"/>
              </w:rPr>
              <w:t xml:space="preserve">DAEP </w:t>
            </w:r>
            <w:r w:rsidRPr="00ED3498">
              <w:rPr>
                <w:i/>
                <w:iCs/>
                <w:color w:val="000000"/>
                <w:kern w:val="24"/>
                <w:sz w:val="20"/>
                <w:vertAlign w:val="subscript"/>
              </w:rPr>
              <w:t>mp, p, h</w:t>
            </w:r>
          </w:p>
        </w:tc>
        <w:tc>
          <w:tcPr>
            <w:tcW w:w="407" w:type="pct"/>
            <w:tcBorders>
              <w:top w:val="single" w:sz="6" w:space="0" w:color="auto"/>
              <w:left w:val="single" w:sz="6" w:space="0" w:color="auto"/>
              <w:bottom w:val="single" w:sz="6" w:space="0" w:color="auto"/>
              <w:right w:val="single" w:sz="6" w:space="0" w:color="auto"/>
            </w:tcBorders>
            <w:hideMark/>
          </w:tcPr>
          <w:p w14:paraId="5BF3EB4B"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7967928" w14:textId="77777777" w:rsidR="003F580A" w:rsidRPr="00ED3498" w:rsidRDefault="003F580A" w:rsidP="000C6618">
            <w:pPr>
              <w:spacing w:after="60"/>
              <w:rPr>
                <w:iCs/>
                <w:sz w:val="20"/>
              </w:rPr>
            </w:pPr>
            <w:r w:rsidRPr="00ED3498">
              <w:rPr>
                <w:i/>
                <w:iCs/>
                <w:sz w:val="20"/>
              </w:rPr>
              <w:t>Day-Ahead Energy Purchase per Market Participant per Settlement Point per hour</w:t>
            </w:r>
            <w:r w:rsidRPr="00ED3498">
              <w:rPr>
                <w:iCs/>
                <w:sz w:val="20"/>
              </w:rPr>
              <w:t xml:space="preserve">—The total amount of energy represented by Market Participant </w:t>
            </w:r>
            <w:proofErr w:type="spellStart"/>
            <w:r w:rsidRPr="00ED3498">
              <w:rPr>
                <w:i/>
                <w:iCs/>
                <w:sz w:val="20"/>
              </w:rPr>
              <w:t>mp</w:t>
            </w:r>
            <w:r w:rsidRPr="00ED3498">
              <w:rPr>
                <w:iCs/>
                <w:sz w:val="20"/>
              </w:rPr>
              <w:t>’s</w:t>
            </w:r>
            <w:proofErr w:type="spellEnd"/>
            <w:r w:rsidRPr="00ED3498">
              <w:rPr>
                <w:iCs/>
                <w:sz w:val="20"/>
              </w:rPr>
              <w:t xml:space="preserve"> cleared DAM Energy Bids at Settlement Point </w:t>
            </w:r>
            <w:r w:rsidRPr="00ED3498">
              <w:rPr>
                <w:i/>
                <w:iCs/>
                <w:sz w:val="20"/>
              </w:rPr>
              <w:t>p</w:t>
            </w:r>
            <w:r w:rsidRPr="00ED3498">
              <w:rPr>
                <w:iCs/>
                <w:sz w:val="20"/>
              </w:rPr>
              <w:t xml:space="preserve"> for the hour </w:t>
            </w:r>
            <w:r w:rsidRPr="00ED3498">
              <w:rPr>
                <w:i/>
                <w:iCs/>
                <w:sz w:val="20"/>
              </w:rPr>
              <w:t>h</w:t>
            </w:r>
            <w:r w:rsidRPr="00ED3498">
              <w:rPr>
                <w:iCs/>
                <w:sz w:val="20"/>
              </w:rPr>
              <w:t>, where the Market Participant is a QSE.</w:t>
            </w:r>
          </w:p>
        </w:tc>
      </w:tr>
      <w:tr w:rsidR="003F580A" w:rsidRPr="00ED3498" w14:paraId="43B4268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1D677AA"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DAEP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5BB99258"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79300EC9" w14:textId="77777777" w:rsidR="003F580A" w:rsidRPr="00ED3498" w:rsidRDefault="003F580A" w:rsidP="000C6618">
            <w:pPr>
              <w:spacing w:after="60"/>
              <w:rPr>
                <w:i/>
                <w:iCs/>
                <w:sz w:val="20"/>
              </w:rPr>
            </w:pPr>
            <w:r w:rsidRPr="00ED3498">
              <w:rPr>
                <w:i/>
                <w:iCs/>
                <w:sz w:val="20"/>
              </w:rPr>
              <w:t>Securitization Default Charge Day-Ahead Energy Purchase per Market Participant</w:t>
            </w:r>
            <w:r w:rsidRPr="00ED3498">
              <w:rPr>
                <w:iCs/>
                <w:sz w:val="20"/>
              </w:rPr>
              <w:t xml:space="preserve">—The monthly total in the reference month of energy represented by Market Participant </w:t>
            </w:r>
            <w:proofErr w:type="spellStart"/>
            <w:r w:rsidRPr="00ED3498">
              <w:rPr>
                <w:i/>
                <w:iCs/>
                <w:sz w:val="20"/>
              </w:rPr>
              <w:t>mp</w:t>
            </w:r>
            <w:r w:rsidRPr="00ED3498">
              <w:rPr>
                <w:iCs/>
                <w:sz w:val="20"/>
              </w:rPr>
              <w:t>’s</w:t>
            </w:r>
            <w:proofErr w:type="spellEnd"/>
            <w:r w:rsidRPr="00ED3498">
              <w:rPr>
                <w:iCs/>
                <w:sz w:val="20"/>
              </w:rPr>
              <w:t xml:space="preserve"> cleared DAM Energy Bids, where the Market Participant is a QSE assigned to the registered Counter-Party.</w:t>
            </w:r>
          </w:p>
        </w:tc>
      </w:tr>
      <w:tr w:rsidR="003F580A" w:rsidRPr="00ED3498" w14:paraId="73AADCED"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13736CD" w14:textId="77777777" w:rsidR="003F580A" w:rsidRPr="00ED3498" w:rsidRDefault="003F580A" w:rsidP="000C6618">
            <w:pPr>
              <w:spacing w:after="60"/>
              <w:rPr>
                <w:iCs/>
                <w:sz w:val="20"/>
              </w:rPr>
            </w:pPr>
            <w:r w:rsidRPr="00ED3498">
              <w:rPr>
                <w:iCs/>
                <w:sz w:val="20"/>
              </w:rPr>
              <w:t xml:space="preserve">RTOBL </w:t>
            </w:r>
            <w:r w:rsidRPr="00ED3498">
              <w:rPr>
                <w:i/>
                <w:iCs/>
                <w:sz w:val="20"/>
                <w:vertAlign w:val="subscript"/>
              </w:rPr>
              <w:t>mp, (j, k), h</w:t>
            </w:r>
          </w:p>
        </w:tc>
        <w:tc>
          <w:tcPr>
            <w:tcW w:w="407" w:type="pct"/>
            <w:tcBorders>
              <w:top w:val="single" w:sz="6" w:space="0" w:color="auto"/>
              <w:left w:val="single" w:sz="6" w:space="0" w:color="auto"/>
              <w:bottom w:val="single" w:sz="6" w:space="0" w:color="auto"/>
              <w:right w:val="single" w:sz="6" w:space="0" w:color="auto"/>
            </w:tcBorders>
            <w:hideMark/>
          </w:tcPr>
          <w:p w14:paraId="6E3E38ED"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641AD003" w14:textId="77777777" w:rsidR="003F580A" w:rsidRPr="00ED3498" w:rsidRDefault="003F580A" w:rsidP="000C6618">
            <w:pPr>
              <w:spacing w:after="60"/>
              <w:rPr>
                <w:iCs/>
                <w:sz w:val="20"/>
              </w:rPr>
            </w:pPr>
            <w:r w:rsidRPr="00ED3498">
              <w:rPr>
                <w:i/>
                <w:iCs/>
                <w:sz w:val="20"/>
              </w:rPr>
              <w:t>Real-Time Obligation per Market Participant per source and sink pair per hour</w:t>
            </w:r>
            <w:r w:rsidRPr="00ED3498">
              <w:rPr>
                <w:iCs/>
                <w:sz w:val="20"/>
              </w:rPr>
              <w:t xml:space="preserve">—The number of Market Participant </w:t>
            </w:r>
            <w:proofErr w:type="spellStart"/>
            <w:r w:rsidRPr="00ED3498">
              <w:rPr>
                <w:i/>
                <w:iCs/>
                <w:sz w:val="20"/>
              </w:rPr>
              <w:t>mp</w:t>
            </w:r>
            <w:r w:rsidRPr="00ED3498">
              <w:rPr>
                <w:iCs/>
                <w:sz w:val="20"/>
              </w:rPr>
              <w:t>’s</w:t>
            </w:r>
            <w:proofErr w:type="spellEnd"/>
            <w:r w:rsidRPr="00ED3498">
              <w:rPr>
                <w:iCs/>
                <w:sz w:val="20"/>
              </w:rPr>
              <w:t xml:space="preserve"> Point-to-Point (PTP) Obligations with the source </w:t>
            </w:r>
            <w:r w:rsidRPr="00ED3498">
              <w:rPr>
                <w:i/>
                <w:iCs/>
                <w:sz w:val="20"/>
              </w:rPr>
              <w:t>j</w:t>
            </w:r>
            <w:r w:rsidRPr="00ED3498">
              <w:rPr>
                <w:iCs/>
                <w:sz w:val="20"/>
              </w:rPr>
              <w:t xml:space="preserve"> and the sink </w:t>
            </w:r>
            <w:r w:rsidRPr="00ED3498">
              <w:rPr>
                <w:i/>
                <w:iCs/>
                <w:sz w:val="20"/>
              </w:rPr>
              <w:t>k</w:t>
            </w:r>
            <w:r w:rsidRPr="00ED3498">
              <w:rPr>
                <w:iCs/>
                <w:sz w:val="20"/>
              </w:rPr>
              <w:t xml:space="preserve"> settled in Real-Time for the hour </w:t>
            </w:r>
            <w:r w:rsidRPr="00ED3498">
              <w:rPr>
                <w:i/>
                <w:iCs/>
                <w:sz w:val="20"/>
              </w:rPr>
              <w:t>h</w:t>
            </w:r>
            <w:r w:rsidRPr="00ED3498">
              <w:rPr>
                <w:iCs/>
                <w:sz w:val="20"/>
              </w:rPr>
              <w:t>, and where the Market Participant is a QSE.</w:t>
            </w:r>
          </w:p>
        </w:tc>
      </w:tr>
      <w:tr w:rsidR="003F580A" w:rsidRPr="00ED3498" w14:paraId="0F0622A8"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CEA6821" w14:textId="77777777" w:rsidR="003F580A" w:rsidRPr="00ED3498" w:rsidRDefault="003F580A" w:rsidP="000C6618">
            <w:pPr>
              <w:spacing w:after="60"/>
              <w:rPr>
                <w:bCs/>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RTOBL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47A9B9E4" w14:textId="77777777" w:rsidR="003F580A" w:rsidRPr="00ED3498" w:rsidRDefault="003F580A" w:rsidP="000C6618">
            <w:pPr>
              <w:spacing w:after="60"/>
              <w:rPr>
                <w:bCs/>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554D3C10" w14:textId="77777777" w:rsidR="003F580A" w:rsidRPr="00ED3498" w:rsidRDefault="003F580A" w:rsidP="000C6618">
            <w:pPr>
              <w:spacing w:after="60"/>
              <w:rPr>
                <w:bCs/>
                <w:i/>
                <w:iCs/>
                <w:sz w:val="20"/>
              </w:rPr>
            </w:pPr>
            <w:r w:rsidRPr="00ED3498">
              <w:rPr>
                <w:i/>
                <w:iCs/>
                <w:sz w:val="20"/>
              </w:rPr>
              <w:t>Securitization Default Charge Real-Time Obligation per Market Participant</w:t>
            </w:r>
            <w:r w:rsidRPr="00ED3498">
              <w:rPr>
                <w:iCs/>
                <w:sz w:val="20"/>
              </w:rPr>
              <w:t xml:space="preserve">—The monthly total in the reference month of Market Participant </w:t>
            </w:r>
            <w:proofErr w:type="spellStart"/>
            <w:r w:rsidRPr="00ED3498">
              <w:rPr>
                <w:i/>
                <w:iCs/>
                <w:sz w:val="20"/>
              </w:rPr>
              <w:t>mp</w:t>
            </w:r>
            <w:r w:rsidRPr="00ED3498">
              <w:rPr>
                <w:iCs/>
                <w:sz w:val="20"/>
              </w:rPr>
              <w:t>’s</w:t>
            </w:r>
            <w:proofErr w:type="spellEnd"/>
            <w:r w:rsidRPr="00ED3498">
              <w:rPr>
                <w:iCs/>
                <w:sz w:val="20"/>
              </w:rPr>
              <w:t xml:space="preserve"> PTP Obligations settled in Real-Time, counting the quantity only once per source and sink pair, and where the Market Participant is a QSE assigned to the registered Counter-Party.</w:t>
            </w:r>
          </w:p>
        </w:tc>
      </w:tr>
      <w:tr w:rsidR="003F580A" w:rsidRPr="00ED3498" w14:paraId="3636495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96C4FA2" w14:textId="77777777" w:rsidR="003F580A" w:rsidRPr="00ED3498" w:rsidRDefault="003F580A" w:rsidP="000C6618">
            <w:pPr>
              <w:spacing w:after="60"/>
              <w:rPr>
                <w:bCs/>
                <w:iCs/>
                <w:sz w:val="20"/>
              </w:rPr>
            </w:pPr>
            <w:r w:rsidRPr="00ED3498">
              <w:rPr>
                <w:bCs/>
                <w:iCs/>
                <w:sz w:val="20"/>
              </w:rPr>
              <w:t xml:space="preserve">RTOBLLO </w:t>
            </w:r>
            <w:r w:rsidRPr="00ED3498">
              <w:rPr>
                <w:bCs/>
                <w:i/>
                <w:iCs/>
                <w:sz w:val="20"/>
                <w:vertAlign w:val="subscript"/>
              </w:rPr>
              <w:t>q, (j, k)</w:t>
            </w:r>
          </w:p>
        </w:tc>
        <w:tc>
          <w:tcPr>
            <w:tcW w:w="407" w:type="pct"/>
            <w:tcBorders>
              <w:top w:val="single" w:sz="6" w:space="0" w:color="auto"/>
              <w:left w:val="single" w:sz="6" w:space="0" w:color="auto"/>
              <w:bottom w:val="single" w:sz="6" w:space="0" w:color="auto"/>
              <w:right w:val="single" w:sz="6" w:space="0" w:color="auto"/>
            </w:tcBorders>
            <w:hideMark/>
          </w:tcPr>
          <w:p w14:paraId="4B37FA6E" w14:textId="77777777" w:rsidR="003F580A" w:rsidRPr="00ED3498" w:rsidRDefault="003F580A" w:rsidP="000C6618">
            <w:pPr>
              <w:spacing w:after="60"/>
              <w:rPr>
                <w:bCs/>
                <w:iCs/>
                <w:sz w:val="20"/>
              </w:rPr>
            </w:pPr>
            <w:r w:rsidRPr="00ED3498">
              <w:rPr>
                <w:bCs/>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D8F1C1D" w14:textId="77777777" w:rsidR="003F580A" w:rsidRPr="00ED3498" w:rsidRDefault="003F580A" w:rsidP="000C6618">
            <w:pPr>
              <w:spacing w:after="60"/>
              <w:rPr>
                <w:bCs/>
                <w:i/>
                <w:iCs/>
                <w:sz w:val="20"/>
              </w:rPr>
            </w:pPr>
            <w:r w:rsidRPr="00ED3498">
              <w:rPr>
                <w:bCs/>
                <w:i/>
                <w:iCs/>
                <w:sz w:val="20"/>
              </w:rPr>
              <w:t>Real-Time Obligation with Links to an Option per QSE per pair of source and sink</w:t>
            </w:r>
            <w:r w:rsidRPr="00ED3498">
              <w:rPr>
                <w:bCs/>
                <w:iCs/>
                <w:sz w:val="20"/>
              </w:rPr>
              <w:sym w:font="Symbol" w:char="F0BE"/>
            </w:r>
            <w:r w:rsidRPr="00ED3498">
              <w:rPr>
                <w:bCs/>
                <w:iCs/>
                <w:sz w:val="20"/>
              </w:rPr>
              <w:t xml:space="preserve">The total MW of the QSE’s PTP Obligation with Links to an Option Bids cleared in the DAM and settled in Real-Time for the source </w:t>
            </w:r>
            <w:r w:rsidRPr="00ED3498">
              <w:rPr>
                <w:bCs/>
                <w:i/>
                <w:iCs/>
                <w:sz w:val="20"/>
              </w:rPr>
              <w:t>j</w:t>
            </w:r>
            <w:r w:rsidRPr="00ED3498">
              <w:rPr>
                <w:bCs/>
                <w:iCs/>
                <w:sz w:val="20"/>
              </w:rPr>
              <w:t xml:space="preserve"> and the sink </w:t>
            </w:r>
            <w:r w:rsidRPr="00ED3498">
              <w:rPr>
                <w:bCs/>
                <w:i/>
                <w:iCs/>
                <w:sz w:val="20"/>
              </w:rPr>
              <w:t>k</w:t>
            </w:r>
            <w:r w:rsidRPr="00ED3498">
              <w:rPr>
                <w:bCs/>
                <w:iCs/>
                <w:sz w:val="20"/>
              </w:rPr>
              <w:t xml:space="preserve"> for the hour.</w:t>
            </w:r>
          </w:p>
        </w:tc>
      </w:tr>
      <w:tr w:rsidR="003F580A" w:rsidRPr="00ED3498" w14:paraId="7823946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BA79EE3" w14:textId="77777777" w:rsidR="003F580A" w:rsidRPr="00ED3498" w:rsidRDefault="003F580A" w:rsidP="000C6618">
            <w:pPr>
              <w:spacing w:after="60"/>
              <w:rPr>
                <w:bCs/>
                <w:iCs/>
                <w:sz w:val="20"/>
              </w:rPr>
            </w:pPr>
            <w:r w:rsidRPr="00ED3498">
              <w:rPr>
                <w:bCs/>
                <w:iCs/>
                <w:sz w:val="20"/>
              </w:rPr>
              <w:t>S</w:t>
            </w:r>
            <w:r w:rsidRPr="00ED3498">
              <w:rPr>
                <w:rFonts w:eastAsia="Calibri"/>
                <w:bCs/>
                <w:iCs/>
                <w:sz w:val="20"/>
              </w:rPr>
              <w:t>DC</w:t>
            </w:r>
            <w:r w:rsidRPr="00ED3498">
              <w:rPr>
                <w:bCs/>
                <w:iCs/>
                <w:sz w:val="20"/>
              </w:rPr>
              <w:t xml:space="preserve">RTOBLLO </w:t>
            </w:r>
            <w:r w:rsidRPr="00ED3498">
              <w:rPr>
                <w:bCs/>
                <w:i/>
                <w:iCs/>
                <w:sz w:val="20"/>
                <w:vertAlign w:val="subscript"/>
              </w:rPr>
              <w:t>q, (j, k)</w:t>
            </w:r>
          </w:p>
        </w:tc>
        <w:tc>
          <w:tcPr>
            <w:tcW w:w="407" w:type="pct"/>
            <w:tcBorders>
              <w:top w:val="single" w:sz="6" w:space="0" w:color="auto"/>
              <w:left w:val="single" w:sz="6" w:space="0" w:color="auto"/>
              <w:bottom w:val="single" w:sz="6" w:space="0" w:color="auto"/>
              <w:right w:val="single" w:sz="6" w:space="0" w:color="auto"/>
            </w:tcBorders>
            <w:hideMark/>
          </w:tcPr>
          <w:p w14:paraId="48874AF9" w14:textId="77777777" w:rsidR="003F580A" w:rsidRPr="00ED3498" w:rsidRDefault="003F580A" w:rsidP="000C6618">
            <w:pPr>
              <w:spacing w:after="60"/>
              <w:rPr>
                <w:bCs/>
                <w:iCs/>
                <w:sz w:val="20"/>
              </w:rPr>
            </w:pPr>
            <w:r w:rsidRPr="00ED3498">
              <w:rPr>
                <w:bCs/>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09540A80" w14:textId="77777777" w:rsidR="003F580A" w:rsidRPr="00ED3498" w:rsidRDefault="003F580A" w:rsidP="000C6618">
            <w:pPr>
              <w:spacing w:after="60"/>
              <w:rPr>
                <w:bCs/>
                <w:i/>
                <w:iCs/>
                <w:sz w:val="20"/>
              </w:rPr>
            </w:pPr>
            <w:r w:rsidRPr="00ED3498">
              <w:rPr>
                <w:i/>
                <w:iCs/>
                <w:sz w:val="20"/>
              </w:rPr>
              <w:t xml:space="preserve">Securitization Default Charge </w:t>
            </w:r>
            <w:r w:rsidRPr="00ED3498">
              <w:rPr>
                <w:bCs/>
                <w:i/>
                <w:iCs/>
                <w:sz w:val="20"/>
              </w:rPr>
              <w:t>Real-Time Obligation with Links to an Option per QSE per pair of source and sink</w:t>
            </w:r>
            <w:r w:rsidRPr="00ED3498">
              <w:rPr>
                <w:bCs/>
                <w:iCs/>
                <w:sz w:val="20"/>
              </w:rPr>
              <w:sym w:font="Symbol" w:char="F0BE"/>
            </w:r>
            <w:r w:rsidRPr="00ED3498">
              <w:rPr>
                <w:bCs/>
                <w:iCs/>
                <w:sz w:val="20"/>
              </w:rPr>
              <w:t xml:space="preserve">The monthly total </w:t>
            </w:r>
            <w:r w:rsidRPr="00ED3498">
              <w:rPr>
                <w:iCs/>
                <w:sz w:val="20"/>
              </w:rPr>
              <w:t xml:space="preserve">in the reference month </w:t>
            </w:r>
            <w:r w:rsidRPr="00ED3498">
              <w:rPr>
                <w:bCs/>
                <w:iCs/>
                <w:sz w:val="20"/>
              </w:rPr>
              <w:t xml:space="preserve">of </w:t>
            </w:r>
            <w:r w:rsidRPr="00ED3498">
              <w:rPr>
                <w:iCs/>
                <w:sz w:val="20"/>
              </w:rPr>
              <w:t xml:space="preserve">Market Participant </w:t>
            </w:r>
            <w:proofErr w:type="spellStart"/>
            <w:r w:rsidRPr="00ED3498">
              <w:rPr>
                <w:i/>
                <w:iCs/>
                <w:sz w:val="20"/>
              </w:rPr>
              <w:t>mp</w:t>
            </w:r>
            <w:r w:rsidRPr="00ED3498">
              <w:rPr>
                <w:iCs/>
                <w:sz w:val="20"/>
              </w:rPr>
              <w:t>’s</w:t>
            </w:r>
            <w:proofErr w:type="spellEnd"/>
            <w:r w:rsidRPr="00ED3498">
              <w:rPr>
                <w:iCs/>
                <w:sz w:val="20"/>
              </w:rPr>
              <w:t xml:space="preserve"> </w:t>
            </w:r>
            <w:r w:rsidRPr="00ED3498">
              <w:rPr>
                <w:bCs/>
                <w:iCs/>
                <w:sz w:val="20"/>
              </w:rPr>
              <w:t xml:space="preserve">MW of PTP Obligation with Links to Options Bids cleared in the DAM and settled in Real-Time for the source </w:t>
            </w:r>
            <w:r w:rsidRPr="00ED3498">
              <w:rPr>
                <w:bCs/>
                <w:i/>
                <w:iCs/>
                <w:sz w:val="20"/>
              </w:rPr>
              <w:t>j</w:t>
            </w:r>
            <w:r w:rsidRPr="00ED3498">
              <w:rPr>
                <w:bCs/>
                <w:iCs/>
                <w:sz w:val="20"/>
              </w:rPr>
              <w:t xml:space="preserve"> and the sink </w:t>
            </w:r>
            <w:r w:rsidRPr="00ED3498">
              <w:rPr>
                <w:bCs/>
                <w:i/>
                <w:iCs/>
                <w:sz w:val="20"/>
              </w:rPr>
              <w:t>k</w:t>
            </w:r>
            <w:r w:rsidRPr="00ED3498">
              <w:rPr>
                <w:bCs/>
                <w:iCs/>
                <w:sz w:val="20"/>
              </w:rPr>
              <w:t xml:space="preserve"> for the hour,</w:t>
            </w:r>
            <w:r w:rsidRPr="00ED3498">
              <w:rPr>
                <w:iCs/>
                <w:sz w:val="20"/>
              </w:rPr>
              <w:t xml:space="preserve"> where the Market Participant is a QSE assigned to the registered Counter-Party.</w:t>
            </w:r>
          </w:p>
        </w:tc>
      </w:tr>
      <w:tr w:rsidR="003F580A" w:rsidRPr="00ED3498" w14:paraId="058B4B81"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0800632C" w14:textId="77777777" w:rsidR="003F580A" w:rsidRPr="00ED3498" w:rsidRDefault="003F580A" w:rsidP="000C6618">
            <w:pPr>
              <w:spacing w:after="60"/>
              <w:rPr>
                <w:iCs/>
                <w:sz w:val="20"/>
              </w:rPr>
            </w:pPr>
            <w:r w:rsidRPr="00ED3498">
              <w:rPr>
                <w:bCs/>
                <w:iCs/>
                <w:sz w:val="20"/>
              </w:rPr>
              <w:t xml:space="preserve">OPT </w:t>
            </w:r>
            <w:r w:rsidRPr="00ED3498">
              <w:rPr>
                <w:rFonts w:eastAsia="Calibri"/>
                <w:i/>
                <w:iCs/>
                <w:sz w:val="20"/>
                <w:vertAlign w:val="subscript"/>
              </w:rPr>
              <w:t>mp</w:t>
            </w:r>
            <w:r w:rsidRPr="00ED3498">
              <w:rPr>
                <w:bCs/>
                <w:i/>
                <w:iCs/>
                <w:sz w:val="20"/>
                <w:vertAlign w:val="subscript"/>
              </w:rPr>
              <w:t>, (j, k), h</w:t>
            </w:r>
          </w:p>
        </w:tc>
        <w:tc>
          <w:tcPr>
            <w:tcW w:w="407" w:type="pct"/>
            <w:tcBorders>
              <w:top w:val="single" w:sz="6" w:space="0" w:color="auto"/>
              <w:left w:val="single" w:sz="6" w:space="0" w:color="auto"/>
              <w:bottom w:val="single" w:sz="6" w:space="0" w:color="auto"/>
              <w:right w:val="single" w:sz="6" w:space="0" w:color="auto"/>
            </w:tcBorders>
            <w:hideMark/>
          </w:tcPr>
          <w:p w14:paraId="11E9544C" w14:textId="77777777" w:rsidR="003F580A" w:rsidRPr="00ED3498" w:rsidRDefault="003F580A" w:rsidP="000C6618">
            <w:pPr>
              <w:spacing w:after="60"/>
              <w:rPr>
                <w:iCs/>
                <w:sz w:val="20"/>
              </w:rPr>
            </w:pPr>
            <w:r w:rsidRPr="00ED3498">
              <w:rPr>
                <w:bCs/>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F539BC3" w14:textId="77777777" w:rsidR="003F580A" w:rsidRPr="00ED3498" w:rsidRDefault="003F580A" w:rsidP="000C6618">
            <w:pPr>
              <w:spacing w:after="60"/>
              <w:rPr>
                <w:bCs/>
                <w:iCs/>
                <w:sz w:val="20"/>
              </w:rPr>
            </w:pPr>
            <w:r w:rsidRPr="00ED3498">
              <w:rPr>
                <w:bCs/>
                <w:i/>
                <w:iCs/>
                <w:sz w:val="20"/>
              </w:rPr>
              <w:t>Day-Ahead Option per Market Participant per source and sink pair per hour</w:t>
            </w:r>
            <w:r w:rsidRPr="00ED3498">
              <w:rPr>
                <w:bCs/>
                <w:iCs/>
                <w:sz w:val="20"/>
              </w:rPr>
              <w:sym w:font="Symbol" w:char="F0BE"/>
            </w:r>
            <w:r w:rsidRPr="00ED3498">
              <w:rPr>
                <w:bCs/>
                <w:iCs/>
                <w:sz w:val="20"/>
              </w:rPr>
              <w:t xml:space="preserve">The number of </w:t>
            </w:r>
            <w:r w:rsidRPr="00ED3498">
              <w:rPr>
                <w:iCs/>
                <w:sz w:val="20"/>
              </w:rPr>
              <w:t xml:space="preserve">Market Participant </w:t>
            </w:r>
            <w:proofErr w:type="spellStart"/>
            <w:r w:rsidRPr="00ED3498">
              <w:rPr>
                <w:i/>
                <w:iCs/>
                <w:sz w:val="20"/>
              </w:rPr>
              <w:t>mp</w:t>
            </w:r>
            <w:r w:rsidRPr="00ED3498">
              <w:rPr>
                <w:iCs/>
                <w:sz w:val="20"/>
              </w:rPr>
              <w:t>’s</w:t>
            </w:r>
            <w:proofErr w:type="spellEnd"/>
            <w:r w:rsidRPr="00ED3498">
              <w:rPr>
                <w:iCs/>
                <w:sz w:val="20"/>
              </w:rPr>
              <w:t xml:space="preserve"> </w:t>
            </w:r>
            <w:r w:rsidRPr="00ED3498">
              <w:rPr>
                <w:bCs/>
                <w:iCs/>
                <w:sz w:val="20"/>
              </w:rPr>
              <w:t xml:space="preserve">PTP Options with the source </w:t>
            </w:r>
            <w:r w:rsidRPr="00ED3498">
              <w:rPr>
                <w:bCs/>
                <w:i/>
                <w:iCs/>
                <w:sz w:val="20"/>
              </w:rPr>
              <w:t>j</w:t>
            </w:r>
            <w:r w:rsidRPr="00ED3498">
              <w:rPr>
                <w:bCs/>
                <w:iCs/>
                <w:sz w:val="20"/>
              </w:rPr>
              <w:t xml:space="preserve"> and the sink </w:t>
            </w:r>
            <w:r w:rsidRPr="00ED3498">
              <w:rPr>
                <w:bCs/>
                <w:i/>
                <w:iCs/>
                <w:sz w:val="20"/>
              </w:rPr>
              <w:t>k</w:t>
            </w:r>
            <w:r w:rsidRPr="00ED3498">
              <w:rPr>
                <w:bCs/>
                <w:iCs/>
                <w:sz w:val="20"/>
              </w:rPr>
              <w:t xml:space="preserve"> owned in the DAM for the hour </w:t>
            </w:r>
            <w:r w:rsidRPr="00ED3498">
              <w:rPr>
                <w:bCs/>
                <w:i/>
                <w:iCs/>
                <w:sz w:val="20"/>
              </w:rPr>
              <w:t>h</w:t>
            </w:r>
            <w:r w:rsidRPr="00ED3498">
              <w:rPr>
                <w:bCs/>
                <w:iCs/>
                <w:sz w:val="20"/>
              </w:rPr>
              <w:t>,</w:t>
            </w:r>
            <w:r w:rsidRPr="00ED3498">
              <w:rPr>
                <w:iCs/>
                <w:sz w:val="20"/>
              </w:rPr>
              <w:t xml:space="preserve"> and where the Market Participant is a CRR Account Holder.</w:t>
            </w:r>
            <w:r w:rsidRPr="00ED3498">
              <w:rPr>
                <w:bCs/>
                <w:iCs/>
                <w:sz w:val="20"/>
              </w:rPr>
              <w:t xml:space="preserve"> </w:t>
            </w:r>
          </w:p>
        </w:tc>
      </w:tr>
      <w:tr w:rsidR="003F580A" w:rsidRPr="00ED3498" w14:paraId="6E330A87"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BDC482A" w14:textId="77777777" w:rsidR="003F580A" w:rsidRPr="00ED3498" w:rsidRDefault="003F580A" w:rsidP="000C6618">
            <w:pPr>
              <w:spacing w:after="60"/>
              <w:rPr>
                <w:bCs/>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DAOPT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5CC944DA" w14:textId="77777777" w:rsidR="003F580A" w:rsidRPr="00ED3498" w:rsidRDefault="003F580A" w:rsidP="000C6618">
            <w:pPr>
              <w:spacing w:after="60"/>
              <w:rPr>
                <w:bCs/>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306357FB" w14:textId="77777777" w:rsidR="003F580A" w:rsidRPr="00ED3498" w:rsidRDefault="003F580A" w:rsidP="000C6618">
            <w:pPr>
              <w:spacing w:after="60"/>
              <w:rPr>
                <w:i/>
                <w:iCs/>
                <w:sz w:val="20"/>
              </w:rPr>
            </w:pPr>
            <w:r w:rsidRPr="00ED3498">
              <w:rPr>
                <w:i/>
                <w:iCs/>
                <w:sz w:val="20"/>
              </w:rPr>
              <w:t xml:space="preserve">Securitization Default Charge </w:t>
            </w:r>
            <w:r w:rsidRPr="00ED3498">
              <w:rPr>
                <w:bCs/>
                <w:i/>
                <w:iCs/>
                <w:sz w:val="20"/>
              </w:rPr>
              <w:t>Day-Ahead Option per Market Participant</w:t>
            </w:r>
            <w:r w:rsidRPr="00ED3498">
              <w:rPr>
                <w:bCs/>
                <w:iCs/>
                <w:sz w:val="20"/>
              </w:rPr>
              <w:sym w:font="Symbol" w:char="F0BE"/>
            </w:r>
            <w:r w:rsidRPr="00ED3498">
              <w:rPr>
                <w:bCs/>
                <w:iCs/>
                <w:sz w:val="20"/>
              </w:rPr>
              <w:t xml:space="preserve">The monthly total </w:t>
            </w:r>
            <w:r w:rsidRPr="00ED3498">
              <w:rPr>
                <w:iCs/>
                <w:sz w:val="20"/>
              </w:rPr>
              <w:t xml:space="preserve">in the reference month </w:t>
            </w:r>
            <w:r w:rsidRPr="00ED3498">
              <w:rPr>
                <w:bCs/>
                <w:iCs/>
                <w:sz w:val="20"/>
              </w:rPr>
              <w:t xml:space="preserve">of </w:t>
            </w:r>
            <w:r w:rsidRPr="00ED3498">
              <w:rPr>
                <w:iCs/>
                <w:sz w:val="20"/>
              </w:rPr>
              <w:t xml:space="preserve">Market Participant </w:t>
            </w:r>
            <w:proofErr w:type="spellStart"/>
            <w:r w:rsidRPr="00ED3498">
              <w:rPr>
                <w:i/>
                <w:iCs/>
                <w:sz w:val="20"/>
              </w:rPr>
              <w:t>mp</w:t>
            </w:r>
            <w:r w:rsidRPr="00ED3498">
              <w:rPr>
                <w:iCs/>
                <w:sz w:val="20"/>
              </w:rPr>
              <w:t>’s</w:t>
            </w:r>
            <w:proofErr w:type="spellEnd"/>
            <w:r w:rsidRPr="00ED3498">
              <w:rPr>
                <w:iCs/>
                <w:sz w:val="20"/>
              </w:rPr>
              <w:t xml:space="preserve"> </w:t>
            </w:r>
            <w:r w:rsidRPr="00ED3498">
              <w:rPr>
                <w:bCs/>
                <w:iCs/>
                <w:sz w:val="20"/>
              </w:rPr>
              <w:t>PTP Options owned in the DAM</w:t>
            </w:r>
            <w:r w:rsidRPr="00ED3498">
              <w:rPr>
                <w:iCs/>
                <w:sz w:val="20"/>
              </w:rPr>
              <w:t>, counting the ownership quantity only once per source and sink pair, and where the Market Participant is a CRR Account Holder assigned to the registered Counter-Party.</w:t>
            </w:r>
          </w:p>
        </w:tc>
      </w:tr>
      <w:tr w:rsidR="003F580A" w:rsidRPr="00ED3498" w14:paraId="3DBF227A"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3727CEC9" w14:textId="77777777" w:rsidR="003F580A" w:rsidRPr="00ED3498" w:rsidRDefault="003F580A" w:rsidP="000C6618">
            <w:pPr>
              <w:spacing w:after="60"/>
              <w:rPr>
                <w:bCs/>
                <w:iCs/>
                <w:sz w:val="20"/>
              </w:rPr>
            </w:pPr>
            <w:r w:rsidRPr="00ED3498">
              <w:rPr>
                <w:bCs/>
                <w:iCs/>
                <w:sz w:val="20"/>
              </w:rPr>
              <w:t xml:space="preserve">DAOBL </w:t>
            </w:r>
            <w:r w:rsidRPr="00ED3498">
              <w:rPr>
                <w:rFonts w:eastAsia="Calibri"/>
                <w:i/>
                <w:iCs/>
                <w:sz w:val="20"/>
                <w:vertAlign w:val="subscript"/>
              </w:rPr>
              <w:t>mp</w:t>
            </w:r>
            <w:r w:rsidRPr="00ED3498">
              <w:rPr>
                <w:i/>
                <w:iCs/>
                <w:sz w:val="20"/>
                <w:vertAlign w:val="subscript"/>
              </w:rPr>
              <w:t xml:space="preserve">, </w:t>
            </w:r>
            <w:r w:rsidRPr="00ED3498">
              <w:rPr>
                <w:bCs/>
                <w:i/>
                <w:iCs/>
                <w:sz w:val="20"/>
                <w:vertAlign w:val="subscript"/>
              </w:rPr>
              <w:t>(j, k), h</w:t>
            </w:r>
          </w:p>
        </w:tc>
        <w:tc>
          <w:tcPr>
            <w:tcW w:w="407" w:type="pct"/>
            <w:tcBorders>
              <w:top w:val="single" w:sz="6" w:space="0" w:color="auto"/>
              <w:left w:val="single" w:sz="6" w:space="0" w:color="auto"/>
              <w:bottom w:val="single" w:sz="6" w:space="0" w:color="auto"/>
              <w:right w:val="single" w:sz="6" w:space="0" w:color="auto"/>
            </w:tcBorders>
            <w:hideMark/>
          </w:tcPr>
          <w:p w14:paraId="0D34C4AC" w14:textId="77777777" w:rsidR="003F580A" w:rsidRPr="00ED3498" w:rsidRDefault="003F580A" w:rsidP="000C6618">
            <w:pPr>
              <w:spacing w:after="60"/>
              <w:rPr>
                <w:iCs/>
                <w:sz w:val="20"/>
              </w:rPr>
            </w:pPr>
            <w:r w:rsidRPr="00ED3498">
              <w:rPr>
                <w:bCs/>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C69B12F" w14:textId="77777777" w:rsidR="003F580A" w:rsidRPr="00ED3498" w:rsidRDefault="003F580A" w:rsidP="000C6618">
            <w:pPr>
              <w:spacing w:after="60"/>
              <w:rPr>
                <w:iCs/>
                <w:sz w:val="20"/>
              </w:rPr>
            </w:pPr>
            <w:r w:rsidRPr="00ED3498">
              <w:rPr>
                <w:i/>
                <w:iCs/>
                <w:sz w:val="20"/>
              </w:rPr>
              <w:t xml:space="preserve">Day-Ahead Obligation per </w:t>
            </w:r>
            <w:r w:rsidRPr="00ED3498">
              <w:rPr>
                <w:bCs/>
                <w:i/>
                <w:iCs/>
                <w:sz w:val="20"/>
              </w:rPr>
              <w:t xml:space="preserve">Market Participant </w:t>
            </w:r>
            <w:r w:rsidRPr="00ED3498">
              <w:rPr>
                <w:i/>
                <w:iCs/>
                <w:sz w:val="20"/>
              </w:rPr>
              <w:t>per source and sink pair per hour</w:t>
            </w:r>
            <w:r w:rsidRPr="00ED3498">
              <w:rPr>
                <w:iCs/>
                <w:sz w:val="20"/>
              </w:rPr>
              <w:t>—</w:t>
            </w:r>
            <w:r w:rsidRPr="00ED3498">
              <w:rPr>
                <w:bCs/>
                <w:iCs/>
                <w:sz w:val="20"/>
              </w:rPr>
              <w:t xml:space="preserve">The number of </w:t>
            </w:r>
            <w:r w:rsidRPr="00ED3498">
              <w:rPr>
                <w:iCs/>
                <w:sz w:val="20"/>
              </w:rPr>
              <w:t xml:space="preserve">Market Participant </w:t>
            </w:r>
            <w:proofErr w:type="spellStart"/>
            <w:r w:rsidRPr="00ED3498">
              <w:rPr>
                <w:i/>
                <w:iCs/>
                <w:sz w:val="20"/>
              </w:rPr>
              <w:t>mp</w:t>
            </w:r>
            <w:r w:rsidRPr="00ED3498">
              <w:rPr>
                <w:iCs/>
                <w:sz w:val="20"/>
              </w:rPr>
              <w:t>’s</w:t>
            </w:r>
            <w:proofErr w:type="spellEnd"/>
            <w:r w:rsidRPr="00ED3498">
              <w:rPr>
                <w:iCs/>
                <w:sz w:val="20"/>
              </w:rPr>
              <w:t xml:space="preserve"> </w:t>
            </w:r>
            <w:r w:rsidRPr="00ED3498">
              <w:rPr>
                <w:bCs/>
                <w:iCs/>
                <w:sz w:val="20"/>
              </w:rPr>
              <w:t>PT</w:t>
            </w:r>
            <w:r w:rsidRPr="00ED3498">
              <w:rPr>
                <w:iCs/>
                <w:sz w:val="20"/>
              </w:rPr>
              <w:t>P</w:t>
            </w:r>
            <w:r w:rsidRPr="00ED3498">
              <w:rPr>
                <w:bCs/>
                <w:iCs/>
                <w:sz w:val="20"/>
              </w:rPr>
              <w:t xml:space="preserve"> Obligations with the source </w:t>
            </w:r>
            <w:r w:rsidRPr="00ED3498">
              <w:rPr>
                <w:bCs/>
                <w:i/>
                <w:iCs/>
                <w:sz w:val="20"/>
              </w:rPr>
              <w:t>j</w:t>
            </w:r>
            <w:r w:rsidRPr="00ED3498">
              <w:rPr>
                <w:bCs/>
                <w:iCs/>
                <w:sz w:val="20"/>
              </w:rPr>
              <w:t xml:space="preserve"> and the sink </w:t>
            </w:r>
            <w:r w:rsidRPr="00ED3498">
              <w:rPr>
                <w:bCs/>
                <w:i/>
                <w:iCs/>
                <w:sz w:val="20"/>
              </w:rPr>
              <w:t>k</w:t>
            </w:r>
            <w:r w:rsidRPr="00ED3498">
              <w:rPr>
                <w:bCs/>
                <w:iCs/>
                <w:sz w:val="20"/>
              </w:rPr>
              <w:t xml:space="preserve"> owned in the DAM for the hour </w:t>
            </w:r>
            <w:r w:rsidRPr="00ED3498">
              <w:rPr>
                <w:bCs/>
                <w:i/>
                <w:iCs/>
                <w:sz w:val="20"/>
              </w:rPr>
              <w:t>h</w:t>
            </w:r>
            <w:r w:rsidRPr="00ED3498">
              <w:rPr>
                <w:iCs/>
                <w:sz w:val="20"/>
              </w:rPr>
              <w:t xml:space="preserve">, and where the Market Participant is a CRR Account Holder.  </w:t>
            </w:r>
          </w:p>
        </w:tc>
      </w:tr>
      <w:tr w:rsidR="003F580A" w:rsidRPr="00ED3498" w14:paraId="4353E6B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689A8A52" w14:textId="77777777" w:rsidR="003F580A" w:rsidRPr="00ED3498" w:rsidRDefault="003F580A" w:rsidP="000C6618">
            <w:pPr>
              <w:spacing w:after="60"/>
              <w:rPr>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DAOBL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0BB94A21"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5E5D7B66" w14:textId="77777777" w:rsidR="003F580A" w:rsidRPr="00ED3498" w:rsidRDefault="003F580A" w:rsidP="000C6618">
            <w:pPr>
              <w:spacing w:after="60"/>
              <w:rPr>
                <w:i/>
                <w:iCs/>
                <w:sz w:val="20"/>
              </w:rPr>
            </w:pPr>
            <w:r w:rsidRPr="00ED3498">
              <w:rPr>
                <w:i/>
                <w:iCs/>
                <w:sz w:val="20"/>
              </w:rPr>
              <w:t xml:space="preserve">Securitization Default Charge </w:t>
            </w:r>
            <w:r w:rsidRPr="00ED3498">
              <w:rPr>
                <w:bCs/>
                <w:i/>
                <w:iCs/>
                <w:sz w:val="20"/>
              </w:rPr>
              <w:t>Day-Ahead Obligation per Market Participant</w:t>
            </w:r>
            <w:r w:rsidRPr="00ED3498">
              <w:rPr>
                <w:bCs/>
                <w:iCs/>
                <w:sz w:val="20"/>
              </w:rPr>
              <w:sym w:font="Symbol" w:char="F0BE"/>
            </w:r>
            <w:r w:rsidRPr="00ED3498">
              <w:rPr>
                <w:bCs/>
                <w:iCs/>
                <w:sz w:val="20"/>
              </w:rPr>
              <w:t xml:space="preserve">The monthly total </w:t>
            </w:r>
            <w:r w:rsidRPr="00ED3498">
              <w:rPr>
                <w:iCs/>
                <w:sz w:val="20"/>
              </w:rPr>
              <w:t xml:space="preserve">in the reference month </w:t>
            </w:r>
            <w:r w:rsidRPr="00ED3498">
              <w:rPr>
                <w:bCs/>
                <w:iCs/>
                <w:sz w:val="20"/>
              </w:rPr>
              <w:t xml:space="preserve">of </w:t>
            </w:r>
            <w:r w:rsidRPr="00ED3498">
              <w:rPr>
                <w:iCs/>
                <w:sz w:val="20"/>
              </w:rPr>
              <w:t xml:space="preserve">Market Participant </w:t>
            </w:r>
            <w:proofErr w:type="spellStart"/>
            <w:r w:rsidRPr="00ED3498">
              <w:rPr>
                <w:i/>
                <w:iCs/>
                <w:sz w:val="20"/>
              </w:rPr>
              <w:t>mp</w:t>
            </w:r>
            <w:r w:rsidRPr="00ED3498">
              <w:rPr>
                <w:iCs/>
                <w:sz w:val="20"/>
              </w:rPr>
              <w:t>’s</w:t>
            </w:r>
            <w:proofErr w:type="spellEnd"/>
            <w:r w:rsidRPr="00ED3498">
              <w:rPr>
                <w:iCs/>
                <w:sz w:val="20"/>
              </w:rPr>
              <w:t xml:space="preserve"> </w:t>
            </w:r>
            <w:r w:rsidRPr="00ED3498">
              <w:rPr>
                <w:bCs/>
                <w:iCs/>
                <w:sz w:val="20"/>
              </w:rPr>
              <w:t>PTP Obligations owned in the DAM</w:t>
            </w:r>
            <w:r w:rsidRPr="00ED3498">
              <w:rPr>
                <w:iCs/>
                <w:sz w:val="20"/>
              </w:rPr>
              <w:t>, counting the ownership quantity only once per source and sink pair, where the Market Participant is a CRR Account Holder assigned to the registered Counter-Party.</w:t>
            </w:r>
          </w:p>
        </w:tc>
      </w:tr>
      <w:tr w:rsidR="003F580A" w:rsidRPr="00ED3498" w14:paraId="2AFFAE3D"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04C72BEA" w14:textId="77777777" w:rsidR="003F580A" w:rsidRPr="00ED3498" w:rsidRDefault="003F580A" w:rsidP="000C6618">
            <w:pPr>
              <w:spacing w:after="60"/>
              <w:rPr>
                <w:rFonts w:eastAsia="Calibri"/>
                <w:iCs/>
                <w:sz w:val="20"/>
              </w:rPr>
            </w:pPr>
            <w:r w:rsidRPr="00ED3498">
              <w:rPr>
                <w:iCs/>
                <w:sz w:val="20"/>
              </w:rPr>
              <w:lastRenderedPageBreak/>
              <w:t xml:space="preserve">OPTS </w:t>
            </w:r>
            <w:r w:rsidRPr="00ED3498">
              <w:rPr>
                <w:rFonts w:eastAsia="Calibri"/>
                <w:i/>
                <w:iCs/>
                <w:sz w:val="20"/>
                <w:vertAlign w:val="subscript"/>
              </w:rPr>
              <w:t>mp</w:t>
            </w:r>
            <w:r w:rsidRPr="00ED3498">
              <w:rPr>
                <w:i/>
                <w:iCs/>
                <w:sz w:val="20"/>
                <w:vertAlign w:val="subscript"/>
              </w:rPr>
              <w:t>, (j, k), a, h</w:t>
            </w:r>
          </w:p>
        </w:tc>
        <w:tc>
          <w:tcPr>
            <w:tcW w:w="407" w:type="pct"/>
            <w:tcBorders>
              <w:top w:val="single" w:sz="6" w:space="0" w:color="auto"/>
              <w:left w:val="single" w:sz="6" w:space="0" w:color="auto"/>
              <w:bottom w:val="single" w:sz="6" w:space="0" w:color="auto"/>
              <w:right w:val="single" w:sz="6" w:space="0" w:color="auto"/>
            </w:tcBorders>
            <w:hideMark/>
          </w:tcPr>
          <w:p w14:paraId="67EC6847"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73695570" w14:textId="77777777" w:rsidR="003F580A" w:rsidRPr="00ED3498" w:rsidRDefault="003F580A" w:rsidP="000C6618">
            <w:pPr>
              <w:spacing w:after="60"/>
              <w:rPr>
                <w:bCs/>
                <w:i/>
                <w:iCs/>
                <w:sz w:val="20"/>
              </w:rPr>
            </w:pPr>
            <w:r w:rsidRPr="00ED3498">
              <w:rPr>
                <w:i/>
                <w:iCs/>
                <w:sz w:val="20"/>
              </w:rPr>
              <w:t xml:space="preserve">PTP Option Sale </w:t>
            </w:r>
            <w:r w:rsidRPr="00ED3498">
              <w:rPr>
                <w:bCs/>
                <w:i/>
                <w:iCs/>
                <w:sz w:val="20"/>
              </w:rPr>
              <w:t xml:space="preserve">per Market Participant </w:t>
            </w:r>
            <w:r w:rsidRPr="00ED3498">
              <w:rPr>
                <w:i/>
                <w:iCs/>
                <w:sz w:val="20"/>
              </w:rPr>
              <w:t>per source and sink pair per CRR Auction per hour</w:t>
            </w:r>
            <w:r w:rsidRPr="00ED3498">
              <w:rPr>
                <w:iCs/>
                <w:sz w:val="20"/>
              </w:rPr>
              <w:t xml:space="preserve">—The MW quantity that represents the total of Market Participant </w:t>
            </w:r>
            <w:proofErr w:type="spellStart"/>
            <w:r w:rsidRPr="00ED3498">
              <w:rPr>
                <w:i/>
                <w:iCs/>
                <w:sz w:val="20"/>
              </w:rPr>
              <w:t>mp</w:t>
            </w:r>
            <w:r w:rsidRPr="00ED3498">
              <w:rPr>
                <w:iCs/>
                <w:sz w:val="20"/>
              </w:rPr>
              <w:t>’s</w:t>
            </w:r>
            <w:proofErr w:type="spellEnd"/>
            <w:r w:rsidRPr="00ED3498">
              <w:rPr>
                <w:iCs/>
                <w:sz w:val="20"/>
              </w:rPr>
              <w:t xml:space="preserve"> PTP Option offers with the source </w:t>
            </w:r>
            <w:r w:rsidRPr="00ED3498">
              <w:rPr>
                <w:i/>
                <w:iCs/>
                <w:sz w:val="20"/>
              </w:rPr>
              <w:t>j</w:t>
            </w:r>
            <w:r w:rsidRPr="00ED3498">
              <w:rPr>
                <w:iCs/>
                <w:sz w:val="20"/>
              </w:rPr>
              <w:t xml:space="preserve"> and the sink </w:t>
            </w:r>
            <w:r w:rsidRPr="00ED3498">
              <w:rPr>
                <w:i/>
                <w:iCs/>
                <w:sz w:val="20"/>
              </w:rPr>
              <w:t>k</w:t>
            </w:r>
            <w:r w:rsidRPr="00ED3498">
              <w:rPr>
                <w:iCs/>
                <w:sz w:val="20"/>
              </w:rPr>
              <w:t xml:space="preserve"> awarded in CRR Auction </w:t>
            </w:r>
            <w:r w:rsidRPr="00ED3498">
              <w:rPr>
                <w:i/>
                <w:iCs/>
                <w:sz w:val="20"/>
              </w:rPr>
              <w:t>a</w:t>
            </w:r>
            <w:r w:rsidRPr="00ED3498">
              <w:rPr>
                <w:iCs/>
                <w:sz w:val="20"/>
              </w:rPr>
              <w:t xml:space="preserve">, for the hour </w:t>
            </w:r>
            <w:r w:rsidRPr="00ED3498">
              <w:rPr>
                <w:i/>
                <w:iCs/>
                <w:sz w:val="20"/>
              </w:rPr>
              <w:t>h</w:t>
            </w:r>
            <w:r w:rsidRPr="00ED3498">
              <w:rPr>
                <w:iCs/>
                <w:sz w:val="20"/>
              </w:rPr>
              <w:t>, where the Market Participant is a CRR Account Holder.</w:t>
            </w:r>
          </w:p>
        </w:tc>
      </w:tr>
      <w:tr w:rsidR="003F580A" w:rsidRPr="00ED3498" w14:paraId="2AA5D97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DCC1A13" w14:textId="77777777" w:rsidR="003F580A" w:rsidRPr="00ED3498" w:rsidRDefault="003F580A" w:rsidP="000C6618">
            <w:pPr>
              <w:spacing w:after="60"/>
              <w:rPr>
                <w:rFonts w:eastAsia="Calibri"/>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OPTS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0A11226C"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4E6242B4" w14:textId="77777777" w:rsidR="003F580A" w:rsidRPr="00ED3498" w:rsidRDefault="003F580A" w:rsidP="000C6618">
            <w:pPr>
              <w:spacing w:after="60"/>
              <w:rPr>
                <w:bCs/>
                <w:i/>
                <w:iCs/>
                <w:sz w:val="20"/>
              </w:rPr>
            </w:pPr>
            <w:r w:rsidRPr="00ED3498">
              <w:rPr>
                <w:i/>
                <w:iCs/>
                <w:sz w:val="20"/>
              </w:rPr>
              <w:t xml:space="preserve">Securitization Default Charge PTP Option Sale </w:t>
            </w:r>
            <w:r w:rsidRPr="00ED3498">
              <w:rPr>
                <w:bCs/>
                <w:i/>
                <w:iCs/>
                <w:sz w:val="20"/>
              </w:rPr>
              <w:t>per Market Participant</w:t>
            </w:r>
            <w:r w:rsidRPr="00ED3498">
              <w:rPr>
                <w:iCs/>
                <w:sz w:val="20"/>
              </w:rPr>
              <w:t xml:space="preserve">—The MW quantity that represents the monthly total in the reference month of Market Participant </w:t>
            </w:r>
            <w:proofErr w:type="spellStart"/>
            <w:r w:rsidRPr="00ED3498">
              <w:rPr>
                <w:i/>
                <w:iCs/>
                <w:sz w:val="20"/>
              </w:rPr>
              <w:t>mp</w:t>
            </w:r>
            <w:r w:rsidRPr="00ED3498">
              <w:rPr>
                <w:iCs/>
                <w:sz w:val="20"/>
              </w:rPr>
              <w:t>’s</w:t>
            </w:r>
            <w:proofErr w:type="spellEnd"/>
            <w:r w:rsidRPr="00ED3498">
              <w:rPr>
                <w:iCs/>
                <w:sz w:val="20"/>
              </w:rPr>
              <w:t xml:space="preserve"> PTP Option offers awarded in CRR Auctions, counting the awarded quantity only once per source and sink pair, where the Market Participant is a CRR Account Holder assigned to the registered Counter-Party.</w:t>
            </w:r>
          </w:p>
        </w:tc>
      </w:tr>
      <w:tr w:rsidR="003F580A" w:rsidRPr="00ED3498" w14:paraId="2C8CBA03"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3793AD07" w14:textId="77777777" w:rsidR="003F580A" w:rsidRPr="00ED3498" w:rsidRDefault="003F580A" w:rsidP="000C6618">
            <w:pPr>
              <w:spacing w:after="60"/>
              <w:rPr>
                <w:rFonts w:eastAsia="Calibri"/>
                <w:iCs/>
                <w:sz w:val="20"/>
              </w:rPr>
            </w:pPr>
            <w:r w:rsidRPr="00ED3498">
              <w:rPr>
                <w:iCs/>
                <w:sz w:val="20"/>
              </w:rPr>
              <w:t xml:space="preserve">OBLS </w:t>
            </w:r>
            <w:r w:rsidRPr="00ED3498">
              <w:rPr>
                <w:rFonts w:eastAsia="Calibri"/>
                <w:i/>
                <w:iCs/>
                <w:sz w:val="20"/>
                <w:vertAlign w:val="subscript"/>
              </w:rPr>
              <w:t>mp</w:t>
            </w:r>
            <w:r w:rsidRPr="00ED3498">
              <w:rPr>
                <w:i/>
                <w:iCs/>
                <w:sz w:val="20"/>
                <w:vertAlign w:val="subscript"/>
              </w:rPr>
              <w:t>, (j, k), a, h</w:t>
            </w:r>
          </w:p>
        </w:tc>
        <w:tc>
          <w:tcPr>
            <w:tcW w:w="407" w:type="pct"/>
            <w:tcBorders>
              <w:top w:val="single" w:sz="6" w:space="0" w:color="auto"/>
              <w:left w:val="single" w:sz="6" w:space="0" w:color="auto"/>
              <w:bottom w:val="single" w:sz="6" w:space="0" w:color="auto"/>
              <w:right w:val="single" w:sz="6" w:space="0" w:color="auto"/>
            </w:tcBorders>
            <w:hideMark/>
          </w:tcPr>
          <w:p w14:paraId="3761AB61"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38F866CE" w14:textId="77777777" w:rsidR="003F580A" w:rsidRPr="00ED3498" w:rsidRDefault="003F580A" w:rsidP="000C6618">
            <w:pPr>
              <w:spacing w:after="60"/>
              <w:rPr>
                <w:bCs/>
                <w:i/>
                <w:iCs/>
                <w:sz w:val="20"/>
              </w:rPr>
            </w:pPr>
            <w:r w:rsidRPr="00ED3498">
              <w:rPr>
                <w:i/>
                <w:iCs/>
                <w:sz w:val="20"/>
              </w:rPr>
              <w:t xml:space="preserve">PTP Obligation Sale per </w:t>
            </w:r>
            <w:r w:rsidRPr="00ED3498">
              <w:rPr>
                <w:bCs/>
                <w:i/>
                <w:iCs/>
                <w:sz w:val="20"/>
              </w:rPr>
              <w:t xml:space="preserve">Market Participant </w:t>
            </w:r>
            <w:r w:rsidRPr="00ED3498">
              <w:rPr>
                <w:i/>
                <w:iCs/>
                <w:sz w:val="20"/>
              </w:rPr>
              <w:t>per source and sink pair per CRR Auction per hour</w:t>
            </w:r>
            <w:r w:rsidRPr="00ED3498">
              <w:rPr>
                <w:iCs/>
                <w:sz w:val="20"/>
              </w:rPr>
              <w:t xml:space="preserve">—The MW quantity that represents the total of Market Participant </w:t>
            </w:r>
            <w:proofErr w:type="spellStart"/>
            <w:r w:rsidRPr="00ED3498">
              <w:rPr>
                <w:i/>
                <w:iCs/>
                <w:sz w:val="20"/>
              </w:rPr>
              <w:t>mp</w:t>
            </w:r>
            <w:r w:rsidRPr="00ED3498">
              <w:rPr>
                <w:iCs/>
                <w:sz w:val="20"/>
              </w:rPr>
              <w:t>’s</w:t>
            </w:r>
            <w:proofErr w:type="spellEnd"/>
            <w:r w:rsidRPr="00ED3498">
              <w:rPr>
                <w:iCs/>
                <w:sz w:val="20"/>
              </w:rPr>
              <w:t xml:space="preserve"> PTP Obligation offers with the source </w:t>
            </w:r>
            <w:r w:rsidRPr="00ED3498">
              <w:rPr>
                <w:i/>
                <w:iCs/>
                <w:sz w:val="20"/>
              </w:rPr>
              <w:t>j</w:t>
            </w:r>
            <w:r w:rsidRPr="00ED3498">
              <w:rPr>
                <w:iCs/>
                <w:sz w:val="20"/>
              </w:rPr>
              <w:t xml:space="preserve"> and the sink </w:t>
            </w:r>
            <w:r w:rsidRPr="00ED3498">
              <w:rPr>
                <w:i/>
                <w:iCs/>
                <w:sz w:val="20"/>
              </w:rPr>
              <w:t>k</w:t>
            </w:r>
            <w:r w:rsidRPr="00ED3498">
              <w:rPr>
                <w:iCs/>
                <w:sz w:val="20"/>
              </w:rPr>
              <w:t xml:space="preserve"> awarded in CRR Auction </w:t>
            </w:r>
            <w:r w:rsidRPr="00ED3498">
              <w:rPr>
                <w:i/>
                <w:iCs/>
                <w:sz w:val="20"/>
              </w:rPr>
              <w:t>a</w:t>
            </w:r>
            <w:r w:rsidRPr="00ED3498">
              <w:rPr>
                <w:iCs/>
                <w:sz w:val="20"/>
              </w:rPr>
              <w:t xml:space="preserve">, for the hour </w:t>
            </w:r>
            <w:r w:rsidRPr="00ED3498">
              <w:rPr>
                <w:i/>
                <w:iCs/>
                <w:sz w:val="20"/>
              </w:rPr>
              <w:t>h</w:t>
            </w:r>
            <w:r w:rsidRPr="00ED3498">
              <w:rPr>
                <w:iCs/>
                <w:sz w:val="20"/>
              </w:rPr>
              <w:t>, where the Market Participant is a CRR Account Holder.</w:t>
            </w:r>
          </w:p>
        </w:tc>
      </w:tr>
      <w:tr w:rsidR="003F580A" w:rsidRPr="00ED3498" w14:paraId="2723EF94"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DC8E261" w14:textId="77777777" w:rsidR="003F580A" w:rsidRPr="00ED3498" w:rsidRDefault="003F580A" w:rsidP="000C6618">
            <w:pPr>
              <w:spacing w:after="60"/>
              <w:rPr>
                <w:rFonts w:eastAsia="Calibri"/>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OBLS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0EA15C30"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5F5A52B6" w14:textId="77777777" w:rsidR="003F580A" w:rsidRPr="00ED3498" w:rsidRDefault="003F580A" w:rsidP="000C6618">
            <w:pPr>
              <w:spacing w:after="60"/>
              <w:rPr>
                <w:bCs/>
                <w:i/>
                <w:iCs/>
                <w:sz w:val="20"/>
              </w:rPr>
            </w:pPr>
            <w:r w:rsidRPr="00ED3498">
              <w:rPr>
                <w:i/>
                <w:iCs/>
                <w:sz w:val="20"/>
              </w:rPr>
              <w:t xml:space="preserve">Securitization Default Charge PTP Obligation Sale </w:t>
            </w:r>
            <w:r w:rsidRPr="00ED3498">
              <w:rPr>
                <w:bCs/>
                <w:i/>
                <w:iCs/>
                <w:sz w:val="20"/>
              </w:rPr>
              <w:t>per Market Participant</w:t>
            </w:r>
            <w:r w:rsidRPr="00ED3498">
              <w:rPr>
                <w:iCs/>
                <w:sz w:val="20"/>
              </w:rPr>
              <w:t xml:space="preserve">—The MW quantity that represents the monthly total in the reference month of Market Participant </w:t>
            </w:r>
            <w:proofErr w:type="spellStart"/>
            <w:r w:rsidRPr="00ED3498">
              <w:rPr>
                <w:i/>
                <w:iCs/>
                <w:sz w:val="20"/>
              </w:rPr>
              <w:t>mp</w:t>
            </w:r>
            <w:r w:rsidRPr="00ED3498">
              <w:rPr>
                <w:iCs/>
                <w:sz w:val="20"/>
              </w:rPr>
              <w:t>’s</w:t>
            </w:r>
            <w:proofErr w:type="spellEnd"/>
            <w:r w:rsidRPr="00ED3498">
              <w:rPr>
                <w:iCs/>
                <w:sz w:val="20"/>
              </w:rPr>
              <w:t xml:space="preserve"> PTP Obligation offers awarded in CRR Auctions, counting the quantity only once per source and sink pair, where the Market Participant is a CRR Account Holder assigned to the registered Counter-Party.</w:t>
            </w:r>
          </w:p>
        </w:tc>
      </w:tr>
      <w:tr w:rsidR="003F580A" w:rsidRPr="00ED3498" w14:paraId="2A06FB65"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8AAC3FA" w14:textId="77777777" w:rsidR="003F580A" w:rsidRPr="00ED3498" w:rsidRDefault="003F580A" w:rsidP="000C6618">
            <w:pPr>
              <w:spacing w:after="60"/>
              <w:rPr>
                <w:rFonts w:eastAsia="Calibri"/>
                <w:iCs/>
                <w:sz w:val="20"/>
              </w:rPr>
            </w:pPr>
            <w:r w:rsidRPr="00ED3498">
              <w:rPr>
                <w:iCs/>
                <w:sz w:val="20"/>
              </w:rPr>
              <w:t xml:space="preserve">OPTP </w:t>
            </w:r>
            <w:r w:rsidRPr="00ED3498">
              <w:rPr>
                <w:rFonts w:eastAsia="Calibri"/>
                <w:i/>
                <w:iCs/>
                <w:sz w:val="20"/>
                <w:vertAlign w:val="subscript"/>
              </w:rPr>
              <w:t>mp</w:t>
            </w:r>
            <w:r w:rsidRPr="00ED3498">
              <w:rPr>
                <w:i/>
                <w:iCs/>
                <w:sz w:val="20"/>
                <w:vertAlign w:val="subscript"/>
              </w:rPr>
              <w:t>, (j, k), a, h</w:t>
            </w:r>
          </w:p>
        </w:tc>
        <w:tc>
          <w:tcPr>
            <w:tcW w:w="407" w:type="pct"/>
            <w:tcBorders>
              <w:top w:val="single" w:sz="6" w:space="0" w:color="auto"/>
              <w:left w:val="single" w:sz="6" w:space="0" w:color="auto"/>
              <w:bottom w:val="single" w:sz="6" w:space="0" w:color="auto"/>
              <w:right w:val="single" w:sz="6" w:space="0" w:color="auto"/>
            </w:tcBorders>
            <w:hideMark/>
          </w:tcPr>
          <w:p w14:paraId="3A2D250A"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70F2B497" w14:textId="77777777" w:rsidR="003F580A" w:rsidRPr="00ED3498" w:rsidRDefault="003F580A" w:rsidP="000C6618">
            <w:pPr>
              <w:spacing w:after="60"/>
              <w:rPr>
                <w:bCs/>
                <w:i/>
                <w:iCs/>
                <w:sz w:val="20"/>
              </w:rPr>
            </w:pPr>
            <w:r w:rsidRPr="00ED3498">
              <w:rPr>
                <w:i/>
                <w:iCs/>
                <w:sz w:val="20"/>
              </w:rPr>
              <w:t xml:space="preserve">PTP Option Purchase per </w:t>
            </w:r>
            <w:r w:rsidRPr="00ED3498">
              <w:rPr>
                <w:bCs/>
                <w:i/>
                <w:iCs/>
                <w:sz w:val="20"/>
              </w:rPr>
              <w:t xml:space="preserve">Market Participant </w:t>
            </w:r>
            <w:r w:rsidRPr="00ED3498">
              <w:rPr>
                <w:i/>
                <w:iCs/>
                <w:sz w:val="20"/>
              </w:rPr>
              <w:t>per source and sink pair per CRR Auction per hour</w:t>
            </w:r>
            <w:r w:rsidRPr="00ED3498">
              <w:rPr>
                <w:iCs/>
                <w:sz w:val="20"/>
              </w:rPr>
              <w:t xml:space="preserve">—The MW quantity that represents the total of Market Participant </w:t>
            </w:r>
            <w:proofErr w:type="spellStart"/>
            <w:r w:rsidRPr="00ED3498">
              <w:rPr>
                <w:i/>
                <w:iCs/>
                <w:sz w:val="20"/>
              </w:rPr>
              <w:t>mp</w:t>
            </w:r>
            <w:r w:rsidRPr="00ED3498">
              <w:rPr>
                <w:iCs/>
                <w:sz w:val="20"/>
              </w:rPr>
              <w:t>’s</w:t>
            </w:r>
            <w:proofErr w:type="spellEnd"/>
            <w:r w:rsidRPr="00ED3498">
              <w:rPr>
                <w:iCs/>
                <w:sz w:val="20"/>
              </w:rPr>
              <w:t xml:space="preserve"> PTP Option bids with the source </w:t>
            </w:r>
            <w:r w:rsidRPr="00ED3498">
              <w:rPr>
                <w:i/>
                <w:iCs/>
                <w:sz w:val="20"/>
              </w:rPr>
              <w:t>j</w:t>
            </w:r>
            <w:r w:rsidRPr="00ED3498">
              <w:rPr>
                <w:iCs/>
                <w:sz w:val="20"/>
              </w:rPr>
              <w:t xml:space="preserve"> and the sink </w:t>
            </w:r>
            <w:r w:rsidRPr="00ED3498">
              <w:rPr>
                <w:i/>
                <w:iCs/>
                <w:sz w:val="20"/>
              </w:rPr>
              <w:t>k</w:t>
            </w:r>
            <w:r w:rsidRPr="00ED3498">
              <w:rPr>
                <w:iCs/>
                <w:sz w:val="20"/>
              </w:rPr>
              <w:t xml:space="preserve"> awarded in CRR Auction </w:t>
            </w:r>
            <w:r w:rsidRPr="00ED3498">
              <w:rPr>
                <w:i/>
                <w:iCs/>
                <w:sz w:val="20"/>
              </w:rPr>
              <w:t>a</w:t>
            </w:r>
            <w:r w:rsidRPr="00ED3498">
              <w:rPr>
                <w:iCs/>
                <w:sz w:val="20"/>
              </w:rPr>
              <w:t xml:space="preserve">, for the hour </w:t>
            </w:r>
            <w:r w:rsidRPr="00ED3498">
              <w:rPr>
                <w:i/>
                <w:iCs/>
                <w:sz w:val="20"/>
              </w:rPr>
              <w:t>h</w:t>
            </w:r>
            <w:r w:rsidRPr="00ED3498">
              <w:rPr>
                <w:iCs/>
                <w:sz w:val="20"/>
              </w:rPr>
              <w:t>, where the Market Participant is a CRR Account Holder.</w:t>
            </w:r>
          </w:p>
        </w:tc>
      </w:tr>
      <w:tr w:rsidR="003F580A" w:rsidRPr="00ED3498" w14:paraId="040492C1"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68E712F4" w14:textId="77777777" w:rsidR="003F580A" w:rsidRPr="00ED3498" w:rsidRDefault="003F580A" w:rsidP="000C6618">
            <w:pPr>
              <w:spacing w:after="60"/>
              <w:rPr>
                <w:rFonts w:eastAsia="Calibri"/>
                <w:iCs/>
                <w:sz w:val="20"/>
              </w:rPr>
            </w:pPr>
            <w:r w:rsidRPr="00ED3498">
              <w:rPr>
                <w:rFonts w:eastAsia="Calibri"/>
                <w:iCs/>
                <w:sz w:val="20"/>
              </w:rPr>
              <w:t>S</w:t>
            </w:r>
            <w:r w:rsidRPr="00ED3498">
              <w:rPr>
                <w:rFonts w:eastAsia="Calibri"/>
                <w:bCs/>
                <w:iCs/>
                <w:sz w:val="20"/>
              </w:rPr>
              <w:t>DC</w:t>
            </w:r>
            <w:r w:rsidRPr="00ED3498">
              <w:rPr>
                <w:rFonts w:eastAsia="Calibri"/>
                <w:iCs/>
                <w:sz w:val="20"/>
              </w:rPr>
              <w:t xml:space="preserve">OPTP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03CEFC80"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36B97685" w14:textId="77777777" w:rsidR="003F580A" w:rsidRPr="00ED3498" w:rsidRDefault="003F580A" w:rsidP="000C6618">
            <w:pPr>
              <w:spacing w:after="60"/>
              <w:rPr>
                <w:bCs/>
                <w:i/>
                <w:iCs/>
                <w:sz w:val="20"/>
              </w:rPr>
            </w:pPr>
            <w:r w:rsidRPr="00ED3498">
              <w:rPr>
                <w:i/>
                <w:iCs/>
                <w:sz w:val="20"/>
              </w:rPr>
              <w:t xml:space="preserve">Securitization Default Charge PTP Option Purchase per </w:t>
            </w:r>
            <w:r w:rsidRPr="00ED3498">
              <w:rPr>
                <w:bCs/>
                <w:i/>
                <w:iCs/>
                <w:sz w:val="20"/>
              </w:rPr>
              <w:t>Market Participant</w:t>
            </w:r>
            <w:r w:rsidRPr="00ED3498">
              <w:rPr>
                <w:iCs/>
                <w:sz w:val="20"/>
              </w:rPr>
              <w:t xml:space="preserve">—The MW quantity that represents the monthly total in the reference month of Market Participant </w:t>
            </w:r>
            <w:proofErr w:type="spellStart"/>
            <w:r w:rsidRPr="00ED3498">
              <w:rPr>
                <w:i/>
                <w:iCs/>
                <w:sz w:val="20"/>
              </w:rPr>
              <w:t>mp</w:t>
            </w:r>
            <w:r w:rsidRPr="00ED3498">
              <w:rPr>
                <w:iCs/>
                <w:sz w:val="20"/>
              </w:rPr>
              <w:t>’s</w:t>
            </w:r>
            <w:proofErr w:type="spellEnd"/>
            <w:r w:rsidRPr="00ED3498">
              <w:rPr>
                <w:iCs/>
                <w:sz w:val="20"/>
              </w:rPr>
              <w:t xml:space="preserve"> PTP Option bids awarded in CRR Auctions, counting the quantity only once per source and sink pair, where the Market Participant is a CRR Account Holder assigned to the registered Counter-Party.</w:t>
            </w:r>
          </w:p>
        </w:tc>
      </w:tr>
      <w:tr w:rsidR="003F580A" w:rsidRPr="00ED3498" w14:paraId="2B4028C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3E7E9FB3" w14:textId="77777777" w:rsidR="003F580A" w:rsidRPr="00ED3498" w:rsidRDefault="003F580A" w:rsidP="000C6618">
            <w:pPr>
              <w:spacing w:after="60"/>
              <w:rPr>
                <w:rFonts w:eastAsia="Calibri"/>
                <w:iCs/>
                <w:sz w:val="20"/>
              </w:rPr>
            </w:pPr>
            <w:r w:rsidRPr="00ED3498">
              <w:rPr>
                <w:iCs/>
                <w:sz w:val="20"/>
              </w:rPr>
              <w:t xml:space="preserve">OBLP </w:t>
            </w:r>
            <w:r w:rsidRPr="00ED3498">
              <w:rPr>
                <w:rFonts w:eastAsia="Calibri"/>
                <w:i/>
                <w:iCs/>
                <w:sz w:val="20"/>
                <w:vertAlign w:val="subscript"/>
              </w:rPr>
              <w:t>mp</w:t>
            </w:r>
            <w:r w:rsidRPr="00ED3498">
              <w:rPr>
                <w:i/>
                <w:iCs/>
                <w:sz w:val="20"/>
                <w:vertAlign w:val="subscript"/>
              </w:rPr>
              <w:t>, (j, k), a, h</w:t>
            </w:r>
          </w:p>
        </w:tc>
        <w:tc>
          <w:tcPr>
            <w:tcW w:w="407" w:type="pct"/>
            <w:tcBorders>
              <w:top w:val="single" w:sz="6" w:space="0" w:color="auto"/>
              <w:left w:val="single" w:sz="6" w:space="0" w:color="auto"/>
              <w:bottom w:val="single" w:sz="6" w:space="0" w:color="auto"/>
              <w:right w:val="single" w:sz="6" w:space="0" w:color="auto"/>
            </w:tcBorders>
            <w:hideMark/>
          </w:tcPr>
          <w:p w14:paraId="1AC1689A" w14:textId="77777777" w:rsidR="003F580A" w:rsidRPr="00ED3498" w:rsidRDefault="003F580A" w:rsidP="000C6618">
            <w:pPr>
              <w:spacing w:after="60"/>
              <w:rPr>
                <w:iCs/>
                <w:sz w:val="20"/>
              </w:rPr>
            </w:pPr>
            <w:r w:rsidRPr="00ED3498">
              <w:rPr>
                <w:iCs/>
                <w:sz w:val="20"/>
              </w:rPr>
              <w:t>MW</w:t>
            </w:r>
          </w:p>
        </w:tc>
        <w:tc>
          <w:tcPr>
            <w:tcW w:w="3567" w:type="pct"/>
            <w:tcBorders>
              <w:top w:val="single" w:sz="6" w:space="0" w:color="auto"/>
              <w:left w:val="single" w:sz="6" w:space="0" w:color="auto"/>
              <w:bottom w:val="single" w:sz="6" w:space="0" w:color="auto"/>
              <w:right w:val="single" w:sz="4" w:space="0" w:color="auto"/>
            </w:tcBorders>
            <w:hideMark/>
          </w:tcPr>
          <w:p w14:paraId="08D695DE" w14:textId="77777777" w:rsidR="003F580A" w:rsidRPr="00ED3498" w:rsidRDefault="003F580A" w:rsidP="000C6618">
            <w:pPr>
              <w:spacing w:after="60"/>
              <w:rPr>
                <w:bCs/>
                <w:i/>
                <w:iCs/>
                <w:sz w:val="20"/>
              </w:rPr>
            </w:pPr>
            <w:r w:rsidRPr="00ED3498">
              <w:rPr>
                <w:i/>
                <w:iCs/>
                <w:sz w:val="20"/>
              </w:rPr>
              <w:t xml:space="preserve">PTP Obligation Purchase per </w:t>
            </w:r>
            <w:r w:rsidRPr="00ED3498">
              <w:rPr>
                <w:bCs/>
                <w:i/>
                <w:iCs/>
                <w:sz w:val="20"/>
              </w:rPr>
              <w:t xml:space="preserve">Market Participant </w:t>
            </w:r>
            <w:r w:rsidRPr="00ED3498">
              <w:rPr>
                <w:i/>
                <w:iCs/>
                <w:sz w:val="20"/>
              </w:rPr>
              <w:t>per source and sink pair per CRR Auction per hour</w:t>
            </w:r>
            <w:r w:rsidRPr="00ED3498">
              <w:rPr>
                <w:iCs/>
                <w:sz w:val="20"/>
              </w:rPr>
              <w:t xml:space="preserve">—The MW quantity that represents the total of Market Participant </w:t>
            </w:r>
            <w:proofErr w:type="spellStart"/>
            <w:r w:rsidRPr="00ED3498">
              <w:rPr>
                <w:i/>
                <w:iCs/>
                <w:sz w:val="20"/>
              </w:rPr>
              <w:t>mp</w:t>
            </w:r>
            <w:r w:rsidRPr="00ED3498">
              <w:rPr>
                <w:iCs/>
                <w:sz w:val="20"/>
              </w:rPr>
              <w:t>’s</w:t>
            </w:r>
            <w:proofErr w:type="spellEnd"/>
            <w:r w:rsidRPr="00ED3498">
              <w:rPr>
                <w:iCs/>
                <w:sz w:val="20"/>
              </w:rPr>
              <w:t xml:space="preserve"> PTP Obligation bids with the source </w:t>
            </w:r>
            <w:r w:rsidRPr="00ED3498">
              <w:rPr>
                <w:i/>
                <w:iCs/>
                <w:sz w:val="20"/>
              </w:rPr>
              <w:t>j</w:t>
            </w:r>
            <w:r w:rsidRPr="00ED3498">
              <w:rPr>
                <w:iCs/>
                <w:sz w:val="20"/>
              </w:rPr>
              <w:t xml:space="preserve"> and the sink </w:t>
            </w:r>
            <w:r w:rsidRPr="00ED3498">
              <w:rPr>
                <w:i/>
                <w:iCs/>
                <w:sz w:val="20"/>
              </w:rPr>
              <w:t>k</w:t>
            </w:r>
            <w:r w:rsidRPr="00ED3498">
              <w:rPr>
                <w:iCs/>
                <w:sz w:val="20"/>
              </w:rPr>
              <w:t xml:space="preserve"> awarded in CRR Auction </w:t>
            </w:r>
            <w:r w:rsidRPr="00ED3498">
              <w:rPr>
                <w:i/>
                <w:iCs/>
                <w:sz w:val="20"/>
              </w:rPr>
              <w:t>a</w:t>
            </w:r>
            <w:r w:rsidRPr="00ED3498">
              <w:rPr>
                <w:iCs/>
                <w:sz w:val="20"/>
              </w:rPr>
              <w:t xml:space="preserve">, for the hour </w:t>
            </w:r>
            <w:r w:rsidRPr="00ED3498">
              <w:rPr>
                <w:i/>
                <w:iCs/>
                <w:sz w:val="20"/>
              </w:rPr>
              <w:t>h</w:t>
            </w:r>
            <w:r w:rsidRPr="00ED3498">
              <w:rPr>
                <w:iCs/>
                <w:sz w:val="20"/>
              </w:rPr>
              <w:t>, where the Market Participant is a CRR Account Holder.</w:t>
            </w:r>
          </w:p>
        </w:tc>
      </w:tr>
      <w:tr w:rsidR="003F580A" w:rsidRPr="00ED3498" w14:paraId="571485F1"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7697744" w14:textId="77777777" w:rsidR="003F580A" w:rsidRPr="00ED3498" w:rsidRDefault="003F580A" w:rsidP="000C6618">
            <w:pPr>
              <w:spacing w:after="60"/>
              <w:rPr>
                <w:rFonts w:eastAsia="Calibri"/>
                <w:iCs/>
                <w:sz w:val="20"/>
              </w:rPr>
            </w:pPr>
            <w:r w:rsidRPr="00ED3498">
              <w:rPr>
                <w:rFonts w:eastAsia="Calibri"/>
                <w:iCs/>
                <w:sz w:val="20"/>
              </w:rPr>
              <w:t>S</w:t>
            </w:r>
            <w:r w:rsidRPr="00ED3498">
              <w:rPr>
                <w:rFonts w:eastAsia="Calibri"/>
                <w:bCs/>
                <w:iCs/>
                <w:sz w:val="20"/>
              </w:rPr>
              <w:t>DC</w:t>
            </w:r>
            <w:r w:rsidRPr="00ED3498">
              <w:rPr>
                <w:rFonts w:eastAsia="Calibri"/>
                <w:iCs/>
                <w:sz w:val="20"/>
              </w:rPr>
              <w:t>OBLP</w:t>
            </w:r>
            <w:r w:rsidRPr="00ED3498">
              <w:rPr>
                <w:rFonts w:eastAsia="Calibri"/>
                <w:i/>
                <w:iCs/>
                <w:sz w:val="20"/>
              </w:rPr>
              <w:t xml:space="preserve"> </w:t>
            </w:r>
            <w:r w:rsidRPr="00ED3498">
              <w:rPr>
                <w:rFonts w:eastAsia="Calibri"/>
                <w:i/>
                <w:iCs/>
                <w:sz w:val="20"/>
                <w:vertAlign w:val="subscript"/>
              </w:rPr>
              <w:t>mp</w:t>
            </w:r>
          </w:p>
        </w:tc>
        <w:tc>
          <w:tcPr>
            <w:tcW w:w="407" w:type="pct"/>
            <w:tcBorders>
              <w:top w:val="single" w:sz="6" w:space="0" w:color="auto"/>
              <w:left w:val="single" w:sz="6" w:space="0" w:color="auto"/>
              <w:bottom w:val="single" w:sz="6" w:space="0" w:color="auto"/>
              <w:right w:val="single" w:sz="6" w:space="0" w:color="auto"/>
            </w:tcBorders>
            <w:hideMark/>
          </w:tcPr>
          <w:p w14:paraId="04115A27" w14:textId="77777777" w:rsidR="003F580A" w:rsidRPr="00ED3498" w:rsidRDefault="003F580A" w:rsidP="000C6618">
            <w:pPr>
              <w:spacing w:after="60"/>
              <w:rPr>
                <w:iCs/>
                <w:sz w:val="20"/>
              </w:rPr>
            </w:pPr>
            <w:r w:rsidRPr="00ED3498">
              <w:rPr>
                <w:iCs/>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28BC339B" w14:textId="77777777" w:rsidR="003F580A" w:rsidRPr="00ED3498" w:rsidRDefault="003F580A" w:rsidP="000C6618">
            <w:pPr>
              <w:spacing w:after="60"/>
              <w:rPr>
                <w:bCs/>
                <w:i/>
                <w:iCs/>
                <w:sz w:val="20"/>
              </w:rPr>
            </w:pPr>
            <w:r w:rsidRPr="00ED3498">
              <w:rPr>
                <w:i/>
                <w:iCs/>
                <w:sz w:val="20"/>
              </w:rPr>
              <w:t xml:space="preserve">Securitization Default Charge PTP Obligation Purchase per </w:t>
            </w:r>
            <w:r w:rsidRPr="00ED3498">
              <w:rPr>
                <w:bCs/>
                <w:i/>
                <w:iCs/>
                <w:sz w:val="20"/>
              </w:rPr>
              <w:t>Market Participant</w:t>
            </w:r>
            <w:r w:rsidRPr="00ED3498">
              <w:rPr>
                <w:iCs/>
                <w:sz w:val="20"/>
              </w:rPr>
              <w:t xml:space="preserve">—The MW quantity that represents the monthly total in the reference month of Market Participant </w:t>
            </w:r>
            <w:proofErr w:type="spellStart"/>
            <w:r w:rsidRPr="00ED3498">
              <w:rPr>
                <w:i/>
                <w:iCs/>
                <w:sz w:val="20"/>
              </w:rPr>
              <w:t>mp</w:t>
            </w:r>
            <w:r w:rsidRPr="00ED3498">
              <w:rPr>
                <w:iCs/>
                <w:sz w:val="20"/>
              </w:rPr>
              <w:t>’s</w:t>
            </w:r>
            <w:proofErr w:type="spellEnd"/>
            <w:r w:rsidRPr="00ED3498">
              <w:rPr>
                <w:iCs/>
                <w:sz w:val="20"/>
              </w:rPr>
              <w:t xml:space="preserve"> PTP Obligation bids awarded in CRR Auctions, counting the quantity only once per source and sink pair, where the Market Participant is a CRR Account Holder assigned to the registered Counter-Party.</w:t>
            </w:r>
          </w:p>
        </w:tc>
      </w:tr>
      <w:tr w:rsidR="003F580A" w:rsidRPr="00ED3498" w14:paraId="36852D4C"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9635713" w14:textId="77777777" w:rsidR="003F580A" w:rsidRPr="00ED3498" w:rsidRDefault="003F580A" w:rsidP="000C6618">
            <w:pPr>
              <w:spacing w:after="60"/>
              <w:rPr>
                <w:rFonts w:eastAsia="Calibri"/>
                <w:iCs/>
                <w:sz w:val="20"/>
              </w:rPr>
            </w:pPr>
            <w:r w:rsidRPr="00ED3498">
              <w:rPr>
                <w:sz w:val="20"/>
              </w:rPr>
              <w:t>S</w:t>
            </w:r>
            <w:r w:rsidRPr="00ED3498">
              <w:rPr>
                <w:rFonts w:eastAsia="Calibri"/>
                <w:bCs/>
                <w:iCs/>
                <w:sz w:val="20"/>
              </w:rPr>
              <w:t>DC</w:t>
            </w:r>
            <w:r w:rsidRPr="00ED3498">
              <w:rPr>
                <w:sz w:val="20"/>
              </w:rPr>
              <w:t>WSLTOT</w:t>
            </w:r>
            <w:r w:rsidRPr="00ED3498">
              <w:rPr>
                <w:i/>
                <w:sz w:val="20"/>
                <w:vertAlign w:val="subscript"/>
              </w:rPr>
              <w:t xml:space="preserve"> mp</w:t>
            </w:r>
          </w:p>
        </w:tc>
        <w:tc>
          <w:tcPr>
            <w:tcW w:w="407" w:type="pct"/>
            <w:tcBorders>
              <w:top w:val="single" w:sz="6" w:space="0" w:color="auto"/>
              <w:left w:val="single" w:sz="6" w:space="0" w:color="auto"/>
              <w:bottom w:val="single" w:sz="6" w:space="0" w:color="auto"/>
              <w:right w:val="single" w:sz="6" w:space="0" w:color="auto"/>
            </w:tcBorders>
            <w:hideMark/>
          </w:tcPr>
          <w:p w14:paraId="03105CA8" w14:textId="77777777" w:rsidR="003F580A" w:rsidRPr="00ED3498" w:rsidRDefault="003F580A" w:rsidP="000C6618">
            <w:pPr>
              <w:spacing w:after="60"/>
              <w:rPr>
                <w:iCs/>
                <w:sz w:val="20"/>
              </w:rPr>
            </w:pPr>
            <w:r w:rsidRPr="00ED3498">
              <w:rPr>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25BF49F6" w14:textId="77777777" w:rsidR="003F580A" w:rsidRPr="00ED3498" w:rsidRDefault="003F580A" w:rsidP="000C6618">
            <w:pPr>
              <w:spacing w:after="60"/>
              <w:rPr>
                <w:bCs/>
                <w:i/>
                <w:iCs/>
                <w:sz w:val="20"/>
              </w:rPr>
            </w:pPr>
            <w:r w:rsidRPr="00ED3498">
              <w:rPr>
                <w:i/>
                <w:iCs/>
                <w:sz w:val="20"/>
              </w:rPr>
              <w:t xml:space="preserve">Securitization Default Charge </w:t>
            </w:r>
            <w:r w:rsidRPr="00ED3498">
              <w:rPr>
                <w:i/>
                <w:sz w:val="20"/>
              </w:rPr>
              <w:t>Metered Energy for Wholesale Storage Load at bus per Market Participant</w:t>
            </w:r>
            <w:r w:rsidRPr="00ED3498">
              <w:rPr>
                <w:sz w:val="20"/>
              </w:rPr>
              <w:sym w:font="Symbol" w:char="F0BE"/>
            </w:r>
            <w:r w:rsidRPr="00ED3498">
              <w:rPr>
                <w:sz w:val="20"/>
              </w:rPr>
              <w:t>The monthly sum</w:t>
            </w:r>
            <w:r w:rsidRPr="00ED3498">
              <w:rPr>
                <w:iCs/>
                <w:sz w:val="20"/>
              </w:rPr>
              <w:t xml:space="preserve"> in the reference month</w:t>
            </w:r>
            <w:r w:rsidRPr="00ED3498">
              <w:rPr>
                <w:sz w:val="20"/>
              </w:rPr>
              <w:t xml:space="preserve"> of Market Participant </w:t>
            </w:r>
            <w:proofErr w:type="spellStart"/>
            <w:r w:rsidRPr="00ED3498">
              <w:rPr>
                <w:i/>
                <w:sz w:val="20"/>
              </w:rPr>
              <w:t>mp</w:t>
            </w:r>
            <w:r w:rsidRPr="00ED3498">
              <w:rPr>
                <w:sz w:val="20"/>
              </w:rPr>
              <w:t>’s</w:t>
            </w:r>
            <w:proofErr w:type="spellEnd"/>
            <w:r w:rsidRPr="00ED3498">
              <w:rPr>
                <w:sz w:val="20"/>
              </w:rPr>
              <w:t xml:space="preserve"> Wholesale Storage Load (WSL) energy metered by the Settlement Meter which measures WSL.</w:t>
            </w:r>
          </w:p>
        </w:tc>
      </w:tr>
      <w:tr w:rsidR="003F580A" w:rsidRPr="00ED3498" w14:paraId="24F08CCA"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2E279FAA" w14:textId="77777777" w:rsidR="003F580A" w:rsidRPr="00ED3498" w:rsidRDefault="003F580A" w:rsidP="000C6618">
            <w:pPr>
              <w:spacing w:after="60"/>
              <w:rPr>
                <w:rFonts w:eastAsia="Calibri"/>
                <w:iCs/>
                <w:sz w:val="20"/>
              </w:rPr>
            </w:pPr>
            <w:r w:rsidRPr="00ED3498">
              <w:rPr>
                <w:bCs/>
                <w:sz w:val="20"/>
              </w:rPr>
              <w:t xml:space="preserve">MEBL </w:t>
            </w:r>
            <w:r w:rsidRPr="00ED3498">
              <w:rPr>
                <w:bCs/>
                <w:i/>
                <w:sz w:val="20"/>
                <w:vertAlign w:val="subscript"/>
              </w:rPr>
              <w:t>mp, r, b</w:t>
            </w:r>
          </w:p>
        </w:tc>
        <w:tc>
          <w:tcPr>
            <w:tcW w:w="407" w:type="pct"/>
            <w:tcBorders>
              <w:top w:val="single" w:sz="6" w:space="0" w:color="auto"/>
              <w:left w:val="single" w:sz="6" w:space="0" w:color="auto"/>
              <w:bottom w:val="single" w:sz="6" w:space="0" w:color="auto"/>
              <w:right w:val="single" w:sz="6" w:space="0" w:color="auto"/>
            </w:tcBorders>
            <w:hideMark/>
          </w:tcPr>
          <w:p w14:paraId="41251B8B" w14:textId="77777777" w:rsidR="003F580A" w:rsidRPr="00ED3498" w:rsidRDefault="003F580A" w:rsidP="000C6618">
            <w:pPr>
              <w:spacing w:after="60"/>
              <w:rPr>
                <w:iCs/>
                <w:sz w:val="20"/>
              </w:rPr>
            </w:pPr>
            <w:r w:rsidRPr="00ED3498">
              <w:rPr>
                <w:sz w:val="20"/>
              </w:rPr>
              <w:t>MWh</w:t>
            </w:r>
          </w:p>
        </w:tc>
        <w:tc>
          <w:tcPr>
            <w:tcW w:w="3567" w:type="pct"/>
            <w:tcBorders>
              <w:top w:val="single" w:sz="6" w:space="0" w:color="auto"/>
              <w:left w:val="single" w:sz="6" w:space="0" w:color="auto"/>
              <w:bottom w:val="single" w:sz="6" w:space="0" w:color="auto"/>
              <w:right w:val="single" w:sz="4" w:space="0" w:color="auto"/>
            </w:tcBorders>
            <w:hideMark/>
          </w:tcPr>
          <w:p w14:paraId="479E74B8" w14:textId="77777777" w:rsidR="003F580A" w:rsidRPr="00ED3498" w:rsidRDefault="003F580A" w:rsidP="000C6618">
            <w:pPr>
              <w:spacing w:after="60"/>
              <w:rPr>
                <w:bCs/>
                <w:i/>
                <w:iCs/>
                <w:sz w:val="20"/>
              </w:rPr>
            </w:pPr>
            <w:r w:rsidRPr="00ED3498">
              <w:rPr>
                <w:i/>
                <w:sz w:val="20"/>
              </w:rPr>
              <w:t>Metered Energy for Wholesale Storage Load at bus</w:t>
            </w:r>
            <w:r w:rsidRPr="00ED3498">
              <w:rPr>
                <w:sz w:val="20"/>
              </w:rPr>
              <w:sym w:font="Symbol" w:char="F0BE"/>
            </w:r>
            <w:r w:rsidRPr="00ED3498">
              <w:rPr>
                <w:sz w:val="20"/>
              </w:rPr>
              <w:t xml:space="preserve">The WSL energy metered by the Settlement Meter which measures WSL for the 15-minute Settlement Interval represented as a negative value, for the Market Participant </w:t>
            </w:r>
            <w:r w:rsidRPr="00ED3498">
              <w:rPr>
                <w:i/>
                <w:sz w:val="20"/>
              </w:rPr>
              <w:t>mp</w:t>
            </w:r>
            <w:r w:rsidRPr="00ED3498">
              <w:rPr>
                <w:sz w:val="20"/>
              </w:rPr>
              <w:t xml:space="preserve">, Resource </w:t>
            </w:r>
            <w:r w:rsidRPr="00ED3498">
              <w:rPr>
                <w:i/>
                <w:sz w:val="20"/>
              </w:rPr>
              <w:t>r</w:t>
            </w:r>
            <w:r w:rsidRPr="00ED3498">
              <w:rPr>
                <w:sz w:val="20"/>
              </w:rPr>
              <w:t xml:space="preserve">, at bus </w:t>
            </w:r>
            <w:r w:rsidRPr="00ED3498">
              <w:rPr>
                <w:i/>
                <w:sz w:val="20"/>
              </w:rPr>
              <w:t>b</w:t>
            </w:r>
            <w:r w:rsidRPr="00ED3498">
              <w:rPr>
                <w:sz w:val="20"/>
              </w:rPr>
              <w:t xml:space="preserve">.  </w:t>
            </w:r>
          </w:p>
        </w:tc>
      </w:tr>
      <w:tr w:rsidR="003F580A" w:rsidRPr="00ED3498" w14:paraId="0FA5176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3B55E1F9" w14:textId="77777777" w:rsidR="003F580A" w:rsidRPr="00ED3498" w:rsidRDefault="003F580A" w:rsidP="000C6618">
            <w:pPr>
              <w:spacing w:after="60"/>
              <w:rPr>
                <w:rFonts w:eastAsia="Calibri"/>
                <w:i/>
                <w:iCs/>
                <w:sz w:val="20"/>
              </w:rPr>
            </w:pPr>
            <w:r w:rsidRPr="00ED3498">
              <w:rPr>
                <w:rFonts w:eastAsia="Calibri"/>
                <w:i/>
                <w:iCs/>
                <w:sz w:val="20"/>
              </w:rPr>
              <w:t>cp</w:t>
            </w:r>
          </w:p>
        </w:tc>
        <w:tc>
          <w:tcPr>
            <w:tcW w:w="407" w:type="pct"/>
            <w:tcBorders>
              <w:top w:val="single" w:sz="6" w:space="0" w:color="auto"/>
              <w:left w:val="single" w:sz="6" w:space="0" w:color="auto"/>
              <w:bottom w:val="single" w:sz="6" w:space="0" w:color="auto"/>
              <w:right w:val="single" w:sz="6" w:space="0" w:color="auto"/>
            </w:tcBorders>
            <w:hideMark/>
          </w:tcPr>
          <w:p w14:paraId="68CAD6F6"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48A57C79" w14:textId="77777777" w:rsidR="003F580A" w:rsidRPr="00ED3498" w:rsidRDefault="003F580A" w:rsidP="000C6618">
            <w:pPr>
              <w:spacing w:after="60"/>
              <w:rPr>
                <w:bCs/>
                <w:iCs/>
                <w:sz w:val="20"/>
              </w:rPr>
            </w:pPr>
            <w:r w:rsidRPr="00ED3498">
              <w:rPr>
                <w:bCs/>
                <w:iCs/>
                <w:sz w:val="20"/>
              </w:rPr>
              <w:t>A registered Counter-Party.</w:t>
            </w:r>
          </w:p>
        </w:tc>
      </w:tr>
      <w:tr w:rsidR="003F580A" w:rsidRPr="00ED3498" w14:paraId="2E61BCFF"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B7ED3E2" w14:textId="77777777" w:rsidR="003F580A" w:rsidRPr="00ED3498" w:rsidRDefault="003F580A" w:rsidP="000C6618">
            <w:pPr>
              <w:spacing w:after="60"/>
              <w:rPr>
                <w:rFonts w:eastAsia="Calibri"/>
                <w:i/>
                <w:iCs/>
                <w:sz w:val="20"/>
              </w:rPr>
            </w:pPr>
            <w:r w:rsidRPr="00ED3498">
              <w:rPr>
                <w:rFonts w:eastAsia="Calibri"/>
                <w:i/>
                <w:iCs/>
                <w:sz w:val="20"/>
              </w:rPr>
              <w:lastRenderedPageBreak/>
              <w:t>mp</w:t>
            </w:r>
          </w:p>
        </w:tc>
        <w:tc>
          <w:tcPr>
            <w:tcW w:w="407" w:type="pct"/>
            <w:tcBorders>
              <w:top w:val="single" w:sz="6" w:space="0" w:color="auto"/>
              <w:left w:val="single" w:sz="6" w:space="0" w:color="auto"/>
              <w:bottom w:val="single" w:sz="6" w:space="0" w:color="auto"/>
              <w:right w:val="single" w:sz="6" w:space="0" w:color="auto"/>
            </w:tcBorders>
            <w:hideMark/>
          </w:tcPr>
          <w:p w14:paraId="5B93514D"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3DA2ECC3" w14:textId="77777777" w:rsidR="003F580A" w:rsidRPr="00ED3498" w:rsidRDefault="003F580A" w:rsidP="000C6618">
            <w:pPr>
              <w:spacing w:after="60"/>
              <w:rPr>
                <w:bCs/>
                <w:iCs/>
                <w:sz w:val="20"/>
              </w:rPr>
            </w:pPr>
            <w:r w:rsidRPr="00ED3498">
              <w:rPr>
                <w:bCs/>
                <w:iCs/>
                <w:sz w:val="20"/>
              </w:rPr>
              <w:t xml:space="preserve">A Market Participant that is a QSE or CRR Account Holder with activity in the reference month, except for a Market Participant exempt from Securitization Default Charges pursuant to the Final Order entered by the </w:t>
            </w:r>
            <w:r w:rsidR="000505C8" w:rsidRPr="00ED3498">
              <w:rPr>
                <w:bCs/>
                <w:iCs/>
                <w:sz w:val="20"/>
              </w:rPr>
              <w:t>Public Utility Commission of Texas (PUC</w:t>
            </w:r>
            <w:r w:rsidR="000505C8">
              <w:rPr>
                <w:bCs/>
                <w:iCs/>
                <w:sz w:val="20"/>
              </w:rPr>
              <w:t>T</w:t>
            </w:r>
            <w:r w:rsidR="000505C8" w:rsidRPr="00ED3498">
              <w:rPr>
                <w:bCs/>
                <w:iCs/>
                <w:sz w:val="20"/>
              </w:rPr>
              <w:t>) in PUC</w:t>
            </w:r>
            <w:r w:rsidR="000505C8">
              <w:rPr>
                <w:bCs/>
                <w:iCs/>
                <w:sz w:val="20"/>
              </w:rPr>
              <w:t>T</w:t>
            </w:r>
            <w:r w:rsidR="000505C8" w:rsidRPr="00ED3498">
              <w:rPr>
                <w:bCs/>
                <w:iCs/>
                <w:sz w:val="20"/>
              </w:rPr>
              <w:t xml:space="preserve"> Docket No. 52321</w:t>
            </w:r>
            <w:r w:rsidR="000505C8">
              <w:rPr>
                <w:bCs/>
                <w:iCs/>
                <w:sz w:val="20"/>
              </w:rPr>
              <w:t xml:space="preserve">, </w:t>
            </w:r>
            <w:r w:rsidR="000505C8" w:rsidRPr="009C374D">
              <w:rPr>
                <w:bCs/>
                <w:iCs/>
                <w:sz w:val="20"/>
              </w:rPr>
              <w:t>Application of Electric Reliability Council of Texas, Inc. for a Debt Obligation Order Pursuant to Chapter 39, Subchapter M</w:t>
            </w:r>
            <w:r w:rsidR="000505C8" w:rsidRPr="00ED3498">
              <w:rPr>
                <w:bCs/>
                <w:iCs/>
                <w:sz w:val="20"/>
              </w:rPr>
              <w:t xml:space="preserve">. </w:t>
            </w:r>
            <w:r w:rsidR="000505C8">
              <w:rPr>
                <w:bCs/>
                <w:iCs/>
                <w:sz w:val="20"/>
              </w:rPr>
              <w:t xml:space="preserve"> </w:t>
            </w:r>
            <w:r w:rsidR="000505C8" w:rsidRPr="00ED3498">
              <w:rPr>
                <w:bCs/>
                <w:iCs/>
                <w:sz w:val="20"/>
              </w:rPr>
              <w:t>Defaulted Market Participants with market activity in the reference month are included in the calculation.</w:t>
            </w:r>
          </w:p>
        </w:tc>
      </w:tr>
      <w:tr w:rsidR="003F580A" w:rsidRPr="00ED3498" w14:paraId="38D2618A"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69C5967" w14:textId="77777777" w:rsidR="003F580A" w:rsidRPr="00ED3498" w:rsidRDefault="003F580A" w:rsidP="000C6618">
            <w:pPr>
              <w:spacing w:after="60"/>
              <w:rPr>
                <w:rFonts w:eastAsia="Calibri"/>
                <w:i/>
                <w:iCs/>
                <w:sz w:val="20"/>
              </w:rPr>
            </w:pPr>
            <w:r w:rsidRPr="00ED3498">
              <w:rPr>
                <w:rFonts w:eastAsia="Calibri"/>
                <w:i/>
                <w:iCs/>
                <w:sz w:val="20"/>
              </w:rPr>
              <w:t>j</w:t>
            </w:r>
          </w:p>
        </w:tc>
        <w:tc>
          <w:tcPr>
            <w:tcW w:w="407" w:type="pct"/>
            <w:tcBorders>
              <w:top w:val="single" w:sz="6" w:space="0" w:color="auto"/>
              <w:left w:val="single" w:sz="6" w:space="0" w:color="auto"/>
              <w:bottom w:val="single" w:sz="6" w:space="0" w:color="auto"/>
              <w:right w:val="single" w:sz="6" w:space="0" w:color="auto"/>
            </w:tcBorders>
            <w:hideMark/>
          </w:tcPr>
          <w:p w14:paraId="671EAB4B"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1E9E4539" w14:textId="77777777" w:rsidR="003F580A" w:rsidRPr="00ED3498" w:rsidRDefault="003F580A" w:rsidP="000C6618">
            <w:pPr>
              <w:spacing w:after="60"/>
              <w:rPr>
                <w:bCs/>
                <w:iCs/>
                <w:sz w:val="20"/>
              </w:rPr>
            </w:pPr>
            <w:r w:rsidRPr="00ED3498">
              <w:rPr>
                <w:bCs/>
                <w:iCs/>
                <w:sz w:val="20"/>
              </w:rPr>
              <w:t>A source Settlement Point.</w:t>
            </w:r>
          </w:p>
        </w:tc>
      </w:tr>
      <w:tr w:rsidR="003F580A" w:rsidRPr="00ED3498" w14:paraId="5F36BA36"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79F4D00F" w14:textId="77777777" w:rsidR="003F580A" w:rsidRPr="00ED3498" w:rsidRDefault="003F580A" w:rsidP="000C6618">
            <w:pPr>
              <w:spacing w:after="60"/>
              <w:rPr>
                <w:rFonts w:eastAsia="Calibri"/>
                <w:i/>
                <w:iCs/>
                <w:sz w:val="20"/>
              </w:rPr>
            </w:pPr>
            <w:r w:rsidRPr="00ED3498">
              <w:rPr>
                <w:rFonts w:eastAsia="Calibri"/>
                <w:i/>
                <w:iCs/>
                <w:sz w:val="20"/>
              </w:rPr>
              <w:t>k</w:t>
            </w:r>
          </w:p>
        </w:tc>
        <w:tc>
          <w:tcPr>
            <w:tcW w:w="407" w:type="pct"/>
            <w:tcBorders>
              <w:top w:val="single" w:sz="6" w:space="0" w:color="auto"/>
              <w:left w:val="single" w:sz="6" w:space="0" w:color="auto"/>
              <w:bottom w:val="single" w:sz="6" w:space="0" w:color="auto"/>
              <w:right w:val="single" w:sz="6" w:space="0" w:color="auto"/>
            </w:tcBorders>
            <w:hideMark/>
          </w:tcPr>
          <w:p w14:paraId="3FDEC2FD"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5FEB4158" w14:textId="77777777" w:rsidR="003F580A" w:rsidRPr="00ED3498" w:rsidRDefault="003F580A" w:rsidP="000C6618">
            <w:pPr>
              <w:spacing w:after="60"/>
              <w:rPr>
                <w:bCs/>
                <w:iCs/>
                <w:sz w:val="20"/>
              </w:rPr>
            </w:pPr>
            <w:r w:rsidRPr="00ED3498">
              <w:rPr>
                <w:bCs/>
                <w:iCs/>
                <w:sz w:val="20"/>
              </w:rPr>
              <w:t>A sink Settlement Point.</w:t>
            </w:r>
          </w:p>
        </w:tc>
      </w:tr>
      <w:tr w:rsidR="003F580A" w:rsidRPr="00ED3498" w14:paraId="3729AB44"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192A360" w14:textId="77777777" w:rsidR="003F580A" w:rsidRPr="00ED3498" w:rsidRDefault="003F580A" w:rsidP="000C6618">
            <w:pPr>
              <w:spacing w:after="60"/>
              <w:rPr>
                <w:rFonts w:eastAsia="Calibri"/>
                <w:i/>
                <w:iCs/>
                <w:sz w:val="20"/>
              </w:rPr>
            </w:pPr>
            <w:r w:rsidRPr="00ED3498">
              <w:rPr>
                <w:rFonts w:eastAsia="Calibri"/>
                <w:i/>
                <w:iCs/>
                <w:sz w:val="20"/>
              </w:rPr>
              <w:t>a</w:t>
            </w:r>
          </w:p>
        </w:tc>
        <w:tc>
          <w:tcPr>
            <w:tcW w:w="407" w:type="pct"/>
            <w:tcBorders>
              <w:top w:val="single" w:sz="6" w:space="0" w:color="auto"/>
              <w:left w:val="single" w:sz="6" w:space="0" w:color="auto"/>
              <w:bottom w:val="single" w:sz="6" w:space="0" w:color="auto"/>
              <w:right w:val="single" w:sz="6" w:space="0" w:color="auto"/>
            </w:tcBorders>
            <w:hideMark/>
          </w:tcPr>
          <w:p w14:paraId="01927A16"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6B625A28" w14:textId="77777777" w:rsidR="003F580A" w:rsidRPr="00ED3498" w:rsidRDefault="003F580A" w:rsidP="000C6618">
            <w:pPr>
              <w:spacing w:after="60"/>
              <w:rPr>
                <w:bCs/>
                <w:iCs/>
                <w:sz w:val="20"/>
              </w:rPr>
            </w:pPr>
            <w:r w:rsidRPr="00ED3498">
              <w:rPr>
                <w:bCs/>
                <w:iCs/>
                <w:sz w:val="20"/>
              </w:rPr>
              <w:t>A CRR Auction.</w:t>
            </w:r>
          </w:p>
        </w:tc>
      </w:tr>
      <w:tr w:rsidR="003F580A" w:rsidRPr="00ED3498" w14:paraId="1D041179"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49C22F3" w14:textId="77777777" w:rsidR="003F580A" w:rsidRPr="00ED3498" w:rsidRDefault="003F580A" w:rsidP="000C6618">
            <w:pPr>
              <w:spacing w:after="60"/>
              <w:rPr>
                <w:rFonts w:eastAsia="Calibri"/>
                <w:i/>
                <w:iCs/>
                <w:sz w:val="20"/>
              </w:rPr>
            </w:pPr>
            <w:r w:rsidRPr="00ED3498">
              <w:rPr>
                <w:rFonts w:eastAsia="Calibri"/>
                <w:i/>
                <w:iCs/>
                <w:sz w:val="20"/>
              </w:rPr>
              <w:t>p</w:t>
            </w:r>
          </w:p>
        </w:tc>
        <w:tc>
          <w:tcPr>
            <w:tcW w:w="407" w:type="pct"/>
            <w:tcBorders>
              <w:top w:val="single" w:sz="6" w:space="0" w:color="auto"/>
              <w:left w:val="single" w:sz="6" w:space="0" w:color="auto"/>
              <w:bottom w:val="single" w:sz="6" w:space="0" w:color="auto"/>
              <w:right w:val="single" w:sz="6" w:space="0" w:color="auto"/>
            </w:tcBorders>
            <w:hideMark/>
          </w:tcPr>
          <w:p w14:paraId="04F5968D"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5C9D63A1" w14:textId="77777777" w:rsidR="003F580A" w:rsidRPr="00ED3498" w:rsidRDefault="003F580A" w:rsidP="000C6618">
            <w:pPr>
              <w:spacing w:after="60"/>
              <w:rPr>
                <w:bCs/>
                <w:iCs/>
                <w:sz w:val="20"/>
              </w:rPr>
            </w:pPr>
            <w:r w:rsidRPr="00ED3498">
              <w:rPr>
                <w:bCs/>
                <w:iCs/>
                <w:sz w:val="20"/>
              </w:rPr>
              <w:t>A Settlement Point.</w:t>
            </w:r>
          </w:p>
        </w:tc>
      </w:tr>
      <w:tr w:rsidR="003F580A" w:rsidRPr="00ED3498" w14:paraId="36AE0993"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01F1DB5" w14:textId="77777777" w:rsidR="003F580A" w:rsidRPr="00ED3498" w:rsidRDefault="003F580A" w:rsidP="000C6618">
            <w:pPr>
              <w:spacing w:after="60"/>
              <w:rPr>
                <w:rFonts w:eastAsia="Calibri"/>
                <w:i/>
                <w:iCs/>
                <w:sz w:val="20"/>
              </w:rPr>
            </w:pPr>
            <w:r w:rsidRPr="00ED3498">
              <w:rPr>
                <w:rFonts w:eastAsia="Calibri"/>
                <w:i/>
                <w:iCs/>
                <w:sz w:val="20"/>
              </w:rPr>
              <w:t>i</w:t>
            </w:r>
          </w:p>
        </w:tc>
        <w:tc>
          <w:tcPr>
            <w:tcW w:w="407" w:type="pct"/>
            <w:tcBorders>
              <w:top w:val="single" w:sz="6" w:space="0" w:color="auto"/>
              <w:left w:val="single" w:sz="6" w:space="0" w:color="auto"/>
              <w:bottom w:val="single" w:sz="6" w:space="0" w:color="auto"/>
              <w:right w:val="single" w:sz="6" w:space="0" w:color="auto"/>
            </w:tcBorders>
            <w:hideMark/>
          </w:tcPr>
          <w:p w14:paraId="04C37EED"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5AE8F93A" w14:textId="77777777" w:rsidR="003F580A" w:rsidRPr="00ED3498" w:rsidRDefault="003F580A" w:rsidP="000C6618">
            <w:pPr>
              <w:spacing w:after="60"/>
              <w:rPr>
                <w:bCs/>
                <w:iCs/>
                <w:sz w:val="20"/>
              </w:rPr>
            </w:pPr>
            <w:r w:rsidRPr="00ED3498">
              <w:rPr>
                <w:bCs/>
                <w:iCs/>
                <w:sz w:val="20"/>
              </w:rPr>
              <w:t>A 15-minute Settlement Interval.</w:t>
            </w:r>
          </w:p>
        </w:tc>
      </w:tr>
      <w:tr w:rsidR="003F580A" w:rsidRPr="00ED3498" w14:paraId="67058185"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4DB22EA2" w14:textId="77777777" w:rsidR="003F580A" w:rsidRPr="00ED3498" w:rsidRDefault="003F580A" w:rsidP="000C6618">
            <w:pPr>
              <w:spacing w:after="60"/>
              <w:rPr>
                <w:rFonts w:eastAsia="Calibri"/>
                <w:i/>
                <w:iCs/>
                <w:sz w:val="20"/>
              </w:rPr>
            </w:pPr>
            <w:r w:rsidRPr="00ED3498">
              <w:rPr>
                <w:rFonts w:eastAsia="Calibri"/>
                <w:i/>
                <w:iCs/>
                <w:sz w:val="20"/>
              </w:rPr>
              <w:t>h</w:t>
            </w:r>
          </w:p>
        </w:tc>
        <w:tc>
          <w:tcPr>
            <w:tcW w:w="407" w:type="pct"/>
            <w:tcBorders>
              <w:top w:val="single" w:sz="6" w:space="0" w:color="auto"/>
              <w:left w:val="single" w:sz="6" w:space="0" w:color="auto"/>
              <w:bottom w:val="single" w:sz="6" w:space="0" w:color="auto"/>
              <w:right w:val="single" w:sz="6" w:space="0" w:color="auto"/>
            </w:tcBorders>
            <w:hideMark/>
          </w:tcPr>
          <w:p w14:paraId="47B3DBB6" w14:textId="77777777" w:rsidR="003F580A" w:rsidRPr="00ED3498" w:rsidRDefault="003F580A" w:rsidP="000C6618">
            <w:pPr>
              <w:spacing w:after="60"/>
              <w:rPr>
                <w:iCs/>
                <w:sz w:val="20"/>
              </w:rPr>
            </w:pPr>
            <w:r w:rsidRPr="00ED3498">
              <w:rPr>
                <w:iCs/>
                <w:sz w:val="20"/>
              </w:rPr>
              <w:t>none</w:t>
            </w:r>
          </w:p>
        </w:tc>
        <w:tc>
          <w:tcPr>
            <w:tcW w:w="3567" w:type="pct"/>
            <w:tcBorders>
              <w:top w:val="single" w:sz="6" w:space="0" w:color="auto"/>
              <w:left w:val="single" w:sz="6" w:space="0" w:color="auto"/>
              <w:bottom w:val="single" w:sz="6" w:space="0" w:color="auto"/>
              <w:right w:val="single" w:sz="4" w:space="0" w:color="auto"/>
            </w:tcBorders>
            <w:hideMark/>
          </w:tcPr>
          <w:p w14:paraId="5A00AD4E" w14:textId="77777777" w:rsidR="003F580A" w:rsidRPr="00ED3498" w:rsidRDefault="003F580A" w:rsidP="000C6618">
            <w:pPr>
              <w:spacing w:after="60"/>
              <w:rPr>
                <w:bCs/>
                <w:iCs/>
                <w:sz w:val="20"/>
              </w:rPr>
            </w:pPr>
            <w:r w:rsidRPr="00ED3498">
              <w:rPr>
                <w:bCs/>
                <w:iCs/>
                <w:sz w:val="20"/>
              </w:rPr>
              <w:t xml:space="preserve">The hour that includes the Settlement Interval </w:t>
            </w:r>
            <w:r w:rsidRPr="000505C8">
              <w:rPr>
                <w:bCs/>
                <w:i/>
                <w:sz w:val="20"/>
              </w:rPr>
              <w:t>i</w:t>
            </w:r>
            <w:r w:rsidRPr="00ED3498">
              <w:rPr>
                <w:bCs/>
                <w:iCs/>
                <w:sz w:val="20"/>
              </w:rPr>
              <w:t>.</w:t>
            </w:r>
          </w:p>
        </w:tc>
      </w:tr>
      <w:tr w:rsidR="003F580A" w:rsidRPr="00ED3498" w14:paraId="173619E2" w14:textId="77777777" w:rsidTr="000C6618">
        <w:trPr>
          <w:cantSplit/>
        </w:trPr>
        <w:tc>
          <w:tcPr>
            <w:tcW w:w="1026" w:type="pct"/>
            <w:tcBorders>
              <w:top w:val="single" w:sz="6" w:space="0" w:color="auto"/>
              <w:left w:val="single" w:sz="4" w:space="0" w:color="auto"/>
              <w:bottom w:val="single" w:sz="6" w:space="0" w:color="auto"/>
              <w:right w:val="single" w:sz="6" w:space="0" w:color="auto"/>
            </w:tcBorders>
            <w:hideMark/>
          </w:tcPr>
          <w:p w14:paraId="5946B2A4" w14:textId="77777777" w:rsidR="003F580A" w:rsidRPr="00ED3498" w:rsidRDefault="003F580A" w:rsidP="000C6618">
            <w:pPr>
              <w:spacing w:after="60"/>
              <w:rPr>
                <w:rFonts w:eastAsia="Calibri"/>
                <w:i/>
                <w:iCs/>
                <w:sz w:val="20"/>
              </w:rPr>
            </w:pPr>
            <w:r w:rsidRPr="00ED3498">
              <w:rPr>
                <w:rFonts w:eastAsia="Calibri"/>
                <w:i/>
                <w:iCs/>
                <w:sz w:val="20"/>
              </w:rPr>
              <w:t>r</w:t>
            </w:r>
          </w:p>
        </w:tc>
        <w:tc>
          <w:tcPr>
            <w:tcW w:w="407" w:type="pct"/>
            <w:tcBorders>
              <w:top w:val="single" w:sz="6" w:space="0" w:color="auto"/>
              <w:left w:val="single" w:sz="6" w:space="0" w:color="auto"/>
              <w:bottom w:val="single" w:sz="6" w:space="0" w:color="auto"/>
              <w:right w:val="single" w:sz="6" w:space="0" w:color="auto"/>
            </w:tcBorders>
            <w:hideMark/>
          </w:tcPr>
          <w:p w14:paraId="084029EE" w14:textId="77777777" w:rsidR="003F580A" w:rsidRPr="00ED3498" w:rsidRDefault="003F580A" w:rsidP="000C6618">
            <w:pPr>
              <w:spacing w:after="60"/>
              <w:rPr>
                <w:iCs/>
                <w:sz w:val="20"/>
              </w:rPr>
            </w:pPr>
            <w:r w:rsidRPr="00ED3498">
              <w:rPr>
                <w:iCs/>
                <w:sz w:val="20"/>
              </w:rPr>
              <w:t xml:space="preserve">none </w:t>
            </w:r>
          </w:p>
        </w:tc>
        <w:tc>
          <w:tcPr>
            <w:tcW w:w="3567" w:type="pct"/>
            <w:tcBorders>
              <w:top w:val="single" w:sz="6" w:space="0" w:color="auto"/>
              <w:left w:val="single" w:sz="6" w:space="0" w:color="auto"/>
              <w:bottom w:val="single" w:sz="6" w:space="0" w:color="auto"/>
              <w:right w:val="single" w:sz="4" w:space="0" w:color="auto"/>
            </w:tcBorders>
            <w:hideMark/>
          </w:tcPr>
          <w:p w14:paraId="2095359A" w14:textId="77777777" w:rsidR="003F580A" w:rsidRPr="00ED3498" w:rsidRDefault="003F580A" w:rsidP="000C6618">
            <w:pPr>
              <w:spacing w:after="60"/>
              <w:rPr>
                <w:bCs/>
                <w:iCs/>
                <w:sz w:val="20"/>
              </w:rPr>
            </w:pPr>
            <w:r w:rsidRPr="00ED3498">
              <w:rPr>
                <w:bCs/>
                <w:iCs/>
                <w:sz w:val="20"/>
              </w:rPr>
              <w:t xml:space="preserve">A Resource. </w:t>
            </w:r>
          </w:p>
        </w:tc>
      </w:tr>
      <w:bookmarkEnd w:id="8"/>
    </w:tbl>
    <w:p w14:paraId="118BAAC7" w14:textId="77777777" w:rsidR="003F580A" w:rsidRPr="00ED3498" w:rsidRDefault="003F580A" w:rsidP="003F580A">
      <w:pPr>
        <w:ind w:left="720" w:hanging="720"/>
      </w:pPr>
    </w:p>
    <w:p w14:paraId="36234632" w14:textId="77777777" w:rsidR="003F580A" w:rsidRPr="00ED3498" w:rsidRDefault="003F580A" w:rsidP="003F580A">
      <w:pPr>
        <w:tabs>
          <w:tab w:val="left" w:pos="720"/>
        </w:tabs>
        <w:spacing w:after="240"/>
        <w:ind w:left="720" w:hanging="720"/>
      </w:pPr>
      <w:r w:rsidRPr="00ED3498">
        <w:t>(3)</w:t>
      </w:r>
      <w:r w:rsidRPr="00ED3498">
        <w:tab/>
        <w:t>The Securitization Default Charge amount will be allocated to the QSE or CRR Account Holder assigned to a registered Counter-Party based on the pro-rata share of MWhs that the QSE or CRR Account Holder contributed to its Counter-Party’s maximum MWh activity ratio share.</w:t>
      </w:r>
    </w:p>
    <w:p w14:paraId="0248C4F5" w14:textId="77777777" w:rsidR="003F580A" w:rsidRPr="00ED3498" w:rsidRDefault="003F580A" w:rsidP="003F580A">
      <w:pPr>
        <w:spacing w:after="240"/>
        <w:ind w:left="720" w:hanging="720"/>
      </w:pPr>
      <w:r w:rsidRPr="00ED3498">
        <w:t>(4)</w:t>
      </w:r>
      <w:r w:rsidRPr="00ED3498">
        <w:tab/>
        <w:t>As needed, but no less than annually, ERCOT will conduct an evaluation to determine if the Total Securitization Default Charge Monthly Amount (TSDCMA), which is the amount collected each month to repay the Securitization Default Balance, should be modified.</w:t>
      </w:r>
      <w:r w:rsidR="000505C8">
        <w:t xml:space="preserve"> </w:t>
      </w:r>
      <w:r w:rsidRPr="00ED3498">
        <w:t xml:space="preserve"> In conducting this evaluation, ERCOT will calculate the amount that must be collected each month to service the then-remaining Securitization Default Balance debt in even monthly amounts over the remaining tenor of the debt. </w:t>
      </w:r>
    </w:p>
    <w:p w14:paraId="3CB8A7D9" w14:textId="77777777" w:rsidR="003F580A" w:rsidRPr="00ED3498" w:rsidRDefault="003F580A" w:rsidP="003F580A">
      <w:pPr>
        <w:spacing w:after="240"/>
        <w:ind w:left="720" w:hanging="720"/>
      </w:pPr>
      <w:r w:rsidRPr="00ED3498">
        <w:t>(5)</w:t>
      </w:r>
      <w:r w:rsidRPr="00ED3498">
        <w:tab/>
        <w:t xml:space="preserve">If ERCOT modifies the TSDCMA pursuant to paragraph (4) above, ERCOT will issue a Market Notice notifying Market Participants of the change no later than 15 days before the beginning of the month in which the new TSDCMA will be used to calculate the Securitization Default Charges. </w:t>
      </w:r>
    </w:p>
    <w:p w14:paraId="5F4513B7" w14:textId="332D2B6B" w:rsidR="003A2E8C" w:rsidRPr="00ED3498" w:rsidRDefault="003A2E8C" w:rsidP="003A2E8C">
      <w:pPr>
        <w:keepNext/>
        <w:tabs>
          <w:tab w:val="left" w:pos="900"/>
        </w:tabs>
        <w:spacing w:before="240" w:after="240"/>
        <w:outlineLvl w:val="1"/>
        <w:rPr>
          <w:b/>
          <w:bCs/>
        </w:rPr>
      </w:pPr>
      <w:bookmarkStart w:id="12" w:name="_Toc141427852"/>
      <w:bookmarkStart w:id="13" w:name="_Hlk89869930"/>
      <w:bookmarkStart w:id="14" w:name="_Hlk85627052"/>
      <w:bookmarkStart w:id="15" w:name="_Hlk85018596"/>
      <w:r w:rsidRPr="00ED3498">
        <w:rPr>
          <w:b/>
          <w:bCs/>
        </w:rPr>
        <w:t xml:space="preserve">26.3 </w:t>
      </w:r>
      <w:r w:rsidRPr="00ED3498">
        <w:rPr>
          <w:b/>
          <w:bCs/>
        </w:rPr>
        <w:tab/>
        <w:t>Securitization Default Charge Invoices</w:t>
      </w:r>
      <w:bookmarkEnd w:id="12"/>
      <w:r w:rsidRPr="00ED3498">
        <w:rPr>
          <w:b/>
          <w:bCs/>
        </w:rPr>
        <w:t xml:space="preserve">  </w:t>
      </w:r>
    </w:p>
    <w:p w14:paraId="78124B71" w14:textId="77777777" w:rsidR="003A2E8C" w:rsidRPr="00ED3498" w:rsidRDefault="003A2E8C" w:rsidP="003A2E8C">
      <w:pPr>
        <w:spacing w:after="240"/>
        <w:ind w:left="720" w:hanging="720"/>
        <w:rPr>
          <w:iCs/>
        </w:rPr>
      </w:pPr>
      <w:r w:rsidRPr="00ED3498">
        <w:rPr>
          <w:iCs/>
        </w:rPr>
        <w:t>(1)</w:t>
      </w:r>
      <w:r w:rsidRPr="00ED3498">
        <w:rPr>
          <w:iCs/>
        </w:rPr>
        <w:tab/>
        <w:t xml:space="preserve">ERCOT shall prepare </w:t>
      </w:r>
      <w:r w:rsidRPr="00ED3498">
        <w:t xml:space="preserve">Securitization </w:t>
      </w:r>
      <w:r w:rsidRPr="00ED3498">
        <w:rPr>
          <w:iCs/>
        </w:rPr>
        <w:t xml:space="preserve">Default Charge Invoices </w:t>
      </w:r>
      <w:proofErr w:type="gramStart"/>
      <w:r w:rsidRPr="00ED3498">
        <w:rPr>
          <w:iCs/>
        </w:rPr>
        <w:t>on a monthly basis</w:t>
      </w:r>
      <w:proofErr w:type="gramEnd"/>
      <w:r w:rsidRPr="00ED3498">
        <w:rPr>
          <w:iCs/>
        </w:rPr>
        <w:t xml:space="preserve">, as specified in Section 9.1.2, Settlement Calendar, on the seventh Business Day of a month.  Unless expressly stated otherwise, the </w:t>
      </w:r>
      <w:r w:rsidRPr="00ED3498">
        <w:t xml:space="preserve">publication of the </w:t>
      </w:r>
      <w:r w:rsidRPr="00ED3498">
        <w:rPr>
          <w:iCs/>
        </w:rPr>
        <w:t xml:space="preserve">Securitization Default Charge </w:t>
      </w:r>
      <w:r w:rsidRPr="00ED3498">
        <w:t xml:space="preserve">Invoices can occur as late as 2400 on the scheduled publication date.  </w:t>
      </w:r>
      <w:r w:rsidRPr="00ED3498">
        <w:rPr>
          <w:iCs/>
        </w:rPr>
        <w:t xml:space="preserve">The Market Participant to whom the Invoice is addressed (Invoice Recipient) is a payor.  </w:t>
      </w:r>
    </w:p>
    <w:p w14:paraId="70E51779" w14:textId="77777777" w:rsidR="003A2E8C" w:rsidRPr="00ED3498" w:rsidRDefault="003A2E8C" w:rsidP="003A2E8C">
      <w:pPr>
        <w:spacing w:after="240"/>
        <w:ind w:left="720" w:hanging="720"/>
      </w:pPr>
      <w:r w:rsidRPr="00ED3498">
        <w:t>(2)</w:t>
      </w:r>
      <w:r w:rsidRPr="00ED3498">
        <w:tab/>
        <w:t xml:space="preserve">Each Invoice Recipient shall pay any debit shown on the </w:t>
      </w:r>
      <w:r w:rsidRPr="00ED3498">
        <w:rPr>
          <w:iCs/>
        </w:rPr>
        <w:t xml:space="preserve">Securitization Default Charge </w:t>
      </w:r>
      <w:r w:rsidRPr="00ED3498">
        <w:t xml:space="preserve">Invoice on the payment due date, </w:t>
      </w:r>
      <w:proofErr w:type="gramStart"/>
      <w:r w:rsidRPr="00ED3498">
        <w:t>whether or not</w:t>
      </w:r>
      <w:proofErr w:type="gramEnd"/>
      <w:r w:rsidRPr="00ED3498">
        <w:t xml:space="preserve"> there is any Settlement and billing dispute regarding the amount of the debit.</w:t>
      </w:r>
    </w:p>
    <w:p w14:paraId="1FC26CAD" w14:textId="77777777" w:rsidR="003A2E8C" w:rsidRPr="00ED3498" w:rsidRDefault="003A2E8C" w:rsidP="003A2E8C">
      <w:pPr>
        <w:spacing w:after="240"/>
        <w:ind w:left="720" w:hanging="720"/>
        <w:rPr>
          <w:iCs/>
        </w:rPr>
      </w:pPr>
      <w:r w:rsidRPr="00ED3498">
        <w:rPr>
          <w:iCs/>
        </w:rPr>
        <w:lastRenderedPageBreak/>
        <w:t>(3)</w:t>
      </w:r>
      <w:r w:rsidRPr="00ED3498">
        <w:rPr>
          <w:iCs/>
        </w:rPr>
        <w:tab/>
        <w:t xml:space="preserve">ERCOT shall post the Securitization Default Charge Invoice on the MIS Certified Area. </w:t>
      </w:r>
      <w:r>
        <w:rPr>
          <w:iCs/>
        </w:rPr>
        <w:t xml:space="preserve"> </w:t>
      </w:r>
      <w:r w:rsidRPr="00ED3498">
        <w:rPr>
          <w:iCs/>
        </w:rPr>
        <w:t xml:space="preserve">The Invoice Recipient is responsible for accessing the Securitization Default Charge Invoice on the MIS Certified Area once posted by ERCOT, as described in Section 9.1.3, Settlement Statement and Invoice Access. </w:t>
      </w:r>
    </w:p>
    <w:p w14:paraId="00CFFC19" w14:textId="77777777" w:rsidR="003A2E8C" w:rsidRPr="00ED3498" w:rsidRDefault="003A2E8C" w:rsidP="003A2E8C">
      <w:pPr>
        <w:spacing w:after="240"/>
        <w:ind w:left="720" w:hanging="720"/>
        <w:rPr>
          <w:iCs/>
        </w:rPr>
      </w:pPr>
      <w:r w:rsidRPr="00ED3498">
        <w:rPr>
          <w:iCs/>
        </w:rPr>
        <w:t>(4)</w:t>
      </w:r>
      <w:r w:rsidRPr="00ED3498">
        <w:rPr>
          <w:iCs/>
        </w:rPr>
        <w:tab/>
        <w:t xml:space="preserve">The Securitization Default Charge Invoice must comply with the Settlement payment convention, as set forth in Section 9.1.5, Settlement Payment Convention. </w:t>
      </w:r>
    </w:p>
    <w:p w14:paraId="4606F6FD" w14:textId="77777777" w:rsidR="003A2E8C" w:rsidRPr="00ED3498" w:rsidRDefault="003A2E8C" w:rsidP="003A2E8C">
      <w:pPr>
        <w:spacing w:after="240"/>
        <w:ind w:left="720" w:hanging="720"/>
      </w:pPr>
      <w:r w:rsidRPr="00ED3498">
        <w:t>(5)</w:t>
      </w:r>
      <w:r w:rsidRPr="00ED3498">
        <w:tab/>
      </w:r>
      <w:r w:rsidRPr="00ED3498">
        <w:rPr>
          <w:iCs/>
        </w:rPr>
        <w:t xml:space="preserve">Securitization Default Charge Invoices </w:t>
      </w:r>
      <w:r w:rsidRPr="00ED3498">
        <w:t>must contain the following information:</w:t>
      </w:r>
    </w:p>
    <w:p w14:paraId="143E32B0" w14:textId="77777777" w:rsidR="003A2E8C" w:rsidRPr="00ED3498" w:rsidRDefault="003A2E8C" w:rsidP="003A2E8C">
      <w:pPr>
        <w:spacing w:after="240"/>
        <w:ind w:left="1440" w:hanging="720"/>
      </w:pPr>
      <w:r w:rsidRPr="00ED3498">
        <w:t>(a)</w:t>
      </w:r>
      <w:r w:rsidRPr="00ED3498">
        <w:tab/>
        <w:t>The Invoice Recipient’s name;</w:t>
      </w:r>
    </w:p>
    <w:p w14:paraId="312B42A9" w14:textId="77777777" w:rsidR="003A2E8C" w:rsidRPr="00ED3498" w:rsidRDefault="003A2E8C" w:rsidP="003A2E8C">
      <w:pPr>
        <w:spacing w:after="240"/>
        <w:ind w:left="1440" w:hanging="720"/>
      </w:pPr>
      <w:r w:rsidRPr="00ED3498">
        <w:t>(b)</w:t>
      </w:r>
      <w:r w:rsidRPr="00ED3498">
        <w:tab/>
        <w:t>The ERCOT identifier (Settlement identification number issued by ERCOT);</w:t>
      </w:r>
    </w:p>
    <w:p w14:paraId="63A91420" w14:textId="77777777" w:rsidR="003A2E8C" w:rsidRPr="00ED3498" w:rsidRDefault="003A2E8C" w:rsidP="003A2E8C">
      <w:pPr>
        <w:spacing w:after="240"/>
        <w:ind w:left="1440" w:hanging="720"/>
      </w:pPr>
      <w:r w:rsidRPr="00ED3498">
        <w:t>(c)</w:t>
      </w:r>
      <w:r w:rsidRPr="00ED3498">
        <w:tab/>
        <w:t>Net Amount Owed– the charge owed by an Invoice Recipient;</w:t>
      </w:r>
    </w:p>
    <w:p w14:paraId="6875FB72" w14:textId="77777777" w:rsidR="003A2E8C" w:rsidRPr="00ED3498" w:rsidRDefault="003A2E8C" w:rsidP="003A2E8C">
      <w:pPr>
        <w:autoSpaceDE w:val="0"/>
        <w:autoSpaceDN w:val="0"/>
        <w:spacing w:after="240"/>
        <w:ind w:left="1440" w:hanging="720"/>
        <w:rPr>
          <w:rFonts w:ascii="Segoe UI" w:hAnsi="Segoe UI" w:cs="Segoe UI"/>
          <w:color w:val="000000"/>
          <w:sz w:val="20"/>
        </w:rPr>
      </w:pPr>
      <w:r w:rsidRPr="00ED3498">
        <w:t>(d)</w:t>
      </w:r>
      <w:r w:rsidRPr="00ED3498">
        <w:tab/>
        <w:t>Time Period – the reference month for which the Securitization Default Charge Invoice is generated;</w:t>
      </w:r>
      <w:r w:rsidRPr="00ED3498">
        <w:rPr>
          <w:rFonts w:ascii="Segoe UI" w:hAnsi="Segoe UI" w:cs="Segoe UI"/>
          <w:color w:val="000000"/>
          <w:sz w:val="20"/>
        </w:rPr>
        <w:t xml:space="preserve"> </w:t>
      </w:r>
    </w:p>
    <w:p w14:paraId="113C2CDE" w14:textId="77777777" w:rsidR="003A2E8C" w:rsidRPr="00ED3498" w:rsidRDefault="003A2E8C" w:rsidP="003A2E8C">
      <w:pPr>
        <w:spacing w:after="240"/>
        <w:ind w:left="1440" w:hanging="720"/>
      </w:pPr>
      <w:r w:rsidRPr="00ED3498">
        <w:t>(e)</w:t>
      </w:r>
      <w:r w:rsidRPr="00ED3498">
        <w:tab/>
        <w:t>Run Date – the date on which the Invoice was created and published;</w:t>
      </w:r>
    </w:p>
    <w:p w14:paraId="4C91FC11" w14:textId="77777777" w:rsidR="003A2E8C" w:rsidRPr="00ED3498" w:rsidRDefault="003A2E8C" w:rsidP="003A2E8C">
      <w:pPr>
        <w:spacing w:after="240"/>
        <w:ind w:left="1440" w:hanging="720"/>
      </w:pPr>
      <w:r w:rsidRPr="00ED3498">
        <w:t>(f)</w:t>
      </w:r>
      <w:r w:rsidRPr="00ED3498">
        <w:tab/>
        <w:t>Invoice Reference Number – a unique number generated by ERCOT for payment tracking purposes;</w:t>
      </w:r>
    </w:p>
    <w:p w14:paraId="177FF397" w14:textId="77777777" w:rsidR="003A2E8C" w:rsidRPr="00ED3498" w:rsidRDefault="003A2E8C" w:rsidP="003A2E8C">
      <w:pPr>
        <w:spacing w:after="240"/>
        <w:ind w:left="1440" w:hanging="720"/>
      </w:pPr>
      <w:r w:rsidRPr="00ED3498">
        <w:t>(g)</w:t>
      </w:r>
      <w:r w:rsidRPr="00ED3498">
        <w:tab/>
        <w:t>Payment Date and Time – the date and time the Invoice amounts must be paid;</w:t>
      </w:r>
    </w:p>
    <w:p w14:paraId="22B0B269" w14:textId="77777777" w:rsidR="003A2E8C" w:rsidRPr="00ED3498" w:rsidRDefault="003A2E8C" w:rsidP="003A2E8C">
      <w:pPr>
        <w:spacing w:after="240"/>
        <w:ind w:left="1440" w:hanging="720"/>
      </w:pPr>
      <w:r w:rsidRPr="00ED3498">
        <w:t>(h)</w:t>
      </w:r>
      <w:r w:rsidRPr="00ED3498">
        <w:tab/>
        <w:t>Remittance Information Details – details including the account number, bank name, and electronic transfer instructions of the ERCOT Securitization Default Charge account to which any amounts owed by the Invoice Recipient are to be paid; and</w:t>
      </w:r>
    </w:p>
    <w:p w14:paraId="6FB935B7" w14:textId="77777777" w:rsidR="003A2E8C" w:rsidRPr="00ED3498" w:rsidRDefault="003A2E8C" w:rsidP="003A2E8C">
      <w:pPr>
        <w:spacing w:after="240"/>
        <w:ind w:left="1440" w:hanging="720"/>
      </w:pPr>
      <w:r w:rsidRPr="00ED3498">
        <w:t>(i)</w:t>
      </w:r>
      <w:r w:rsidRPr="00ED3498">
        <w:tab/>
        <w:t xml:space="preserve">Overdue Terms – the terms that would apply if the payments were received late. </w:t>
      </w:r>
    </w:p>
    <w:p w14:paraId="2F4EA9F0" w14:textId="77777777" w:rsidR="003A2E8C" w:rsidRPr="00ED3498" w:rsidRDefault="003A2E8C" w:rsidP="003A2E8C">
      <w:pPr>
        <w:spacing w:after="240"/>
        <w:ind w:left="720" w:hanging="720"/>
      </w:pPr>
      <w:r w:rsidRPr="00ED3498">
        <w:t xml:space="preserve">(6) </w:t>
      </w:r>
      <w:r w:rsidRPr="00ED3498">
        <w:tab/>
        <w:t xml:space="preserve">All disputes for </w:t>
      </w:r>
      <w:r w:rsidRPr="00ED3498">
        <w:rPr>
          <w:iCs/>
        </w:rPr>
        <w:t xml:space="preserve">Securitization </w:t>
      </w:r>
      <w:r w:rsidRPr="00ED3498">
        <w:t>Default Charge Invoices shall follow the process described in Section 9.14, Settlement and Billing Dispute Process.</w:t>
      </w:r>
    </w:p>
    <w:p w14:paraId="77DA2AC9" w14:textId="77777777" w:rsidR="003A2E8C" w:rsidRPr="00D24933" w:rsidRDefault="003A2E8C" w:rsidP="003A2E8C">
      <w:pPr>
        <w:tabs>
          <w:tab w:val="left" w:pos="1080"/>
        </w:tabs>
        <w:spacing w:before="240" w:after="240"/>
        <w:ind w:left="1080" w:hanging="1080"/>
        <w:outlineLvl w:val="2"/>
        <w:rPr>
          <w:b/>
          <w:bCs/>
          <w:i/>
        </w:rPr>
      </w:pPr>
      <w:bookmarkStart w:id="16" w:name="_Toc141427853"/>
      <w:r w:rsidRPr="00D24933">
        <w:rPr>
          <w:b/>
          <w:bCs/>
          <w:i/>
        </w:rPr>
        <w:t>26.3.1</w:t>
      </w:r>
      <w:r w:rsidRPr="00D24933">
        <w:rPr>
          <w:b/>
          <w:bCs/>
          <w:i/>
        </w:rPr>
        <w:tab/>
        <w:t>Payment Process for Securitization Default Charge Invoices</w:t>
      </w:r>
      <w:bookmarkEnd w:id="16"/>
    </w:p>
    <w:p w14:paraId="07A84F9E" w14:textId="77777777" w:rsidR="003A2E8C" w:rsidRPr="00ED3498" w:rsidRDefault="003A2E8C" w:rsidP="003A2E8C">
      <w:pPr>
        <w:keepNext/>
        <w:spacing w:after="240"/>
        <w:ind w:left="720" w:hanging="720"/>
        <w:rPr>
          <w:iCs/>
        </w:rPr>
      </w:pPr>
      <w:r w:rsidRPr="00ED3498">
        <w:rPr>
          <w:iCs/>
        </w:rPr>
        <w:t>(1)</w:t>
      </w:r>
      <w:r w:rsidRPr="00ED3498">
        <w:rPr>
          <w:iCs/>
        </w:rPr>
        <w:tab/>
        <w:t xml:space="preserve">Payments for </w:t>
      </w:r>
      <w:r w:rsidRPr="00ED3498">
        <w:t xml:space="preserve">Securitization Default Charge </w:t>
      </w:r>
      <w:r w:rsidRPr="00ED3498">
        <w:rPr>
          <w:iCs/>
        </w:rPr>
        <w:t>Invoices are due on a Business Day and Bank Business Day basis in a process detailed below.</w:t>
      </w:r>
    </w:p>
    <w:p w14:paraId="5F0317C5" w14:textId="77777777" w:rsidR="003A2E8C" w:rsidRPr="00D24933" w:rsidRDefault="003A2E8C" w:rsidP="003A2E8C">
      <w:pPr>
        <w:pStyle w:val="H4"/>
      </w:pPr>
      <w:bookmarkStart w:id="17" w:name="_Toc141427854"/>
      <w:r w:rsidRPr="00D24933">
        <w:t>26.3.1.1</w:t>
      </w:r>
      <w:r w:rsidRPr="00D24933">
        <w:tab/>
        <w:t>Invoice Recipient Payment to ERCOT for Securitization Default Charge Invoices</w:t>
      </w:r>
      <w:bookmarkEnd w:id="17"/>
    </w:p>
    <w:p w14:paraId="14B3C353" w14:textId="77777777" w:rsidR="003A2E8C" w:rsidRPr="00ED3498" w:rsidRDefault="003A2E8C" w:rsidP="003A2E8C">
      <w:pPr>
        <w:spacing w:after="240"/>
        <w:ind w:left="720" w:hanging="720"/>
      </w:pPr>
      <w:r w:rsidRPr="00ED3498">
        <w:t>(1)</w:t>
      </w:r>
      <w:r w:rsidRPr="00ED3498">
        <w:tab/>
        <w:t xml:space="preserve">The payment due date and time for </w:t>
      </w:r>
      <w:r w:rsidRPr="00ED3498">
        <w:rPr>
          <w:iCs/>
        </w:rPr>
        <w:t xml:space="preserve">Securitization </w:t>
      </w:r>
      <w:r w:rsidRPr="00ED3498">
        <w:t>Default Charge Invoices, with funds owed by an Invoice Recipient, is 1700 on the fifth Bank Business Day after the Securitization Default Charge Invoice date, unless fifth</w:t>
      </w:r>
      <w:r w:rsidRPr="00ED3498">
        <w:rPr>
          <w:vertAlign w:val="superscript"/>
        </w:rPr>
        <w:t xml:space="preserve"> </w:t>
      </w:r>
      <w:r w:rsidRPr="00ED3498">
        <w:t xml:space="preserve">Bank Business Day is not a </w:t>
      </w:r>
      <w:r w:rsidRPr="00ED3498">
        <w:lastRenderedPageBreak/>
        <w:t xml:space="preserve">Business Day.  If the fifth Bank Business Day is not a Business Day, then the payment is due by 1700 on the next Bank Business Day after the fifth Bank Business Day that is also a Business Day. </w:t>
      </w:r>
    </w:p>
    <w:p w14:paraId="4F590A10" w14:textId="77777777" w:rsidR="003A2E8C" w:rsidRPr="00ED3498" w:rsidRDefault="003A2E8C" w:rsidP="003A2E8C">
      <w:pPr>
        <w:spacing w:after="240"/>
        <w:ind w:left="720" w:hanging="720"/>
      </w:pPr>
      <w:r w:rsidRPr="00ED3498">
        <w:t>(2)</w:t>
      </w:r>
      <w:r w:rsidRPr="00ED3498">
        <w:tab/>
        <w:t xml:space="preserve">All </w:t>
      </w:r>
      <w:r w:rsidRPr="00ED3498">
        <w:rPr>
          <w:iCs/>
        </w:rPr>
        <w:t xml:space="preserve">Securitization </w:t>
      </w:r>
      <w:r w:rsidRPr="00ED3498">
        <w:t>Default Charge Invoices due, with funds owed by an Invoice Recipient, must be paid to ERCOT in U.S. Dollars (USDs) by Electronic Funds Transfer (EFT) in immediately available or good funds (i.e., not subject to reversal) on or before the payment due date.  EFTs must be with U.S. banks only.</w:t>
      </w:r>
    </w:p>
    <w:p w14:paraId="25E3E985" w14:textId="77777777" w:rsidR="003A2E8C" w:rsidRPr="00ED3498" w:rsidRDefault="003A2E8C" w:rsidP="003A2E8C">
      <w:pPr>
        <w:spacing w:after="240"/>
        <w:ind w:left="720" w:hanging="720"/>
      </w:pPr>
      <w:r w:rsidRPr="00ED3498">
        <w:t>(3)</w:t>
      </w:r>
      <w:r w:rsidRPr="00ED3498">
        <w:tab/>
      </w:r>
      <w:r w:rsidRPr="00ED3498">
        <w:rPr>
          <w:iCs/>
        </w:rPr>
        <w:t xml:space="preserve">Securitization </w:t>
      </w:r>
      <w:r w:rsidRPr="00ED3498">
        <w:t xml:space="preserve">Default Charge Invoices are distinct from other Invoices issued by ERCOT and must be paid by an EFT that is separate from any other Invoice. </w:t>
      </w:r>
      <w:r>
        <w:t xml:space="preserve"> </w:t>
      </w:r>
      <w:r w:rsidRPr="00ED3498">
        <w:t xml:space="preserve">An Invoice Recipient may not net amounts owing on a </w:t>
      </w:r>
      <w:r w:rsidRPr="00ED3498">
        <w:rPr>
          <w:iCs/>
        </w:rPr>
        <w:t xml:space="preserve">Securitization </w:t>
      </w:r>
      <w:r w:rsidRPr="00ED3498">
        <w:t xml:space="preserve">Default Charge Invoice with any other funds due to or from ERCOT. </w:t>
      </w:r>
    </w:p>
    <w:p w14:paraId="338267C3" w14:textId="77777777" w:rsidR="003A2E8C" w:rsidRPr="00ED3498" w:rsidRDefault="003A2E8C" w:rsidP="003A2E8C">
      <w:pPr>
        <w:spacing w:after="240"/>
        <w:ind w:left="720" w:hanging="720"/>
      </w:pPr>
      <w:r w:rsidRPr="00ED3498">
        <w:t>(4)</w:t>
      </w:r>
      <w:r w:rsidRPr="00ED3498">
        <w:tab/>
        <w:t>Payments for Securitization Default Charges must be made to the account listed on the Invoice.  If payment is not made to the correct account, the payment will be rejected. Failure to remit funds to the correct account may result in a Payment Breach.  The payment remark must include the Invoice number.</w:t>
      </w:r>
    </w:p>
    <w:p w14:paraId="2CD37284" w14:textId="77777777" w:rsidR="003A2E8C" w:rsidRPr="00D24933" w:rsidRDefault="003A2E8C" w:rsidP="003A2E8C">
      <w:pPr>
        <w:pStyle w:val="H4"/>
      </w:pPr>
      <w:bookmarkStart w:id="18" w:name="_Toc141427855"/>
      <w:r w:rsidRPr="00D24933">
        <w:t>26.3.1.2</w:t>
      </w:r>
      <w:r w:rsidRPr="00ED3498">
        <w:tab/>
      </w:r>
      <w:r w:rsidRPr="00D24933">
        <w:t>Insufficient Payments by Invoice Recipients for Securitization Default Charge Invoices</w:t>
      </w:r>
      <w:bookmarkEnd w:id="18"/>
      <w:r w:rsidRPr="00D24933">
        <w:t xml:space="preserve"> </w:t>
      </w:r>
    </w:p>
    <w:p w14:paraId="46DD0127" w14:textId="77777777" w:rsidR="003A2E8C" w:rsidRPr="00ED3498" w:rsidRDefault="003A2E8C" w:rsidP="003A2E8C">
      <w:pPr>
        <w:keepNext/>
        <w:spacing w:after="240"/>
        <w:ind w:left="720" w:hanging="720"/>
      </w:pPr>
      <w:r w:rsidRPr="00ED3498">
        <w:t>(1)</w:t>
      </w:r>
      <w:r w:rsidRPr="00ED3498">
        <w:tab/>
        <w:t>If an Invoice Recipient owing funds does not pay its Securitization Default Charge Invoice in full (</w:t>
      </w:r>
      <w:proofErr w:type="gramStart"/>
      <w:r w:rsidRPr="00ED3498">
        <w:t>short-pay</w:t>
      </w:r>
      <w:proofErr w:type="gramEnd"/>
      <w:r w:rsidRPr="00ED3498">
        <w:t xml:space="preserve">) by the payment due date and time set forth in Section 26.3.1.1, </w:t>
      </w:r>
      <w:r w:rsidRPr="00103DE2">
        <w:t>Invoice Recipient Payment to ERCOT for Securitization Default Charge Invoices</w:t>
      </w:r>
      <w:r>
        <w:t>,</w:t>
      </w:r>
      <w:r w:rsidRPr="00103DE2">
        <w:t xml:space="preserve"> </w:t>
      </w:r>
      <w:r w:rsidRPr="00ED3498">
        <w:t>ERCOT shall follow the procedure set forth below:</w:t>
      </w:r>
    </w:p>
    <w:p w14:paraId="27820EC9" w14:textId="77777777" w:rsidR="003A2E8C" w:rsidRPr="00ED3498" w:rsidRDefault="003A2E8C" w:rsidP="003A2E8C">
      <w:pPr>
        <w:spacing w:after="240"/>
        <w:ind w:left="1440" w:hanging="720"/>
      </w:pPr>
      <w:r w:rsidRPr="00ED3498">
        <w:t>(a)</w:t>
      </w:r>
      <w:r w:rsidRPr="00ED3498">
        <w:tab/>
        <w:t xml:space="preserve">ERCOT shall draw on any available Securitization Default Charge escrow deposits by the Invoice Recipient. </w:t>
      </w:r>
    </w:p>
    <w:p w14:paraId="437DF1C9" w14:textId="77777777" w:rsidR="003A2E8C" w:rsidRDefault="003A2E8C" w:rsidP="003A2E8C">
      <w:pPr>
        <w:spacing w:after="240"/>
        <w:ind w:left="1440" w:hanging="720"/>
      </w:pPr>
      <w:r>
        <w:t>(b)</w:t>
      </w:r>
      <w:r>
        <w:tab/>
        <w:t xml:space="preserve">If available Securitization Default Charge escrow deposits are insufficient to cover the short-paid amount, ERCOT will utilize Financial Security held with respect to other ERCOT market activities as determined in Section 16.11.4, Determination and Monitoring of Counter-Party Credit Exposure.  ERCOT may not utilize Securitization Uplift Charge escrow deposits to cover </w:t>
      </w:r>
      <w:proofErr w:type="gramStart"/>
      <w:r>
        <w:t>short-pays</w:t>
      </w:r>
      <w:proofErr w:type="gramEnd"/>
      <w:r>
        <w:t xml:space="preserve"> of Securitization Default Charges.</w:t>
      </w:r>
    </w:p>
    <w:p w14:paraId="51B191C5" w14:textId="77777777" w:rsidR="003A2E8C" w:rsidRDefault="003A2E8C" w:rsidP="003A2E8C">
      <w:pPr>
        <w:spacing w:after="240"/>
        <w:ind w:left="1440" w:hanging="720"/>
      </w:pPr>
      <w:r>
        <w:t>(c)</w:t>
      </w:r>
      <w:r>
        <w:tab/>
        <w:t xml:space="preserve">In the event that an Invoice Recipient </w:t>
      </w:r>
      <w:proofErr w:type="gramStart"/>
      <w:r>
        <w:t>short-pays</w:t>
      </w:r>
      <w:proofErr w:type="gramEnd"/>
      <w:r>
        <w:t>:</w:t>
      </w:r>
    </w:p>
    <w:p w14:paraId="24322608" w14:textId="77777777" w:rsidR="003A2E8C" w:rsidRDefault="003A2E8C" w:rsidP="003A2E8C">
      <w:pPr>
        <w:spacing w:after="240"/>
        <w:ind w:left="2137" w:hanging="720"/>
      </w:pPr>
      <w:r>
        <w:t>(i)</w:t>
      </w:r>
      <w:r>
        <w:tab/>
        <w:t>Both a Securitization Default Charge Invoice and a Securitization Uplift Charge Initial Invoice, or;</w:t>
      </w:r>
    </w:p>
    <w:p w14:paraId="32E9D73A" w14:textId="77777777" w:rsidR="003A2E8C" w:rsidRDefault="003A2E8C" w:rsidP="003A2E8C">
      <w:pPr>
        <w:spacing w:after="240"/>
        <w:ind w:left="2137" w:hanging="720"/>
      </w:pPr>
      <w:r>
        <w:t>(ii)</w:t>
      </w:r>
      <w:r>
        <w:tab/>
        <w:t xml:space="preserve">One or </w:t>
      </w:r>
      <w:proofErr w:type="gramStart"/>
      <w:r>
        <w:t>both of the above</w:t>
      </w:r>
      <w:proofErr w:type="gramEnd"/>
      <w:r>
        <w:t xml:space="preserve"> securitization Invoices as well as any other ERCOT Invoice,</w:t>
      </w:r>
    </w:p>
    <w:p w14:paraId="4FF28923" w14:textId="77777777" w:rsidR="003A2E8C" w:rsidRDefault="003A2E8C" w:rsidP="003A2E8C">
      <w:pPr>
        <w:spacing w:after="240"/>
        <w:ind w:left="1515"/>
      </w:pPr>
      <w:r>
        <w:t xml:space="preserve">and it is necessary to utilize Financial Security held with respect to other ERCOT market activities, funds drawn from Financial Security will be allocated first to </w:t>
      </w:r>
      <w:r>
        <w:lastRenderedPageBreak/>
        <w:t xml:space="preserve">cover </w:t>
      </w:r>
      <w:proofErr w:type="gramStart"/>
      <w:r>
        <w:t>short-pays</w:t>
      </w:r>
      <w:proofErr w:type="gramEnd"/>
      <w:r>
        <w:t xml:space="preserve"> of Invoices for non-</w:t>
      </w:r>
      <w:r w:rsidRPr="00007CCE">
        <w:t xml:space="preserve">securitization activity. </w:t>
      </w:r>
      <w:r>
        <w:t xml:space="preserve"> </w:t>
      </w:r>
      <w:r w:rsidRPr="00007CCE">
        <w:t xml:space="preserve">Any remaining Financial Security will be allocated pro rata </w:t>
      </w:r>
      <w:proofErr w:type="gramStart"/>
      <w:r w:rsidRPr="00007CCE">
        <w:t>on the basis of</w:t>
      </w:r>
      <w:proofErr w:type="gramEnd"/>
      <w:r w:rsidRPr="00007CCE">
        <w:t xml:space="preserve"> unpaid Invoice amounts to Securitization Uplift Charge Initial Invoices</w:t>
      </w:r>
      <w:r>
        <w:t xml:space="preserve"> and Securitization Default Charge Invoices.</w:t>
      </w:r>
    </w:p>
    <w:p w14:paraId="2683DEFB" w14:textId="77777777" w:rsidR="003A2E8C" w:rsidRPr="00ED3498" w:rsidRDefault="003A2E8C" w:rsidP="003A2E8C">
      <w:pPr>
        <w:spacing w:after="240"/>
        <w:ind w:left="1440" w:hanging="720"/>
      </w:pPr>
      <w:r w:rsidRPr="00ED3498">
        <w:t>(</w:t>
      </w:r>
      <w:r>
        <w:t>d</w:t>
      </w:r>
      <w:r w:rsidRPr="00ED3498">
        <w:t>)</w:t>
      </w:r>
      <w:r w:rsidRPr="00ED3498">
        <w:tab/>
        <w:t>Regardless of whether ERCOT’s draw on available Securitization Default Charge escrow deposits</w:t>
      </w:r>
      <w:r>
        <w:t xml:space="preserve"> or other Financial Security</w:t>
      </w:r>
      <w:r w:rsidRPr="00ED3498">
        <w:t xml:space="preserve"> under paragraph</w:t>
      </w:r>
      <w:r>
        <w:t>s</w:t>
      </w:r>
      <w:r w:rsidRPr="00ED3498">
        <w:t xml:space="preserve"> (a) </w:t>
      </w:r>
      <w:r>
        <w:t xml:space="preserve">through (c) </w:t>
      </w:r>
      <w:r w:rsidRPr="00ED3498">
        <w:t xml:space="preserve">above is sufficient to cover the amount owed by a Market Participant for a </w:t>
      </w:r>
      <w:r w:rsidRPr="00ED3498">
        <w:rPr>
          <w:iCs/>
        </w:rPr>
        <w:t xml:space="preserve">Securitization </w:t>
      </w:r>
      <w:r w:rsidRPr="00ED3498">
        <w:t xml:space="preserve">Default Charge Invoice, a Market Participant’s failure to pay the Invoice by the payment due date and time will still be deemed a Payment Breach under Section 16.11.6, Payment Breach and Late Payments by Market Participants.  </w:t>
      </w:r>
    </w:p>
    <w:p w14:paraId="2C0DFFCD" w14:textId="77777777" w:rsidR="003A2E8C" w:rsidRPr="00ED3498" w:rsidRDefault="003A2E8C" w:rsidP="003A2E8C">
      <w:pPr>
        <w:spacing w:after="240"/>
        <w:ind w:left="1440" w:hanging="720"/>
      </w:pPr>
      <w:r w:rsidRPr="00ED3498">
        <w:t>(</w:t>
      </w:r>
      <w:r>
        <w:t>e</w:t>
      </w:r>
      <w:r w:rsidRPr="00ED3498">
        <w:t>)</w:t>
      </w:r>
      <w:r w:rsidRPr="00ED3498">
        <w:tab/>
        <w:t xml:space="preserve">If an amount owed to ERCOT for a </w:t>
      </w:r>
      <w:r w:rsidRPr="00ED3498">
        <w:rPr>
          <w:iCs/>
        </w:rPr>
        <w:t xml:space="preserve">Securitization </w:t>
      </w:r>
      <w:r w:rsidRPr="00ED3498">
        <w:t>Default Charge Invoice cannot be fully recovered from a short-paying Market Participant by drawing upon available Securitization Default Charge escrow deposits</w:t>
      </w:r>
      <w:r>
        <w:t>, available Financial Security held with respect to other ERCOT market activities,</w:t>
      </w:r>
      <w:r w:rsidRPr="00ED3498">
        <w:t xml:space="preserve"> or taking other action against the Market Participant to recover the amount owed, the remaining short payment amount will be taken into consideration in ERCOT’s next evaluation of the Total Securitization Default Charge Monthly Amount performed pursuant to paragraph (4) of Section 26.2, Securitization Default Charges, that occurs after the short payment. </w:t>
      </w:r>
    </w:p>
    <w:p w14:paraId="577290F8" w14:textId="301B334A" w:rsidR="003A2E8C" w:rsidRPr="00ED3498" w:rsidRDefault="003A2E8C" w:rsidP="003A2E8C">
      <w:pPr>
        <w:spacing w:after="240"/>
        <w:ind w:left="1440" w:hanging="720"/>
      </w:pPr>
      <w:r w:rsidRPr="00ED3498">
        <w:t>(</w:t>
      </w:r>
      <w:r>
        <w:t>f</w:t>
      </w:r>
      <w:r w:rsidRPr="00ED3498">
        <w:t>)</w:t>
      </w:r>
      <w:r w:rsidRPr="00ED3498">
        <w:tab/>
        <w:t xml:space="preserve">Any action taken by under this </w:t>
      </w:r>
      <w:r>
        <w:t>S</w:t>
      </w:r>
      <w:r w:rsidRPr="00ED3498">
        <w:t>ection does not relieve or otherwise excuse the short paying Market Participant of its obligation to fully pay all outstanding financial obligations to ERCOT, including is obligation to fully pay all Securitization Default Charge Invoices.</w:t>
      </w:r>
    </w:p>
    <w:p w14:paraId="7806C0EE" w14:textId="236988E7" w:rsidR="003A2E8C" w:rsidRPr="00ED3498" w:rsidRDefault="003A2E8C" w:rsidP="003A2E8C">
      <w:pPr>
        <w:keepNext/>
        <w:tabs>
          <w:tab w:val="left" w:pos="900"/>
        </w:tabs>
        <w:spacing w:before="240" w:after="240"/>
        <w:outlineLvl w:val="1"/>
        <w:rPr>
          <w:b/>
          <w:bCs/>
        </w:rPr>
      </w:pPr>
      <w:bookmarkStart w:id="19" w:name="_Toc141427856"/>
      <w:bookmarkEnd w:id="13"/>
      <w:bookmarkEnd w:id="14"/>
      <w:bookmarkEnd w:id="15"/>
      <w:r w:rsidRPr="00D24933">
        <w:rPr>
          <w:b/>
        </w:rPr>
        <w:t>26</w:t>
      </w:r>
      <w:r w:rsidRPr="00ED3498">
        <w:rPr>
          <w:b/>
          <w:bCs/>
        </w:rPr>
        <w:t xml:space="preserve">.4 </w:t>
      </w:r>
      <w:r w:rsidRPr="00ED3498">
        <w:rPr>
          <w:b/>
          <w:bCs/>
        </w:rPr>
        <w:tab/>
        <w:t>Securitization Default Charge Supporting Data Reporting</w:t>
      </w:r>
      <w:bookmarkEnd w:id="19"/>
    </w:p>
    <w:p w14:paraId="36246DBC" w14:textId="77777777" w:rsidR="003A2E8C" w:rsidRPr="00ED3498" w:rsidRDefault="003A2E8C" w:rsidP="003A2E8C">
      <w:pPr>
        <w:spacing w:after="240"/>
        <w:ind w:left="720" w:hanging="720"/>
      </w:pPr>
      <w:r w:rsidRPr="00ED3498">
        <w:t xml:space="preserve">(1) </w:t>
      </w:r>
      <w:r w:rsidRPr="00ED3498">
        <w:tab/>
        <w:t>On a monthly basis, ERCOT shall post the following information on the Market Information System (MIS) Certified Area:</w:t>
      </w:r>
    </w:p>
    <w:p w14:paraId="2E92A821" w14:textId="77777777" w:rsidR="003A2E8C" w:rsidRPr="00ED3498" w:rsidRDefault="003A2E8C" w:rsidP="003A2E8C">
      <w:pPr>
        <w:spacing w:after="240"/>
        <w:ind w:left="1440" w:hanging="720"/>
      </w:pPr>
      <w:r w:rsidRPr="00ED3498">
        <w:t>(a)</w:t>
      </w:r>
      <w:r w:rsidRPr="00ED3498">
        <w:tab/>
      </w:r>
      <w:r w:rsidRPr="00ED3498">
        <w:rPr>
          <w:iCs/>
        </w:rPr>
        <w:t xml:space="preserve">Securitization Default Charge </w:t>
      </w:r>
      <w:r w:rsidRPr="00ED3498">
        <w:t xml:space="preserve">Maximum MWh Activity (SDCMMA); </w:t>
      </w:r>
    </w:p>
    <w:p w14:paraId="4B48C3DE" w14:textId="77777777" w:rsidR="003A2E8C" w:rsidRPr="00ED3498" w:rsidRDefault="003A2E8C" w:rsidP="003A2E8C">
      <w:pPr>
        <w:spacing w:after="240"/>
        <w:ind w:left="1440" w:hanging="720"/>
      </w:pPr>
      <w:r w:rsidRPr="00ED3498">
        <w:t>(b)</w:t>
      </w:r>
      <w:r w:rsidRPr="00ED3498">
        <w:tab/>
      </w:r>
      <w:r w:rsidRPr="00ED3498">
        <w:rPr>
          <w:iCs/>
        </w:rPr>
        <w:t xml:space="preserve">Securitization Default Charge </w:t>
      </w:r>
      <w:r w:rsidRPr="00ED3498">
        <w:t xml:space="preserve">Maximum MWh Activity Total (SDCMMATOT); </w:t>
      </w:r>
    </w:p>
    <w:p w14:paraId="418EF93C" w14:textId="77777777" w:rsidR="003A2E8C" w:rsidRPr="00ED3498" w:rsidRDefault="003A2E8C" w:rsidP="003A2E8C">
      <w:pPr>
        <w:spacing w:after="240"/>
        <w:ind w:left="1440" w:hanging="720"/>
      </w:pPr>
      <w:r w:rsidRPr="00ED3498">
        <w:t>(c)</w:t>
      </w:r>
      <w:r w:rsidRPr="00ED3498">
        <w:tab/>
      </w:r>
      <w:r w:rsidRPr="00ED3498">
        <w:rPr>
          <w:iCs/>
        </w:rPr>
        <w:t xml:space="preserve">Securitization Default Charge </w:t>
      </w:r>
      <w:r w:rsidRPr="00ED3498">
        <w:t xml:space="preserve">Maximum MWh Activity Ratio Share (SDCMMARS): and </w:t>
      </w:r>
    </w:p>
    <w:p w14:paraId="24FC479E" w14:textId="77777777" w:rsidR="003A2E8C" w:rsidRPr="00ED3498" w:rsidRDefault="003A2E8C" w:rsidP="003A2E8C">
      <w:pPr>
        <w:spacing w:after="240"/>
        <w:ind w:left="1440" w:hanging="720"/>
      </w:pPr>
      <w:r w:rsidRPr="00ED3498">
        <w:t>(d)</w:t>
      </w:r>
      <w:r w:rsidRPr="00ED3498">
        <w:tab/>
        <w:t xml:space="preserve">Counter-Party level components of the SDCMMA calculation, as defined in paragraph (2) of Section 26.2, </w:t>
      </w:r>
      <w:r w:rsidRPr="00ED3498">
        <w:rPr>
          <w:iCs/>
        </w:rPr>
        <w:t xml:space="preserve">Securitization </w:t>
      </w:r>
      <w:r w:rsidRPr="00ED3498">
        <w:t xml:space="preserve">Default Charge. </w:t>
      </w:r>
    </w:p>
    <w:p w14:paraId="5B568627" w14:textId="77777777" w:rsidR="00AE36F0" w:rsidRPr="00ED3498" w:rsidRDefault="00AE36F0" w:rsidP="00AE36F0">
      <w:pPr>
        <w:spacing w:after="240"/>
        <w:ind w:left="720" w:hanging="720"/>
      </w:pPr>
      <w:bookmarkStart w:id="20" w:name="_Toc141427857"/>
      <w:r w:rsidRPr="00ED3498">
        <w:t>(2)</w:t>
      </w:r>
      <w:r w:rsidRPr="00ED3498">
        <w:tab/>
        <w:t>ERCOT shall post separate reports containing Initial and Final Settlement data as such data becomes available.</w:t>
      </w:r>
    </w:p>
    <w:tbl>
      <w:tblPr>
        <w:tblW w:w="100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10080"/>
      </w:tblGrid>
      <w:tr w:rsidR="00AE36F0" w:rsidRPr="00ED3498" w14:paraId="3FBFE388" w14:textId="77777777" w:rsidTr="00033DF6">
        <w:tc>
          <w:tcPr>
            <w:tcW w:w="10080" w:type="dxa"/>
            <w:tcBorders>
              <w:top w:val="single" w:sz="4" w:space="0" w:color="auto"/>
              <w:left w:val="single" w:sz="4" w:space="0" w:color="auto"/>
              <w:bottom w:val="single" w:sz="4" w:space="0" w:color="auto"/>
              <w:right w:val="single" w:sz="4" w:space="0" w:color="auto"/>
            </w:tcBorders>
            <w:shd w:val="pct12" w:color="auto" w:fill="auto"/>
            <w:hideMark/>
          </w:tcPr>
          <w:p w14:paraId="1BE8CE49" w14:textId="31A9E5C8" w:rsidR="00AE36F0" w:rsidRPr="00ED3498" w:rsidRDefault="00AE36F0" w:rsidP="00033DF6">
            <w:pPr>
              <w:spacing w:before="120" w:after="240"/>
              <w:rPr>
                <w:b/>
                <w:i/>
              </w:rPr>
            </w:pPr>
            <w:r w:rsidRPr="00ED3498">
              <w:rPr>
                <w:b/>
                <w:i/>
                <w:iCs/>
              </w:rPr>
              <w:lastRenderedPageBreak/>
              <w:t>[NPRR</w:t>
            </w:r>
            <w:r>
              <w:rPr>
                <w:b/>
                <w:i/>
                <w:iCs/>
              </w:rPr>
              <w:t>1103</w:t>
            </w:r>
            <w:r w:rsidRPr="00ED3498">
              <w:rPr>
                <w:b/>
                <w:i/>
                <w:iCs/>
              </w:rPr>
              <w:t xml:space="preserve">:  </w:t>
            </w:r>
            <w:r>
              <w:rPr>
                <w:b/>
                <w:i/>
                <w:iCs/>
              </w:rPr>
              <w:t xml:space="preserve">Replace </w:t>
            </w:r>
            <w:r>
              <w:rPr>
                <w:b/>
                <w:i/>
                <w:iCs/>
              </w:rPr>
              <w:t>paragraph (2)</w:t>
            </w:r>
            <w:r w:rsidRPr="00ED3498">
              <w:rPr>
                <w:b/>
                <w:i/>
                <w:iCs/>
              </w:rPr>
              <w:t xml:space="preserve"> above with the following upon system implementation:] </w:t>
            </w:r>
          </w:p>
          <w:p w14:paraId="63794E5B" w14:textId="77777777" w:rsidR="00AE36F0" w:rsidRPr="00ED3498" w:rsidRDefault="00AE36F0" w:rsidP="00033DF6">
            <w:pPr>
              <w:spacing w:after="240"/>
              <w:ind w:left="720" w:hanging="720"/>
            </w:pPr>
            <w:r w:rsidRPr="00ED3498">
              <w:t>(2)</w:t>
            </w:r>
            <w:r w:rsidRPr="00ED3498">
              <w:tab/>
              <w:t>ERCOT shall post a report containing Initial Settlement data as such data becomes available. The report shall be updated with Final Settlement data as such data becomes available.</w:t>
            </w:r>
          </w:p>
        </w:tc>
      </w:tr>
    </w:tbl>
    <w:p w14:paraId="6958834F" w14:textId="02D0B628" w:rsidR="003F580A" w:rsidRPr="00ED3498" w:rsidRDefault="003F580A" w:rsidP="00AE36F0">
      <w:pPr>
        <w:keepNext/>
        <w:tabs>
          <w:tab w:val="left" w:pos="900"/>
        </w:tabs>
        <w:spacing w:before="480" w:after="240"/>
        <w:outlineLvl w:val="1"/>
        <w:rPr>
          <w:b/>
          <w:bCs/>
        </w:rPr>
      </w:pPr>
      <w:r w:rsidRPr="00D24933">
        <w:rPr>
          <w:b/>
        </w:rPr>
        <w:t>26</w:t>
      </w:r>
      <w:r w:rsidRPr="00ED3498">
        <w:rPr>
          <w:b/>
          <w:bCs/>
        </w:rPr>
        <w:t>.5</w:t>
      </w:r>
      <w:r w:rsidRPr="00ED3498">
        <w:rPr>
          <w:b/>
          <w:bCs/>
        </w:rPr>
        <w:tab/>
        <w:t>Securitization Default Charge Escrow Deposit Requirements</w:t>
      </w:r>
      <w:bookmarkEnd w:id="20"/>
    </w:p>
    <w:p w14:paraId="03B25435" w14:textId="77777777" w:rsidR="003F580A" w:rsidRPr="003F580A" w:rsidRDefault="003F580A" w:rsidP="003F580A">
      <w:pPr>
        <w:tabs>
          <w:tab w:val="left" w:pos="1080"/>
        </w:tabs>
        <w:spacing w:before="240" w:after="240"/>
        <w:ind w:left="1080" w:hanging="1080"/>
        <w:outlineLvl w:val="2"/>
        <w:rPr>
          <w:b/>
          <w:bCs/>
          <w:i/>
        </w:rPr>
      </w:pPr>
      <w:bookmarkStart w:id="21" w:name="_Toc141427858"/>
      <w:r w:rsidRPr="003F580A">
        <w:rPr>
          <w:b/>
          <w:bCs/>
          <w:i/>
        </w:rPr>
        <w:t xml:space="preserve">26.5.1 </w:t>
      </w:r>
      <w:r w:rsidRPr="003F580A">
        <w:rPr>
          <w:b/>
          <w:bCs/>
          <w:i/>
        </w:rPr>
        <w:tab/>
        <w:t>Securitization Default Charge Escrow</w:t>
      </w:r>
      <w:bookmarkEnd w:id="21"/>
    </w:p>
    <w:p w14:paraId="6B5514F2" w14:textId="77777777" w:rsidR="003F580A" w:rsidRPr="00ED3498" w:rsidRDefault="003F580A" w:rsidP="003F580A">
      <w:pPr>
        <w:numPr>
          <w:ilvl w:val="0"/>
          <w:numId w:val="31"/>
        </w:numPr>
        <w:spacing w:after="240"/>
        <w:ind w:left="720"/>
        <w:rPr>
          <w:iCs/>
        </w:rPr>
      </w:pPr>
      <w:r w:rsidRPr="00ED3498">
        <w:rPr>
          <w:iCs/>
        </w:rPr>
        <w:t>The term “Securitization Default Charge escrow deposit” means the amount required to be deposited with ERCOT in the form of cash or an unconditional, irrevocable letter of credit to be held in escrow for a Market Participant’s obligation to pay Securitization Default Charges.</w:t>
      </w:r>
    </w:p>
    <w:p w14:paraId="3A1181C0" w14:textId="77777777" w:rsidR="003F580A" w:rsidRPr="00ED3498" w:rsidRDefault="003F580A" w:rsidP="003F580A">
      <w:pPr>
        <w:numPr>
          <w:ilvl w:val="0"/>
          <w:numId w:val="31"/>
        </w:numPr>
        <w:spacing w:after="240"/>
        <w:ind w:left="720"/>
        <w:rPr>
          <w:iCs/>
        </w:rPr>
      </w:pPr>
      <w:r w:rsidRPr="00ED3498">
        <w:rPr>
          <w:iCs/>
        </w:rPr>
        <w:t xml:space="preserve">Although ERCOT is the servicer for the assessment and collection of Securitization Default Charges, by providing escrow deposits pursuant to this Section each Counter-Party grants the </w:t>
      </w:r>
      <w:r w:rsidRPr="00ED3498">
        <w:rPr>
          <w:bCs/>
        </w:rPr>
        <w:t xml:space="preserve">Texas Electric Market Stabilization Funding M LLC (TEMSFM) a secured interest in Securitization Default Charge escrow deposits to secure its obligation to pay the same. </w:t>
      </w:r>
    </w:p>
    <w:p w14:paraId="4CAB63B6" w14:textId="77777777" w:rsidR="003F580A" w:rsidRPr="00ED3498" w:rsidRDefault="003F580A" w:rsidP="003F580A">
      <w:pPr>
        <w:numPr>
          <w:ilvl w:val="0"/>
          <w:numId w:val="31"/>
        </w:numPr>
        <w:spacing w:after="240"/>
        <w:ind w:left="720"/>
        <w:rPr>
          <w:iCs/>
        </w:rPr>
      </w:pPr>
      <w:r w:rsidRPr="00ED3498">
        <w:rPr>
          <w:bCs/>
        </w:rPr>
        <w:t xml:space="preserve">The security interest of TEMSFM is perfected upon a Counter-Party’s deposit of cash or a letter of credit with ERCOT pursuant to this Section. </w:t>
      </w:r>
    </w:p>
    <w:p w14:paraId="661D2976" w14:textId="77777777" w:rsidR="003F580A" w:rsidRPr="003F580A" w:rsidRDefault="003F580A" w:rsidP="003F580A">
      <w:pPr>
        <w:tabs>
          <w:tab w:val="left" w:pos="1080"/>
        </w:tabs>
        <w:spacing w:before="240" w:after="240"/>
        <w:ind w:left="1080" w:hanging="1080"/>
        <w:outlineLvl w:val="2"/>
        <w:rPr>
          <w:b/>
          <w:bCs/>
          <w:i/>
        </w:rPr>
      </w:pPr>
      <w:bookmarkStart w:id="22" w:name="_Toc141427859"/>
      <w:r w:rsidRPr="003F580A">
        <w:rPr>
          <w:b/>
          <w:bCs/>
          <w:i/>
        </w:rPr>
        <w:t xml:space="preserve">26.5.2 </w:t>
      </w:r>
      <w:r w:rsidRPr="003F580A">
        <w:rPr>
          <w:b/>
          <w:bCs/>
          <w:i/>
        </w:rPr>
        <w:tab/>
        <w:t>ERCOT Securitization Default Charge Credit Requirements for Counter-Parties</w:t>
      </w:r>
      <w:bookmarkEnd w:id="22"/>
      <w:r w:rsidRPr="003F580A">
        <w:rPr>
          <w:b/>
          <w:bCs/>
          <w:i/>
        </w:rPr>
        <w:t xml:space="preserve">  </w:t>
      </w:r>
    </w:p>
    <w:p w14:paraId="07CC86BC" w14:textId="77777777" w:rsidR="003F580A" w:rsidRPr="00ED3498" w:rsidRDefault="003F580A" w:rsidP="003F580A">
      <w:pPr>
        <w:numPr>
          <w:ilvl w:val="0"/>
          <w:numId w:val="32"/>
        </w:numPr>
        <w:spacing w:after="240"/>
      </w:pPr>
      <w:bookmarkStart w:id="23" w:name="_Hlk85616426"/>
      <w:r w:rsidRPr="00ED3498">
        <w:t xml:space="preserve">A Counter-Party must, at all times, maintain its Securitization Default Charge escrow deposit at or above the amount of its Securitization Default Charge Credit Exposure (SDCCE).  Each Counter-Party shall maintain any required Securitization Default Charge escrow deposit in a form acceptable to ERCOT in its sole discretion pursuant to Section 26.5.3, Means of Satisfying Securitization Default Charge Credit Requirements. </w:t>
      </w:r>
    </w:p>
    <w:bookmarkEnd w:id="23"/>
    <w:p w14:paraId="4C599F3B" w14:textId="77777777" w:rsidR="003F580A" w:rsidRPr="00ED3498" w:rsidRDefault="003F580A" w:rsidP="003F580A">
      <w:pPr>
        <w:numPr>
          <w:ilvl w:val="0"/>
          <w:numId w:val="32"/>
        </w:numPr>
        <w:spacing w:after="240"/>
      </w:pPr>
      <w:r w:rsidRPr="00ED3498">
        <w:t xml:space="preserve">If at any time a Counter-Party does not meet ERCOT’s SDCCE  requirements, then the Counter-Party will be considered to be in Payment Breach and ERCOT may suspend the Counter-Party’s rights under these Protocols until it meets the SDCCE requirements.  </w:t>
      </w:r>
    </w:p>
    <w:p w14:paraId="253E7878" w14:textId="10B19A2E" w:rsidR="003F580A" w:rsidRPr="00ED3498" w:rsidRDefault="003F580A" w:rsidP="003F580A">
      <w:pPr>
        <w:numPr>
          <w:ilvl w:val="0"/>
          <w:numId w:val="32"/>
        </w:numPr>
        <w:spacing w:after="240"/>
      </w:pPr>
      <w:r w:rsidRPr="00ED3498">
        <w:t xml:space="preserve">ERCOT’s failure to suspend a Counter-Party’s rights on any particular occasion does not prevent ERCOT from suspending those rights on any subsequent occasion, including a </w:t>
      </w:r>
      <w:r w:rsidR="000505C8">
        <w:t>Congestion Revenue Right (</w:t>
      </w:r>
      <w:r w:rsidR="000505C8" w:rsidRPr="00ED3498">
        <w:t>CRR</w:t>
      </w:r>
      <w:r w:rsidR="000505C8">
        <w:t>)</w:t>
      </w:r>
      <w:r w:rsidR="000505C8" w:rsidRPr="00ED3498">
        <w:t xml:space="preserve"> </w:t>
      </w:r>
      <w:r w:rsidRPr="00ED3498">
        <w:t>Account Holder’s ability to bid on future CRRs or a Qualified Scheduling Entity’s</w:t>
      </w:r>
      <w:r w:rsidR="00103DE2">
        <w:t xml:space="preserve"> (QSE’s)</w:t>
      </w:r>
      <w:r w:rsidRPr="00ED3498">
        <w:t xml:space="preserve"> ability to bid in the Day-Ahead Market (DAM). </w:t>
      </w:r>
    </w:p>
    <w:p w14:paraId="68A06BDB" w14:textId="66E9C307" w:rsidR="003F580A" w:rsidRPr="003F580A" w:rsidRDefault="003F580A" w:rsidP="003F580A">
      <w:pPr>
        <w:tabs>
          <w:tab w:val="left" w:pos="1080"/>
        </w:tabs>
        <w:spacing w:before="240" w:after="240"/>
        <w:ind w:left="1080" w:hanging="1080"/>
        <w:outlineLvl w:val="2"/>
        <w:rPr>
          <w:b/>
          <w:bCs/>
          <w:i/>
        </w:rPr>
      </w:pPr>
      <w:bookmarkStart w:id="24" w:name="_Toc141427860"/>
      <w:bookmarkStart w:id="25" w:name="_Hlk85615753"/>
      <w:r w:rsidRPr="003F580A">
        <w:rPr>
          <w:b/>
          <w:bCs/>
          <w:i/>
        </w:rPr>
        <w:t>26.5.3</w:t>
      </w:r>
      <w:r w:rsidRPr="003F580A">
        <w:rPr>
          <w:b/>
          <w:bCs/>
          <w:i/>
        </w:rPr>
        <w:tab/>
        <w:t>Means of Satisfying Securitization Default Charge Credit Requirements</w:t>
      </w:r>
      <w:bookmarkEnd w:id="24"/>
    </w:p>
    <w:p w14:paraId="6D56AFB6" w14:textId="77777777" w:rsidR="003F580A" w:rsidRPr="00ED3498" w:rsidRDefault="003F580A" w:rsidP="003F580A">
      <w:pPr>
        <w:spacing w:after="240"/>
        <w:ind w:left="702" w:hanging="702"/>
      </w:pPr>
      <w:r w:rsidRPr="00ED3498">
        <w:lastRenderedPageBreak/>
        <w:t>(1)</w:t>
      </w:r>
      <w:r w:rsidRPr="00ED3498">
        <w:tab/>
        <w:t>If a Counter-Party is required to provide a Securitization Default Charge escrow deposit, then it may do so through one or both of the following means:</w:t>
      </w:r>
    </w:p>
    <w:p w14:paraId="319FBC53" w14:textId="2D2DBBC3" w:rsidR="003F580A" w:rsidRPr="00ED3498" w:rsidRDefault="003F580A" w:rsidP="003F580A">
      <w:pPr>
        <w:spacing w:after="240"/>
        <w:ind w:left="1440" w:hanging="720"/>
      </w:pPr>
      <w:bookmarkStart w:id="26" w:name="_Hlk82022676"/>
      <w:r w:rsidRPr="00ED3498">
        <w:t>(a)</w:t>
      </w:r>
      <w:r w:rsidRPr="00ED3498">
        <w:tab/>
        <w:t xml:space="preserve">The Counter-Party may give an unconditional, irrevocable letter of credit naming TEMSFM as the beneficiary.  ERCOT or the TEMSFM may reject the letter of credit if the issuer is unacceptable to ERCOT or TEMSFM or if the conditions under which ERCOT or TEMSFM may draw against the letter of credit are unacceptable to ERCOT or TEMSFM. </w:t>
      </w:r>
    </w:p>
    <w:p w14:paraId="58088282" w14:textId="6A56CB52" w:rsidR="003F580A" w:rsidRPr="00ED3498" w:rsidRDefault="003F580A" w:rsidP="003F580A">
      <w:pPr>
        <w:spacing w:after="240"/>
        <w:ind w:left="1440" w:hanging="720"/>
      </w:pPr>
      <w:r w:rsidRPr="00ED3498">
        <w:t>(b)</w:t>
      </w:r>
      <w:r w:rsidRPr="00ED3498">
        <w:tab/>
        <w:t>All letters of credit must be drawn on a US domestic bank or a domestic office of a foreign bank, and must meet the requirements in Section 16.11.3, Alternative Means of Satisfying ERCOT Creditworthiness Requirement</w:t>
      </w:r>
      <w:r w:rsidR="00C426EE">
        <w:t>s</w:t>
      </w:r>
      <w:r w:rsidRPr="00ED3498">
        <w:t xml:space="preserve">. </w:t>
      </w:r>
    </w:p>
    <w:p w14:paraId="5983A492" w14:textId="77777777" w:rsidR="003F580A" w:rsidRPr="00ED3498" w:rsidRDefault="003F580A" w:rsidP="003F580A">
      <w:pPr>
        <w:spacing w:after="240"/>
        <w:ind w:left="1440" w:hanging="720"/>
      </w:pPr>
      <w:r w:rsidRPr="00ED3498">
        <w:t>(c)</w:t>
      </w:r>
      <w:r w:rsidRPr="00ED3498">
        <w:tab/>
        <w:t>Letters of credit held as Securitization Default Charge escrow deposits are subject to letter of credit issuer limits as specified in paragraph (1) of Section 16.11.3.</w:t>
      </w:r>
    </w:p>
    <w:bookmarkEnd w:id="26"/>
    <w:p w14:paraId="2A4D4BBC" w14:textId="77777777" w:rsidR="003F580A" w:rsidRPr="00ED3498" w:rsidRDefault="003F580A" w:rsidP="003F580A">
      <w:pPr>
        <w:spacing w:after="240"/>
        <w:ind w:left="1440" w:hanging="720"/>
      </w:pPr>
      <w:r w:rsidRPr="00ED3498">
        <w:t>(d)</w:t>
      </w:r>
      <w:r w:rsidRPr="00ED3498">
        <w:tab/>
        <w:t xml:space="preserve">The Counter-Party may deposit cash with </w:t>
      </w:r>
      <w:r w:rsidR="00221F1C" w:rsidRPr="004F34AC">
        <w:t xml:space="preserve">TEMSFM through </w:t>
      </w:r>
      <w:r w:rsidRPr="00ED3498">
        <w:t>ERCOT with the understanding that ERCOT may draw part or all of the deposited cash to satisfy any overdue payments owed by the Counter-Party to ERCOT for Securitization Default Charges.</w:t>
      </w:r>
      <w:r w:rsidR="000505C8">
        <w:t xml:space="preserve"> </w:t>
      </w:r>
      <w:r w:rsidRPr="00ED3498">
        <w:t xml:space="preserve"> The cash deposits may bear interest payable directly to the Counter-Party, but any such arrangements may not restrict ERCOT’s immediate access to the cash.  </w:t>
      </w:r>
    </w:p>
    <w:p w14:paraId="725F24D7" w14:textId="7218772B" w:rsidR="003F580A" w:rsidRPr="00ED3498" w:rsidRDefault="003F580A" w:rsidP="003F580A">
      <w:pPr>
        <w:spacing w:after="240"/>
        <w:ind w:left="2160" w:hanging="720"/>
      </w:pPr>
      <w:r w:rsidRPr="00ED3498">
        <w:t>(i)</w:t>
      </w:r>
      <w:r w:rsidRPr="00ED3498">
        <w:tab/>
        <w:t xml:space="preserve">Interest on cash deposited pursuant to this Section will be calculated based on Counter-Party average cash deposit balance.  Interest is not paid on a cash deposit balance held by </w:t>
      </w:r>
      <w:r w:rsidR="00221F1C">
        <w:t>TEMSFM</w:t>
      </w:r>
      <w:r w:rsidRPr="00ED3498">
        <w:t xml:space="preserve"> where, in accordance with paragraph (4) of Section 16.11.7, Release of Market Participant’s Financial Security Requirement, the Counter-Party’s Standard Form Market Participant Agreement has been terminated and ERCOT has determined that no obligations for Securitization Default Charges remain owing or will become due and payable.</w:t>
      </w:r>
    </w:p>
    <w:p w14:paraId="47153920" w14:textId="77777777" w:rsidR="003F580A" w:rsidRPr="00ED3498" w:rsidRDefault="003F580A" w:rsidP="003F580A">
      <w:pPr>
        <w:spacing w:after="240"/>
        <w:ind w:left="2160" w:hanging="720"/>
      </w:pPr>
      <w:r w:rsidRPr="00ED3498">
        <w:t>(ii)</w:t>
      </w:r>
      <w:r w:rsidRPr="00ED3498">
        <w:tab/>
        <w:t>Once per year, ERCOT will return interest earned on a Counter-Party’s cash deposits pursuant to this Section to the Counter-Party.</w:t>
      </w:r>
    </w:p>
    <w:p w14:paraId="143D658E" w14:textId="4E88F431" w:rsidR="003F580A" w:rsidRPr="00ED3498" w:rsidRDefault="003F580A" w:rsidP="003F580A">
      <w:pPr>
        <w:spacing w:after="240"/>
        <w:ind w:left="720" w:hanging="720"/>
      </w:pPr>
      <w:r w:rsidRPr="00ED3498">
        <w:t>(2)</w:t>
      </w:r>
      <w:r w:rsidRPr="00ED3498">
        <w:tab/>
        <w:t xml:space="preserve">Securitization Default Charge escrow deposits are held solely for the purpose of collateralizing </w:t>
      </w:r>
      <w:r w:rsidR="00103DE2">
        <w:t>SDCCE</w:t>
      </w:r>
      <w:r w:rsidR="00221F1C" w:rsidRPr="00221F1C">
        <w:t xml:space="preserve"> </w:t>
      </w:r>
      <w:r w:rsidR="00221F1C">
        <w:t>and shall not be used for any other purpose</w:t>
      </w:r>
      <w:r w:rsidRPr="00ED3498">
        <w:t xml:space="preserve">. </w:t>
      </w:r>
      <w:r w:rsidR="000505C8">
        <w:t xml:space="preserve"> </w:t>
      </w:r>
      <w:r w:rsidRPr="00ED3498">
        <w:t>They are independent of and in addition to any other Financial Security obligations of the Counter-Party arising under Section 16.11, Financial Security for Counter-Parties</w:t>
      </w:r>
      <w:r w:rsidR="00221F1C" w:rsidRPr="00ED3498">
        <w:t>, or Section 27, Securitization Uplift Charges</w:t>
      </w:r>
      <w:r w:rsidRPr="00ED3498">
        <w:t xml:space="preserve">. </w:t>
      </w:r>
    </w:p>
    <w:p w14:paraId="740CCA16" w14:textId="013E7CD8" w:rsidR="009E2081" w:rsidRPr="00ED3498" w:rsidRDefault="009E2081" w:rsidP="009E2081">
      <w:pPr>
        <w:spacing w:after="240"/>
        <w:ind w:left="720" w:hanging="720"/>
      </w:pPr>
      <w:r>
        <w:t>(3)</w:t>
      </w:r>
      <w:r>
        <w:tab/>
      </w:r>
      <w:bookmarkStart w:id="27" w:name="_Hlk95138507"/>
      <w:r>
        <w:t xml:space="preserve">Funds provided for Securitization Default Charge escrow deposits must be made to the account designated for Securitization Default Charge escrow deposits.  If a payment is not made to the correct account, ERCOT is not responsible for transferring the funds to the correct escrow deposit account.  Failure to remit funds to the correct account by the date and time required will result in a Late Payment and/or Payment </w:t>
      </w:r>
      <w:r w:rsidR="00103DE2">
        <w:t>B</w:t>
      </w:r>
      <w:r>
        <w:t>reach.</w:t>
      </w:r>
      <w:bookmarkEnd w:id="27"/>
    </w:p>
    <w:p w14:paraId="126DC5C4" w14:textId="0811A9D3" w:rsidR="003F580A" w:rsidRPr="00ED3498" w:rsidRDefault="003F580A" w:rsidP="003F580A">
      <w:pPr>
        <w:spacing w:after="240"/>
        <w:ind w:left="720" w:hanging="720"/>
      </w:pPr>
      <w:r w:rsidRPr="00ED3498">
        <w:lastRenderedPageBreak/>
        <w:t>(</w:t>
      </w:r>
      <w:r w:rsidR="009E2081">
        <w:t>4</w:t>
      </w:r>
      <w:r w:rsidRPr="00ED3498">
        <w:t>)</w:t>
      </w:r>
      <w:r w:rsidRPr="00ED3498">
        <w:tab/>
        <w:t xml:space="preserve">A Counter-Party with excess cash held with respect to one or more Securitization Default Charge escrow deposit requirements may request ERCOT to return some or all of the excess cash to the Counter-Party. </w:t>
      </w:r>
    </w:p>
    <w:p w14:paraId="1848A721" w14:textId="6C11CBD2" w:rsidR="003F580A" w:rsidRPr="00ED3498" w:rsidRDefault="003F580A" w:rsidP="003F580A">
      <w:pPr>
        <w:spacing w:after="240"/>
        <w:ind w:left="720" w:hanging="720"/>
      </w:pPr>
      <w:r w:rsidRPr="00ED3498">
        <w:t>(</w:t>
      </w:r>
      <w:r w:rsidR="009E2081">
        <w:t>5</w:t>
      </w:r>
      <w:r w:rsidRPr="00ED3498">
        <w:t>)</w:t>
      </w:r>
      <w:r w:rsidRPr="00ED3498">
        <w:tab/>
        <w:t>Securitization Default Charge escrow deposits will not be used to pay periodic Securitization Default Charge Invoices unless there is an insufficient payment by the Invoice Recipient, in accordance with Section 26.3.1.2, Insufficient Payments by Invoice Recipients for Securitization Default Charge</w:t>
      </w:r>
      <w:r w:rsidR="00770F6D">
        <w:t xml:space="preserve"> Invoices</w:t>
      </w:r>
      <w:r w:rsidRPr="00ED3498">
        <w:t>.</w:t>
      </w:r>
    </w:p>
    <w:p w14:paraId="364055EF" w14:textId="37867138" w:rsidR="003F580A" w:rsidRPr="00ED3498" w:rsidRDefault="003F580A" w:rsidP="003F580A">
      <w:pPr>
        <w:spacing w:after="240"/>
        <w:ind w:left="720" w:hanging="720"/>
      </w:pPr>
      <w:r w:rsidRPr="00ED3498">
        <w:t>(</w:t>
      </w:r>
      <w:r w:rsidR="009E2081">
        <w:t>6</w:t>
      </w:r>
      <w:r w:rsidRPr="00ED3498">
        <w:t>)</w:t>
      </w:r>
      <w:r w:rsidRPr="00ED3498">
        <w:tab/>
        <w:t xml:space="preserve">Securitization Default Charge escrow deposits in excess of the </w:t>
      </w:r>
      <w:r w:rsidR="00103DE2">
        <w:t>SDCCE</w:t>
      </w:r>
      <w:r w:rsidRPr="00ED3498">
        <w:t xml:space="preserve"> requirement shall not be used to cover insufficient payments of Settlement Invoices for ERCOT market activities under Section 9.19, Partial Payments by Invoice Recipients, or requests for additional Financial Security made in accordance with paragraph (6) of Section 16.11.5, Monitoring of a Counter-Party’s Creditworthiness and Credit Exposure by ERCOT.</w:t>
      </w:r>
      <w:r w:rsidR="00221F1C">
        <w:t xml:space="preserve">  Further, </w:t>
      </w:r>
      <w:r w:rsidR="00221F1C" w:rsidRPr="0032586F">
        <w:t>Securitization Default Charge escrow deposits</w:t>
      </w:r>
      <w:r w:rsidR="00221F1C">
        <w:t xml:space="preserve"> </w:t>
      </w:r>
      <w:r w:rsidR="00221F1C" w:rsidRPr="0032586F">
        <w:t xml:space="preserve">in excess of the </w:t>
      </w:r>
      <w:r w:rsidR="00103DE2">
        <w:t>SDCCE</w:t>
      </w:r>
      <w:r w:rsidR="00221F1C" w:rsidRPr="0032586F">
        <w:t xml:space="preserve"> </w:t>
      </w:r>
      <w:r w:rsidR="00221F1C">
        <w:t>shall not be used to cover insufficient payments of Invoices or escrow deposit requirements under Section 27.</w:t>
      </w:r>
    </w:p>
    <w:p w14:paraId="5D2D8D76" w14:textId="77777777" w:rsidR="003F580A" w:rsidRPr="00D24933" w:rsidRDefault="003F580A" w:rsidP="003F580A">
      <w:pPr>
        <w:tabs>
          <w:tab w:val="left" w:pos="1080"/>
        </w:tabs>
        <w:spacing w:before="240" w:after="240"/>
        <w:ind w:left="1080" w:hanging="1080"/>
        <w:outlineLvl w:val="2"/>
        <w:rPr>
          <w:b/>
          <w:bCs/>
          <w:i/>
        </w:rPr>
      </w:pPr>
      <w:bookmarkStart w:id="28" w:name="_Toc141427861"/>
      <w:bookmarkEnd w:id="25"/>
      <w:r w:rsidRPr="00D24933">
        <w:rPr>
          <w:b/>
          <w:bCs/>
          <w:i/>
        </w:rPr>
        <w:t>26.5.4</w:t>
      </w:r>
      <w:r w:rsidRPr="00D24933">
        <w:rPr>
          <w:b/>
          <w:bCs/>
          <w:i/>
        </w:rPr>
        <w:tab/>
        <w:t>Determination of Securitization Default Charge Credit Exposure for a Counter-Party</w:t>
      </w:r>
      <w:bookmarkEnd w:id="28"/>
    </w:p>
    <w:p w14:paraId="3798C754" w14:textId="3BB23D06" w:rsidR="003F580A" w:rsidRPr="00ED3498" w:rsidRDefault="003F580A" w:rsidP="003F580A">
      <w:pPr>
        <w:spacing w:after="240"/>
        <w:ind w:left="720" w:hanging="720"/>
      </w:pPr>
      <w:bookmarkStart w:id="29" w:name="_Hlk83215642"/>
      <w:r w:rsidRPr="00ED3498">
        <w:t>(1)</w:t>
      </w:r>
      <w:r w:rsidRPr="00ED3498">
        <w:tab/>
      </w:r>
      <w:bookmarkEnd w:id="29"/>
      <w:r w:rsidRPr="00ED3498">
        <w:t xml:space="preserve">For each Counter-Party, ERCOT shall calculate the </w:t>
      </w:r>
      <w:r w:rsidR="00103DE2">
        <w:t>SDCCE</w:t>
      </w:r>
      <w:r w:rsidRPr="00ED3498">
        <w:t xml:space="preserve"> as follows:</w:t>
      </w:r>
    </w:p>
    <w:p w14:paraId="7B23A4B9" w14:textId="3FDBD430" w:rsidR="003F580A" w:rsidRPr="00ED3498" w:rsidRDefault="003F580A" w:rsidP="003F580A">
      <w:pPr>
        <w:spacing w:after="240"/>
        <w:ind w:left="1440" w:hanging="720"/>
      </w:pPr>
      <w:r w:rsidRPr="00ED3498">
        <w:t xml:space="preserve">SDCCE </w:t>
      </w:r>
      <w:r w:rsidRPr="00ED3498">
        <w:rPr>
          <w:i/>
          <w:sz w:val="20"/>
          <w:vertAlign w:val="subscript"/>
        </w:rPr>
        <w:t xml:space="preserve">cp </w:t>
      </w:r>
      <w:r w:rsidRPr="00ED3498">
        <w:rPr>
          <w:sz w:val="20"/>
          <w:vertAlign w:val="subscript"/>
        </w:rPr>
        <w:t xml:space="preserve"> </w:t>
      </w:r>
      <w:r w:rsidRPr="00ED3498">
        <w:t xml:space="preserve">=  </w:t>
      </w:r>
      <w:r w:rsidRPr="00ED3498">
        <w:rPr>
          <w:vertAlign w:val="subscript"/>
        </w:rPr>
        <w:t xml:space="preserve"> </w:t>
      </w:r>
      <w:r w:rsidRPr="00ED3498">
        <w:t>SDCMMARS</w:t>
      </w:r>
      <w:r w:rsidRPr="00ED3498">
        <w:rPr>
          <w:i/>
          <w:vertAlign w:val="subscript"/>
        </w:rPr>
        <w:t xml:space="preserve"> cp, rm</w:t>
      </w:r>
      <w:r w:rsidRPr="00ED3498">
        <w:rPr>
          <w:vertAlign w:val="subscript"/>
        </w:rPr>
        <w:t xml:space="preserve">  </w:t>
      </w:r>
      <w:r w:rsidRPr="00ED3498">
        <w:t xml:space="preserve">* </w:t>
      </w:r>
      <w:r w:rsidRPr="00ED3498">
        <w:rPr>
          <w:vertAlign w:val="subscript"/>
        </w:rPr>
        <w:t xml:space="preserve"> </w:t>
      </w:r>
      <m:oMath>
        <m:nary>
          <m:naryPr>
            <m:chr m:val="∑"/>
            <m:limLoc m:val="undOvr"/>
            <m:ctrlPr>
              <w:rPr>
                <w:rFonts w:ascii="Cambria Math" w:hAnsi="Cambria Math"/>
                <w:i/>
                <w:iCs/>
              </w:rPr>
            </m:ctrlPr>
          </m:naryPr>
          <m:sub>
            <m:r>
              <w:rPr>
                <w:rFonts w:ascii="Cambria Math" w:hAnsi="Cambria Math"/>
              </w:rPr>
              <m:t xml:space="preserve">fmd=1 </m:t>
            </m:r>
          </m:sub>
          <m:sup>
            <m:r>
              <w:rPr>
                <w:rFonts w:ascii="Cambria Math" w:hAnsi="Cambria Math"/>
              </w:rPr>
              <m:t>nfmd</m:t>
            </m:r>
          </m:sup>
          <m:e>
            <m:r>
              <m:rPr>
                <m:sty m:val="p"/>
              </m:rPr>
              <w:rPr>
                <w:rFonts w:ascii="Cambria Math" w:hAnsi="Cambria Math"/>
              </w:rPr>
              <m:t>(</m:t>
            </m:r>
          </m:e>
        </m:nary>
      </m:oMath>
      <w:r w:rsidRPr="00ED3498">
        <w:t>TSDCMA</w:t>
      </w:r>
      <w:r w:rsidRPr="00ED3498">
        <w:rPr>
          <w:i/>
          <w:vertAlign w:val="subscript"/>
        </w:rPr>
        <w:t xml:space="preserve"> </w:t>
      </w:r>
      <w:proofErr w:type="spellStart"/>
      <w:r w:rsidRPr="00ED3498">
        <w:rPr>
          <w:i/>
          <w:vertAlign w:val="subscript"/>
        </w:rPr>
        <w:t>fmd</w:t>
      </w:r>
      <w:proofErr w:type="spellEnd"/>
      <w:r w:rsidRPr="00ED3498">
        <w:t>)</w:t>
      </w:r>
    </w:p>
    <w:p w14:paraId="21734ACA" w14:textId="77777777" w:rsidR="003F580A" w:rsidRPr="00ED3498" w:rsidRDefault="003F580A" w:rsidP="003F580A">
      <w:pPr>
        <w:ind w:left="720" w:hanging="720"/>
      </w:pPr>
      <w:r w:rsidRPr="00ED3498">
        <w:t>The above variables are defined as follows:</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9"/>
        <w:gridCol w:w="883"/>
        <w:gridCol w:w="6028"/>
      </w:tblGrid>
      <w:tr w:rsidR="003F580A" w:rsidRPr="00ED3498" w14:paraId="253E4E95" w14:textId="77777777" w:rsidTr="000C6618">
        <w:trPr>
          <w:trHeight w:val="351"/>
          <w:tblHeader/>
        </w:trPr>
        <w:tc>
          <w:tcPr>
            <w:tcW w:w="2179" w:type="dxa"/>
            <w:tcBorders>
              <w:top w:val="single" w:sz="4" w:space="0" w:color="auto"/>
              <w:left w:val="single" w:sz="4" w:space="0" w:color="auto"/>
              <w:bottom w:val="single" w:sz="4" w:space="0" w:color="auto"/>
              <w:right w:val="single" w:sz="4" w:space="0" w:color="auto"/>
            </w:tcBorders>
            <w:hideMark/>
          </w:tcPr>
          <w:p w14:paraId="5F08EB57" w14:textId="77777777" w:rsidR="003F580A" w:rsidRPr="00ED3498" w:rsidRDefault="003F580A" w:rsidP="000C6618">
            <w:pPr>
              <w:spacing w:after="240"/>
              <w:rPr>
                <w:b/>
                <w:iCs/>
                <w:sz w:val="20"/>
              </w:rPr>
            </w:pPr>
            <w:r w:rsidRPr="00ED3498">
              <w:rPr>
                <w:b/>
                <w:iCs/>
                <w:sz w:val="20"/>
              </w:rPr>
              <w:t>Variable</w:t>
            </w:r>
          </w:p>
        </w:tc>
        <w:tc>
          <w:tcPr>
            <w:tcW w:w="883" w:type="dxa"/>
            <w:tcBorders>
              <w:top w:val="single" w:sz="4" w:space="0" w:color="auto"/>
              <w:left w:val="single" w:sz="4" w:space="0" w:color="auto"/>
              <w:bottom w:val="single" w:sz="4" w:space="0" w:color="auto"/>
              <w:right w:val="single" w:sz="4" w:space="0" w:color="auto"/>
            </w:tcBorders>
            <w:hideMark/>
          </w:tcPr>
          <w:p w14:paraId="74395F24" w14:textId="77777777" w:rsidR="003F580A" w:rsidRPr="00ED3498" w:rsidRDefault="003F580A" w:rsidP="000C6618">
            <w:pPr>
              <w:spacing w:after="240"/>
              <w:rPr>
                <w:b/>
                <w:iCs/>
                <w:sz w:val="20"/>
              </w:rPr>
            </w:pPr>
            <w:r w:rsidRPr="00ED3498">
              <w:rPr>
                <w:b/>
                <w:iCs/>
                <w:sz w:val="20"/>
              </w:rPr>
              <w:t>Unit</w:t>
            </w:r>
          </w:p>
        </w:tc>
        <w:tc>
          <w:tcPr>
            <w:tcW w:w="6028" w:type="dxa"/>
            <w:tcBorders>
              <w:top w:val="single" w:sz="4" w:space="0" w:color="auto"/>
              <w:left w:val="single" w:sz="4" w:space="0" w:color="auto"/>
              <w:bottom w:val="single" w:sz="4" w:space="0" w:color="auto"/>
              <w:right w:val="single" w:sz="4" w:space="0" w:color="auto"/>
            </w:tcBorders>
            <w:hideMark/>
          </w:tcPr>
          <w:p w14:paraId="5803CF8E" w14:textId="77777777" w:rsidR="003F580A" w:rsidRPr="00ED3498" w:rsidRDefault="003F580A" w:rsidP="000C6618">
            <w:pPr>
              <w:spacing w:after="240"/>
              <w:rPr>
                <w:b/>
                <w:iCs/>
                <w:sz w:val="20"/>
              </w:rPr>
            </w:pPr>
            <w:r w:rsidRPr="00ED3498">
              <w:rPr>
                <w:b/>
                <w:iCs/>
                <w:sz w:val="20"/>
              </w:rPr>
              <w:t>Description</w:t>
            </w:r>
          </w:p>
        </w:tc>
      </w:tr>
      <w:tr w:rsidR="003F580A" w:rsidRPr="00ED3498" w14:paraId="134D77E8"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6259755B" w14:textId="77777777" w:rsidR="003F580A" w:rsidRPr="00ED3498" w:rsidRDefault="003F580A" w:rsidP="000C6618">
            <w:pPr>
              <w:spacing w:after="60"/>
              <w:rPr>
                <w:iCs/>
                <w:sz w:val="20"/>
              </w:rPr>
            </w:pPr>
            <w:r w:rsidRPr="00ED3498">
              <w:rPr>
                <w:iCs/>
                <w:sz w:val="20"/>
              </w:rPr>
              <w:t>SDCCE</w:t>
            </w:r>
            <w:r w:rsidRPr="00ED3498">
              <w:rPr>
                <w:i/>
                <w:iCs/>
                <w:sz w:val="20"/>
                <w:vertAlign w:val="subscript"/>
              </w:rPr>
              <w:t xml:space="preserve"> cp</w:t>
            </w:r>
          </w:p>
        </w:tc>
        <w:tc>
          <w:tcPr>
            <w:tcW w:w="883" w:type="dxa"/>
            <w:tcBorders>
              <w:top w:val="single" w:sz="4" w:space="0" w:color="auto"/>
              <w:left w:val="single" w:sz="4" w:space="0" w:color="auto"/>
              <w:bottom w:val="single" w:sz="4" w:space="0" w:color="auto"/>
              <w:right w:val="single" w:sz="4" w:space="0" w:color="auto"/>
            </w:tcBorders>
            <w:hideMark/>
          </w:tcPr>
          <w:p w14:paraId="1CF80BFD" w14:textId="77777777" w:rsidR="003F580A" w:rsidRPr="00ED3498" w:rsidRDefault="003F580A" w:rsidP="000C6618">
            <w:pPr>
              <w:spacing w:after="60"/>
              <w:rPr>
                <w:iCs/>
                <w:sz w:val="20"/>
              </w:rPr>
            </w:pPr>
            <w:r w:rsidRPr="00ED3498">
              <w:rPr>
                <w:iCs/>
                <w:sz w:val="20"/>
              </w:rPr>
              <w:t>$</w:t>
            </w:r>
          </w:p>
        </w:tc>
        <w:tc>
          <w:tcPr>
            <w:tcW w:w="6028" w:type="dxa"/>
            <w:tcBorders>
              <w:top w:val="single" w:sz="4" w:space="0" w:color="auto"/>
              <w:left w:val="single" w:sz="4" w:space="0" w:color="auto"/>
              <w:bottom w:val="single" w:sz="4" w:space="0" w:color="auto"/>
              <w:right w:val="single" w:sz="4" w:space="0" w:color="auto"/>
            </w:tcBorders>
            <w:hideMark/>
          </w:tcPr>
          <w:p w14:paraId="72F099E9" w14:textId="77777777" w:rsidR="003F580A" w:rsidRPr="00ED3498" w:rsidRDefault="003F580A" w:rsidP="000C6618">
            <w:pPr>
              <w:spacing w:after="60"/>
              <w:rPr>
                <w:i/>
                <w:sz w:val="20"/>
              </w:rPr>
            </w:pPr>
            <w:r w:rsidRPr="00ED3498">
              <w:rPr>
                <w:i/>
                <w:sz w:val="20"/>
              </w:rPr>
              <w:t xml:space="preserve">Securitization Default Charge Credit Exposure – </w:t>
            </w:r>
            <w:r w:rsidRPr="00ED3498">
              <w:rPr>
                <w:iCs/>
                <w:sz w:val="20"/>
              </w:rPr>
              <w:t>Estimated credit exposure for each Counter-Party related to Securitization Default Charges.</w:t>
            </w:r>
          </w:p>
        </w:tc>
      </w:tr>
      <w:tr w:rsidR="003F580A" w:rsidRPr="00ED3498" w14:paraId="155D20F3"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1DFDC74A" w14:textId="07CB3533" w:rsidR="003F580A" w:rsidRPr="00ED3498" w:rsidRDefault="003F580A" w:rsidP="000C6618">
            <w:pPr>
              <w:spacing w:after="60"/>
              <w:rPr>
                <w:iCs/>
                <w:sz w:val="20"/>
              </w:rPr>
            </w:pPr>
            <w:r w:rsidRPr="00ED3498">
              <w:rPr>
                <w:iCs/>
                <w:sz w:val="20"/>
              </w:rPr>
              <w:t>SDCMMARS</w:t>
            </w:r>
            <w:r w:rsidRPr="00ED3498">
              <w:rPr>
                <w:i/>
                <w:sz w:val="20"/>
                <w:vertAlign w:val="subscript"/>
              </w:rPr>
              <w:t xml:space="preserve"> cp, </w:t>
            </w:r>
            <w:r w:rsidR="009E2081">
              <w:rPr>
                <w:i/>
                <w:sz w:val="20"/>
                <w:vertAlign w:val="subscript"/>
              </w:rPr>
              <w:t>r</w:t>
            </w:r>
            <w:r w:rsidRPr="00ED3498">
              <w:rPr>
                <w:i/>
                <w:sz w:val="20"/>
                <w:vertAlign w:val="subscript"/>
              </w:rPr>
              <w:t>m</w:t>
            </w:r>
          </w:p>
        </w:tc>
        <w:tc>
          <w:tcPr>
            <w:tcW w:w="883" w:type="dxa"/>
            <w:tcBorders>
              <w:top w:val="single" w:sz="4" w:space="0" w:color="auto"/>
              <w:left w:val="single" w:sz="4" w:space="0" w:color="auto"/>
              <w:bottom w:val="single" w:sz="4" w:space="0" w:color="auto"/>
              <w:right w:val="single" w:sz="4" w:space="0" w:color="auto"/>
            </w:tcBorders>
            <w:hideMark/>
          </w:tcPr>
          <w:p w14:paraId="2BD32AB7" w14:textId="77777777" w:rsidR="003F580A" w:rsidRPr="00ED3498" w:rsidRDefault="003F580A" w:rsidP="000C6618">
            <w:pPr>
              <w:spacing w:after="60"/>
              <w:rPr>
                <w:iCs/>
                <w:sz w:val="20"/>
              </w:rPr>
            </w:pPr>
            <w:r w:rsidRPr="00ED3498">
              <w:rPr>
                <w:iCs/>
                <w:sz w:val="20"/>
              </w:rPr>
              <w:t>None</w:t>
            </w:r>
          </w:p>
        </w:tc>
        <w:tc>
          <w:tcPr>
            <w:tcW w:w="6028" w:type="dxa"/>
            <w:tcBorders>
              <w:top w:val="single" w:sz="4" w:space="0" w:color="auto"/>
              <w:left w:val="single" w:sz="4" w:space="0" w:color="auto"/>
              <w:bottom w:val="single" w:sz="4" w:space="0" w:color="auto"/>
              <w:right w:val="single" w:sz="4" w:space="0" w:color="auto"/>
            </w:tcBorders>
            <w:hideMark/>
          </w:tcPr>
          <w:p w14:paraId="5F1A773C" w14:textId="77777777" w:rsidR="003F580A" w:rsidRPr="00ED3498" w:rsidRDefault="003F580A" w:rsidP="000C6618">
            <w:pPr>
              <w:spacing w:after="60"/>
              <w:rPr>
                <w:i/>
                <w:sz w:val="20"/>
              </w:rPr>
            </w:pPr>
            <w:r w:rsidRPr="00ED3498">
              <w:rPr>
                <w:i/>
                <w:sz w:val="20"/>
              </w:rPr>
              <w:t>Securitization Default Charge Maximum MWh Activity Ratio Share</w:t>
            </w:r>
            <w:r w:rsidRPr="00ED3498">
              <w:rPr>
                <w:iCs/>
                <w:sz w:val="20"/>
              </w:rPr>
              <w:t xml:space="preserve"> – The Counter-Party’s pro rata share of Securitization Default Charge Maximum MWh Activity in the most recent available reference month </w:t>
            </w:r>
            <w:r w:rsidRPr="00ED3498">
              <w:rPr>
                <w:i/>
                <w:sz w:val="20"/>
              </w:rPr>
              <w:t>rm</w:t>
            </w:r>
            <w:r w:rsidRPr="00ED3498">
              <w:rPr>
                <w:iCs/>
                <w:sz w:val="20"/>
              </w:rPr>
              <w:t xml:space="preserve"> based on Initial Settlements</w:t>
            </w:r>
            <w:r w:rsidRPr="00ED3498">
              <w:rPr>
                <w:i/>
                <w:sz w:val="20"/>
              </w:rPr>
              <w:t>.</w:t>
            </w:r>
          </w:p>
        </w:tc>
      </w:tr>
      <w:tr w:rsidR="003F580A" w:rsidRPr="00ED3498" w14:paraId="104BD531"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30C5D030" w14:textId="77777777" w:rsidR="003F580A" w:rsidRPr="00ED3498" w:rsidRDefault="003F580A" w:rsidP="000C6618">
            <w:pPr>
              <w:spacing w:after="60"/>
              <w:rPr>
                <w:iCs/>
                <w:sz w:val="20"/>
              </w:rPr>
            </w:pPr>
            <w:r w:rsidRPr="00ED3498">
              <w:rPr>
                <w:iCs/>
                <w:sz w:val="20"/>
              </w:rPr>
              <w:t>TSDCMA</w:t>
            </w:r>
          </w:p>
        </w:tc>
        <w:tc>
          <w:tcPr>
            <w:tcW w:w="883" w:type="dxa"/>
            <w:tcBorders>
              <w:top w:val="single" w:sz="4" w:space="0" w:color="auto"/>
              <w:left w:val="single" w:sz="4" w:space="0" w:color="auto"/>
              <w:bottom w:val="single" w:sz="4" w:space="0" w:color="auto"/>
              <w:right w:val="single" w:sz="4" w:space="0" w:color="auto"/>
            </w:tcBorders>
            <w:hideMark/>
          </w:tcPr>
          <w:p w14:paraId="2FD086F9" w14:textId="77777777" w:rsidR="003F580A" w:rsidRPr="00ED3498" w:rsidRDefault="003F580A" w:rsidP="000C6618">
            <w:pPr>
              <w:spacing w:after="60"/>
              <w:rPr>
                <w:iCs/>
                <w:sz w:val="20"/>
              </w:rPr>
            </w:pPr>
            <w:r w:rsidRPr="00ED3498">
              <w:rPr>
                <w:iCs/>
                <w:sz w:val="20"/>
              </w:rPr>
              <w:t>$</w:t>
            </w:r>
          </w:p>
        </w:tc>
        <w:tc>
          <w:tcPr>
            <w:tcW w:w="6028" w:type="dxa"/>
            <w:tcBorders>
              <w:top w:val="single" w:sz="4" w:space="0" w:color="auto"/>
              <w:left w:val="single" w:sz="4" w:space="0" w:color="auto"/>
              <w:bottom w:val="single" w:sz="4" w:space="0" w:color="auto"/>
              <w:right w:val="single" w:sz="4" w:space="0" w:color="auto"/>
            </w:tcBorders>
            <w:hideMark/>
          </w:tcPr>
          <w:p w14:paraId="63B0CA40" w14:textId="26178E12" w:rsidR="003F580A" w:rsidRPr="00ED3498" w:rsidRDefault="003F580A" w:rsidP="000C6618">
            <w:pPr>
              <w:spacing w:after="60"/>
              <w:rPr>
                <w:sz w:val="20"/>
              </w:rPr>
            </w:pPr>
            <w:r w:rsidRPr="00ED3498">
              <w:rPr>
                <w:i/>
                <w:sz w:val="20"/>
              </w:rPr>
              <w:t xml:space="preserve">Total Securitization Default Charge Monthly Amount </w:t>
            </w:r>
            <w:r w:rsidRPr="00ED3498">
              <w:rPr>
                <w:iCs/>
                <w:sz w:val="20"/>
              </w:rPr>
              <w:t>– The amount ERCOT determines must be collected for the month in order to timely repay the Securitization Default Balance.</w:t>
            </w:r>
          </w:p>
        </w:tc>
      </w:tr>
      <w:tr w:rsidR="003F580A" w:rsidRPr="00ED3498" w14:paraId="402173CF"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483E6768" w14:textId="77777777" w:rsidR="003F580A" w:rsidRPr="00ED3498" w:rsidRDefault="003F580A" w:rsidP="000C6618">
            <w:pPr>
              <w:spacing w:after="60"/>
              <w:rPr>
                <w:i/>
                <w:sz w:val="20"/>
              </w:rPr>
            </w:pPr>
            <w:r w:rsidRPr="00ED3498">
              <w:rPr>
                <w:i/>
                <w:sz w:val="20"/>
              </w:rPr>
              <w:t>cp</w:t>
            </w:r>
          </w:p>
        </w:tc>
        <w:tc>
          <w:tcPr>
            <w:tcW w:w="883" w:type="dxa"/>
            <w:tcBorders>
              <w:top w:val="single" w:sz="4" w:space="0" w:color="auto"/>
              <w:left w:val="single" w:sz="4" w:space="0" w:color="auto"/>
              <w:bottom w:val="single" w:sz="4" w:space="0" w:color="auto"/>
              <w:right w:val="single" w:sz="4" w:space="0" w:color="auto"/>
            </w:tcBorders>
            <w:hideMark/>
          </w:tcPr>
          <w:p w14:paraId="1D11D9E0" w14:textId="77777777" w:rsidR="003F580A" w:rsidRPr="00ED3498" w:rsidRDefault="003F580A" w:rsidP="000C6618">
            <w:pPr>
              <w:spacing w:after="60"/>
              <w:rPr>
                <w:iCs/>
                <w:sz w:val="20"/>
              </w:rPr>
            </w:pPr>
            <w:r w:rsidRPr="00ED3498">
              <w:rPr>
                <w:iCs/>
                <w:sz w:val="20"/>
              </w:rPr>
              <w:t>none</w:t>
            </w:r>
          </w:p>
        </w:tc>
        <w:tc>
          <w:tcPr>
            <w:tcW w:w="6028" w:type="dxa"/>
            <w:tcBorders>
              <w:top w:val="single" w:sz="4" w:space="0" w:color="auto"/>
              <w:left w:val="single" w:sz="4" w:space="0" w:color="auto"/>
              <w:bottom w:val="single" w:sz="4" w:space="0" w:color="auto"/>
              <w:right w:val="single" w:sz="4" w:space="0" w:color="auto"/>
            </w:tcBorders>
            <w:hideMark/>
          </w:tcPr>
          <w:p w14:paraId="50E018BA" w14:textId="77777777" w:rsidR="003F580A" w:rsidRPr="00ED3498" w:rsidRDefault="003F580A" w:rsidP="000C6618">
            <w:pPr>
              <w:spacing w:after="60"/>
              <w:rPr>
                <w:i/>
                <w:sz w:val="20"/>
              </w:rPr>
            </w:pPr>
            <w:r w:rsidRPr="00ED3498">
              <w:rPr>
                <w:iCs/>
                <w:sz w:val="20"/>
              </w:rPr>
              <w:t>A registered Counter-Party.</w:t>
            </w:r>
          </w:p>
        </w:tc>
      </w:tr>
      <w:tr w:rsidR="003F580A" w:rsidRPr="00ED3498" w14:paraId="7DFE103A"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5E6496AD" w14:textId="77777777" w:rsidR="003F580A" w:rsidRPr="00ED3498" w:rsidRDefault="003F580A" w:rsidP="000C6618">
            <w:pPr>
              <w:spacing w:after="60"/>
              <w:rPr>
                <w:i/>
                <w:sz w:val="20"/>
              </w:rPr>
            </w:pPr>
            <w:r w:rsidRPr="00ED3498">
              <w:rPr>
                <w:i/>
                <w:sz w:val="20"/>
              </w:rPr>
              <w:t>rm</w:t>
            </w:r>
          </w:p>
        </w:tc>
        <w:tc>
          <w:tcPr>
            <w:tcW w:w="883" w:type="dxa"/>
            <w:tcBorders>
              <w:top w:val="single" w:sz="4" w:space="0" w:color="auto"/>
              <w:left w:val="single" w:sz="4" w:space="0" w:color="auto"/>
              <w:bottom w:val="single" w:sz="4" w:space="0" w:color="auto"/>
              <w:right w:val="single" w:sz="4" w:space="0" w:color="auto"/>
            </w:tcBorders>
            <w:hideMark/>
          </w:tcPr>
          <w:p w14:paraId="53F559D1" w14:textId="77777777" w:rsidR="003F580A" w:rsidRPr="00ED3498" w:rsidRDefault="003F580A" w:rsidP="000C6618">
            <w:pPr>
              <w:spacing w:after="60"/>
              <w:rPr>
                <w:iCs/>
                <w:sz w:val="20"/>
              </w:rPr>
            </w:pPr>
            <w:r w:rsidRPr="00ED3498">
              <w:rPr>
                <w:iCs/>
                <w:sz w:val="20"/>
              </w:rPr>
              <w:t>none</w:t>
            </w:r>
          </w:p>
        </w:tc>
        <w:tc>
          <w:tcPr>
            <w:tcW w:w="6028" w:type="dxa"/>
            <w:tcBorders>
              <w:top w:val="single" w:sz="4" w:space="0" w:color="auto"/>
              <w:left w:val="single" w:sz="4" w:space="0" w:color="auto"/>
              <w:bottom w:val="single" w:sz="4" w:space="0" w:color="auto"/>
              <w:right w:val="single" w:sz="4" w:space="0" w:color="auto"/>
            </w:tcBorders>
            <w:hideMark/>
          </w:tcPr>
          <w:p w14:paraId="06838125" w14:textId="77777777" w:rsidR="003F580A" w:rsidRPr="00ED3498" w:rsidRDefault="003F580A" w:rsidP="000C6618">
            <w:pPr>
              <w:spacing w:after="60"/>
              <w:rPr>
                <w:iCs/>
                <w:sz w:val="20"/>
              </w:rPr>
            </w:pPr>
            <w:r w:rsidRPr="00ED3498">
              <w:rPr>
                <w:i/>
                <w:sz w:val="20"/>
              </w:rPr>
              <w:t>Reference Month</w:t>
            </w:r>
            <w:r w:rsidRPr="00ED3498">
              <w:rPr>
                <w:iCs/>
                <w:sz w:val="20"/>
              </w:rPr>
              <w:t xml:space="preserve"> – most recent available operating month </w:t>
            </w:r>
          </w:p>
        </w:tc>
      </w:tr>
      <w:tr w:rsidR="003F580A" w:rsidRPr="00ED3498" w14:paraId="076E3CC6"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16C16C38" w14:textId="77777777" w:rsidR="003F580A" w:rsidRPr="00ED3498" w:rsidRDefault="003F580A" w:rsidP="000C6618">
            <w:pPr>
              <w:spacing w:after="60"/>
              <w:rPr>
                <w:i/>
                <w:sz w:val="20"/>
              </w:rPr>
            </w:pPr>
            <w:r w:rsidRPr="00ED3498">
              <w:rPr>
                <w:i/>
                <w:sz w:val="20"/>
              </w:rPr>
              <w:t>fmd</w:t>
            </w:r>
          </w:p>
        </w:tc>
        <w:tc>
          <w:tcPr>
            <w:tcW w:w="883" w:type="dxa"/>
            <w:tcBorders>
              <w:top w:val="single" w:sz="4" w:space="0" w:color="auto"/>
              <w:left w:val="single" w:sz="4" w:space="0" w:color="auto"/>
              <w:bottom w:val="single" w:sz="4" w:space="0" w:color="auto"/>
              <w:right w:val="single" w:sz="4" w:space="0" w:color="auto"/>
            </w:tcBorders>
            <w:hideMark/>
          </w:tcPr>
          <w:p w14:paraId="15617098" w14:textId="77777777" w:rsidR="003F580A" w:rsidRPr="00ED3498" w:rsidRDefault="003F580A" w:rsidP="000C6618">
            <w:pPr>
              <w:spacing w:after="60"/>
              <w:rPr>
                <w:iCs/>
                <w:sz w:val="20"/>
              </w:rPr>
            </w:pPr>
            <w:r w:rsidRPr="00ED3498">
              <w:rPr>
                <w:iCs/>
                <w:sz w:val="20"/>
              </w:rPr>
              <w:t>None</w:t>
            </w:r>
          </w:p>
        </w:tc>
        <w:tc>
          <w:tcPr>
            <w:tcW w:w="6028" w:type="dxa"/>
            <w:tcBorders>
              <w:top w:val="single" w:sz="4" w:space="0" w:color="auto"/>
              <w:left w:val="single" w:sz="4" w:space="0" w:color="auto"/>
              <w:bottom w:val="single" w:sz="4" w:space="0" w:color="auto"/>
              <w:right w:val="single" w:sz="4" w:space="0" w:color="auto"/>
            </w:tcBorders>
            <w:hideMark/>
          </w:tcPr>
          <w:p w14:paraId="56293F4C" w14:textId="77777777" w:rsidR="003F580A" w:rsidRPr="00ED3498" w:rsidRDefault="003F580A" w:rsidP="000C6618">
            <w:pPr>
              <w:spacing w:after="60"/>
              <w:rPr>
                <w:iCs/>
                <w:sz w:val="20"/>
              </w:rPr>
            </w:pPr>
            <w:r w:rsidRPr="00ED3498">
              <w:rPr>
                <w:i/>
                <w:sz w:val="20"/>
              </w:rPr>
              <w:t xml:space="preserve">Forward Month </w:t>
            </w:r>
            <w:r w:rsidRPr="00ED3498">
              <w:rPr>
                <w:iCs/>
                <w:sz w:val="20"/>
              </w:rPr>
              <w:t>– a month from Securitization Default Charge forward months</w:t>
            </w:r>
          </w:p>
        </w:tc>
      </w:tr>
      <w:tr w:rsidR="003F580A" w:rsidRPr="00ED3498" w14:paraId="59A91310" w14:textId="77777777" w:rsidTr="000C6618">
        <w:trPr>
          <w:trHeight w:val="519"/>
        </w:trPr>
        <w:tc>
          <w:tcPr>
            <w:tcW w:w="2179" w:type="dxa"/>
            <w:tcBorders>
              <w:top w:val="single" w:sz="4" w:space="0" w:color="auto"/>
              <w:left w:val="single" w:sz="4" w:space="0" w:color="auto"/>
              <w:bottom w:val="single" w:sz="4" w:space="0" w:color="auto"/>
              <w:right w:val="single" w:sz="4" w:space="0" w:color="auto"/>
            </w:tcBorders>
            <w:hideMark/>
          </w:tcPr>
          <w:p w14:paraId="2B1E3C91" w14:textId="77777777" w:rsidR="003F580A" w:rsidRPr="00ED3498" w:rsidRDefault="003F580A" w:rsidP="000C6618">
            <w:pPr>
              <w:spacing w:after="60"/>
              <w:rPr>
                <w:i/>
                <w:sz w:val="20"/>
              </w:rPr>
            </w:pPr>
            <w:r w:rsidRPr="00ED3498">
              <w:rPr>
                <w:i/>
                <w:sz w:val="20"/>
              </w:rPr>
              <w:t>nfmd</w:t>
            </w:r>
          </w:p>
        </w:tc>
        <w:tc>
          <w:tcPr>
            <w:tcW w:w="883" w:type="dxa"/>
            <w:tcBorders>
              <w:top w:val="single" w:sz="4" w:space="0" w:color="auto"/>
              <w:left w:val="single" w:sz="4" w:space="0" w:color="auto"/>
              <w:bottom w:val="single" w:sz="4" w:space="0" w:color="auto"/>
              <w:right w:val="single" w:sz="4" w:space="0" w:color="auto"/>
            </w:tcBorders>
            <w:hideMark/>
          </w:tcPr>
          <w:p w14:paraId="420648D6" w14:textId="77777777" w:rsidR="003F580A" w:rsidRPr="00ED3498" w:rsidRDefault="003F580A" w:rsidP="000C6618">
            <w:pPr>
              <w:spacing w:after="60"/>
              <w:rPr>
                <w:iCs/>
                <w:sz w:val="20"/>
              </w:rPr>
            </w:pPr>
            <w:r w:rsidRPr="00ED3498">
              <w:rPr>
                <w:iCs/>
                <w:sz w:val="20"/>
              </w:rPr>
              <w:t>None</w:t>
            </w:r>
          </w:p>
        </w:tc>
        <w:tc>
          <w:tcPr>
            <w:tcW w:w="6028" w:type="dxa"/>
            <w:tcBorders>
              <w:top w:val="single" w:sz="4" w:space="0" w:color="auto"/>
              <w:left w:val="single" w:sz="4" w:space="0" w:color="auto"/>
              <w:bottom w:val="single" w:sz="4" w:space="0" w:color="auto"/>
              <w:right w:val="single" w:sz="4" w:space="0" w:color="auto"/>
            </w:tcBorders>
            <w:hideMark/>
          </w:tcPr>
          <w:p w14:paraId="0625227F" w14:textId="77777777" w:rsidR="003F580A" w:rsidRPr="00ED3498" w:rsidRDefault="003F580A" w:rsidP="000C6618">
            <w:pPr>
              <w:spacing w:after="60"/>
              <w:rPr>
                <w:i/>
                <w:sz w:val="20"/>
              </w:rPr>
            </w:pPr>
            <w:r w:rsidRPr="00ED3498">
              <w:rPr>
                <w:i/>
                <w:sz w:val="20"/>
              </w:rPr>
              <w:t>Number of forward months</w:t>
            </w:r>
            <w:r w:rsidRPr="00ED3498">
              <w:rPr>
                <w:iCs/>
                <w:sz w:val="20"/>
              </w:rPr>
              <w:t xml:space="preserve"> – total number of forward months Securitization Default Charge is extrapolated</w:t>
            </w:r>
          </w:p>
        </w:tc>
      </w:tr>
    </w:tbl>
    <w:p w14:paraId="464D3E1B" w14:textId="77777777" w:rsidR="003F580A" w:rsidRPr="00ED3498" w:rsidRDefault="003F580A" w:rsidP="003F580A">
      <w:pPr>
        <w:spacing w:before="240"/>
      </w:pPr>
      <w:r w:rsidRPr="00ED3498">
        <w:rPr>
          <w:iCs/>
        </w:rPr>
        <w:t>The above parameters are defined as follows:</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3"/>
        <w:gridCol w:w="2300"/>
        <w:gridCol w:w="4637"/>
      </w:tblGrid>
      <w:tr w:rsidR="003F580A" w:rsidRPr="00ED3498" w14:paraId="7AE5609B" w14:textId="77777777" w:rsidTr="000C6618">
        <w:trPr>
          <w:trHeight w:val="351"/>
          <w:tblHeader/>
        </w:trPr>
        <w:tc>
          <w:tcPr>
            <w:tcW w:w="2153" w:type="dxa"/>
            <w:tcBorders>
              <w:top w:val="single" w:sz="4" w:space="0" w:color="auto"/>
              <w:left w:val="single" w:sz="4" w:space="0" w:color="auto"/>
              <w:bottom w:val="single" w:sz="4" w:space="0" w:color="auto"/>
              <w:right w:val="single" w:sz="4" w:space="0" w:color="auto"/>
            </w:tcBorders>
            <w:hideMark/>
          </w:tcPr>
          <w:p w14:paraId="1C545DDD" w14:textId="77777777" w:rsidR="003F580A" w:rsidRPr="00ED3498" w:rsidRDefault="003F580A" w:rsidP="000C6618">
            <w:pPr>
              <w:spacing w:after="240"/>
              <w:rPr>
                <w:b/>
                <w:iCs/>
                <w:sz w:val="20"/>
              </w:rPr>
            </w:pPr>
            <w:r w:rsidRPr="00ED3498">
              <w:rPr>
                <w:b/>
                <w:iCs/>
                <w:sz w:val="20"/>
              </w:rPr>
              <w:lastRenderedPageBreak/>
              <w:t>Parameter</w:t>
            </w:r>
          </w:p>
        </w:tc>
        <w:tc>
          <w:tcPr>
            <w:tcW w:w="2300" w:type="dxa"/>
            <w:tcBorders>
              <w:top w:val="single" w:sz="4" w:space="0" w:color="auto"/>
              <w:left w:val="single" w:sz="4" w:space="0" w:color="auto"/>
              <w:bottom w:val="single" w:sz="4" w:space="0" w:color="auto"/>
              <w:right w:val="single" w:sz="4" w:space="0" w:color="auto"/>
            </w:tcBorders>
            <w:hideMark/>
          </w:tcPr>
          <w:p w14:paraId="6BA1A8C5" w14:textId="77777777" w:rsidR="003F580A" w:rsidRPr="00ED3498" w:rsidRDefault="003F580A" w:rsidP="000C6618">
            <w:pPr>
              <w:spacing w:after="240"/>
              <w:rPr>
                <w:b/>
                <w:iCs/>
                <w:sz w:val="20"/>
              </w:rPr>
            </w:pPr>
            <w:r w:rsidRPr="00ED3498">
              <w:rPr>
                <w:b/>
                <w:iCs/>
                <w:sz w:val="20"/>
              </w:rPr>
              <w:t>Unit</w:t>
            </w:r>
          </w:p>
        </w:tc>
        <w:tc>
          <w:tcPr>
            <w:tcW w:w="4637" w:type="dxa"/>
            <w:tcBorders>
              <w:top w:val="single" w:sz="4" w:space="0" w:color="auto"/>
              <w:left w:val="single" w:sz="4" w:space="0" w:color="auto"/>
              <w:bottom w:val="single" w:sz="4" w:space="0" w:color="auto"/>
              <w:right w:val="single" w:sz="4" w:space="0" w:color="auto"/>
            </w:tcBorders>
            <w:hideMark/>
          </w:tcPr>
          <w:p w14:paraId="33D48454" w14:textId="77777777" w:rsidR="003F580A" w:rsidRPr="00ED3498" w:rsidRDefault="003F580A" w:rsidP="000C6618">
            <w:pPr>
              <w:spacing w:after="240"/>
              <w:rPr>
                <w:b/>
                <w:iCs/>
                <w:sz w:val="20"/>
              </w:rPr>
            </w:pPr>
            <w:r w:rsidRPr="00ED3498">
              <w:rPr>
                <w:b/>
                <w:iCs/>
                <w:sz w:val="20"/>
              </w:rPr>
              <w:t>Current Value</w:t>
            </w:r>
          </w:p>
        </w:tc>
      </w:tr>
      <w:tr w:rsidR="003F580A" w:rsidRPr="00ED3498" w14:paraId="3671C98B" w14:textId="77777777" w:rsidTr="000C6618">
        <w:trPr>
          <w:trHeight w:val="368"/>
        </w:trPr>
        <w:tc>
          <w:tcPr>
            <w:tcW w:w="2153" w:type="dxa"/>
            <w:tcBorders>
              <w:top w:val="single" w:sz="4" w:space="0" w:color="auto"/>
              <w:left w:val="single" w:sz="4" w:space="0" w:color="auto"/>
              <w:bottom w:val="single" w:sz="4" w:space="0" w:color="auto"/>
              <w:right w:val="single" w:sz="4" w:space="0" w:color="auto"/>
            </w:tcBorders>
            <w:hideMark/>
          </w:tcPr>
          <w:p w14:paraId="4CB80F32" w14:textId="77777777" w:rsidR="003F580A" w:rsidRPr="00ED3498" w:rsidRDefault="003F580A" w:rsidP="000C6618">
            <w:pPr>
              <w:spacing w:after="60"/>
              <w:rPr>
                <w:i/>
                <w:iCs/>
                <w:sz w:val="20"/>
              </w:rPr>
            </w:pPr>
            <w:r w:rsidRPr="00ED3498">
              <w:rPr>
                <w:i/>
                <w:iCs/>
                <w:sz w:val="20"/>
              </w:rPr>
              <w:t>nfmd</w:t>
            </w:r>
          </w:p>
        </w:tc>
        <w:tc>
          <w:tcPr>
            <w:tcW w:w="2300" w:type="dxa"/>
            <w:tcBorders>
              <w:top w:val="single" w:sz="4" w:space="0" w:color="auto"/>
              <w:left w:val="single" w:sz="4" w:space="0" w:color="auto"/>
              <w:bottom w:val="single" w:sz="4" w:space="0" w:color="auto"/>
              <w:right w:val="single" w:sz="4" w:space="0" w:color="auto"/>
            </w:tcBorders>
            <w:hideMark/>
          </w:tcPr>
          <w:p w14:paraId="4C2BD8CA" w14:textId="77777777" w:rsidR="003F580A" w:rsidRPr="00ED3498" w:rsidRDefault="003F580A" w:rsidP="000C6618">
            <w:pPr>
              <w:spacing w:after="60"/>
              <w:rPr>
                <w:iCs/>
                <w:sz w:val="20"/>
              </w:rPr>
            </w:pPr>
            <w:r w:rsidRPr="00ED3498">
              <w:rPr>
                <w:iCs/>
                <w:sz w:val="20"/>
              </w:rPr>
              <w:t>Months</w:t>
            </w:r>
          </w:p>
        </w:tc>
        <w:tc>
          <w:tcPr>
            <w:tcW w:w="4637" w:type="dxa"/>
            <w:tcBorders>
              <w:top w:val="single" w:sz="4" w:space="0" w:color="auto"/>
              <w:left w:val="single" w:sz="4" w:space="0" w:color="auto"/>
              <w:bottom w:val="single" w:sz="4" w:space="0" w:color="auto"/>
              <w:right w:val="single" w:sz="4" w:space="0" w:color="auto"/>
            </w:tcBorders>
            <w:hideMark/>
          </w:tcPr>
          <w:p w14:paraId="49289F3D" w14:textId="77777777" w:rsidR="003F580A" w:rsidRPr="00ED3498" w:rsidRDefault="003F580A" w:rsidP="000C6618">
            <w:pPr>
              <w:spacing w:after="60"/>
              <w:rPr>
                <w:iCs/>
                <w:sz w:val="20"/>
              </w:rPr>
            </w:pPr>
            <w:r w:rsidRPr="00ED3498">
              <w:rPr>
                <w:iCs/>
                <w:sz w:val="20"/>
              </w:rPr>
              <w:t>4</w:t>
            </w:r>
          </w:p>
        </w:tc>
      </w:tr>
    </w:tbl>
    <w:p w14:paraId="464D9FEE" w14:textId="539F5358" w:rsidR="003F580A" w:rsidRPr="00D24933" w:rsidRDefault="003F580A" w:rsidP="000505C8">
      <w:pPr>
        <w:tabs>
          <w:tab w:val="left" w:pos="1080"/>
        </w:tabs>
        <w:spacing w:before="480" w:after="240"/>
        <w:ind w:left="1080" w:hanging="1080"/>
        <w:outlineLvl w:val="2"/>
        <w:rPr>
          <w:b/>
          <w:bCs/>
          <w:i/>
        </w:rPr>
      </w:pPr>
      <w:bookmarkStart w:id="30" w:name="_Toc70591646"/>
      <w:bookmarkStart w:id="31" w:name="_Toc141427862"/>
      <w:r w:rsidRPr="00D24933">
        <w:rPr>
          <w:b/>
          <w:bCs/>
          <w:i/>
        </w:rPr>
        <w:t>26.5.5</w:t>
      </w:r>
      <w:r w:rsidRPr="00D24933">
        <w:rPr>
          <w:b/>
          <w:bCs/>
          <w:i/>
        </w:rPr>
        <w:tab/>
        <w:t>Monitoring of a Counter-Party’s Securitization Default Charge Credit Exposure by ERCOT</w:t>
      </w:r>
      <w:bookmarkEnd w:id="30"/>
      <w:bookmarkEnd w:id="31"/>
    </w:p>
    <w:p w14:paraId="2AFD3D69" w14:textId="70B21C88" w:rsidR="003F580A" w:rsidRPr="00ED3498" w:rsidRDefault="003F580A" w:rsidP="003F580A">
      <w:pPr>
        <w:spacing w:after="240"/>
        <w:ind w:left="720" w:hanging="720"/>
      </w:pPr>
      <w:r w:rsidRPr="00ED3498">
        <w:t>(1)</w:t>
      </w:r>
      <w:r w:rsidRPr="00ED3498">
        <w:tab/>
        <w:t xml:space="preserve">Pursuant to Section 16.11.5, Monitoring of a Counter-Party’s Creditworthiness and Credit Exposure by ERCOT, ERCOT shall monitor the credit exposure of each Counter-Party, including </w:t>
      </w:r>
      <w:r w:rsidR="00103DE2">
        <w:t>SDCCE</w:t>
      </w:r>
      <w:r w:rsidRPr="00ED3498">
        <w:t xml:space="preserve">.  </w:t>
      </w:r>
    </w:p>
    <w:p w14:paraId="5029B7B7" w14:textId="46FDE490" w:rsidR="003F580A" w:rsidRPr="00ED3498" w:rsidRDefault="003F580A" w:rsidP="003F580A">
      <w:pPr>
        <w:spacing w:after="240"/>
        <w:ind w:left="720" w:hanging="720"/>
      </w:pPr>
      <w:r w:rsidRPr="00ED3498">
        <w:t>(2)</w:t>
      </w:r>
      <w:r w:rsidRPr="00ED3498">
        <w:tab/>
        <w:t xml:space="preserve">A Counter-Party is responsible at all times for maintaining Securitization Default Charge escrow deposits in an amount equal to or greater than that Counter-Party’s </w:t>
      </w:r>
      <w:r w:rsidR="00103DE2">
        <w:t>SDCCE</w:t>
      </w:r>
      <w:r w:rsidRPr="00ED3498">
        <w:t xml:space="preserve">. </w:t>
      </w:r>
    </w:p>
    <w:p w14:paraId="6B79C7C3" w14:textId="77777777" w:rsidR="003F580A" w:rsidRPr="00ED3498" w:rsidRDefault="003F580A" w:rsidP="003F580A">
      <w:pPr>
        <w:spacing w:after="240"/>
        <w:ind w:left="720" w:hanging="720"/>
      </w:pPr>
      <w:r w:rsidRPr="00ED3498">
        <w:t>(3)</w:t>
      </w:r>
      <w:r w:rsidRPr="00ED3498">
        <w:tab/>
        <w:t xml:space="preserve">ERCOT shall promptly notify each Counter-Party of the need to increase its Securitization Default Charge escrow deposit and allow the Counter-Party time, as provided in paragraph (5) below, to provide additional Securitization Default Charge escrow deposits to maintain compliance with this Section. </w:t>
      </w:r>
    </w:p>
    <w:p w14:paraId="39F16D57" w14:textId="60DEBBB2" w:rsidR="003F580A" w:rsidRPr="00ED3498" w:rsidRDefault="003F580A" w:rsidP="003F580A">
      <w:pPr>
        <w:spacing w:after="240"/>
        <w:ind w:left="720" w:hanging="720"/>
      </w:pPr>
      <w:r w:rsidRPr="00ED3498">
        <w:t>(4)</w:t>
      </w:r>
      <w:r w:rsidRPr="00ED3498">
        <w:tab/>
        <w:t>ERCOT may suspend a Counter-Party when that Counter-Party’s SDCCE, as defined in Section 26.5.4,</w:t>
      </w:r>
      <w:r w:rsidR="000505C8" w:rsidRPr="00ED3498">
        <w:t xml:space="preserve"> </w:t>
      </w:r>
      <w:r w:rsidR="000505C8" w:rsidRPr="00B27C6F">
        <w:t>Determination of Securitization Default Charge Credit Exposure for a Counter-Party</w:t>
      </w:r>
      <w:r w:rsidR="000505C8">
        <w:t xml:space="preserve">, </w:t>
      </w:r>
      <w:r w:rsidRPr="00ED3498">
        <w:t xml:space="preserve">exceeds 100% of its Securitization Default Charge escrow deposit.  Any failure by ERCOT to send a Notice as set forth in this Section does not relieve the Counter-Party from the obligation to maintain appropriate Securitization Default Charge escrow deposits in amounts equal to or greater than that Counter-Party’s SDCCE. </w:t>
      </w:r>
    </w:p>
    <w:p w14:paraId="7DFC72DA" w14:textId="77777777" w:rsidR="003F580A" w:rsidRPr="00ED3498" w:rsidRDefault="003F580A" w:rsidP="003F580A">
      <w:pPr>
        <w:spacing w:after="240"/>
        <w:ind w:left="720" w:hanging="720"/>
      </w:pPr>
      <w:r w:rsidRPr="00ED3498">
        <w:t>(5)</w:t>
      </w:r>
      <w:r w:rsidRPr="00ED3498">
        <w:tab/>
        <w:t xml:space="preserve">To the extent that a Counter-Party fails to maintain Securitization Default Charge escrow deposit in amounts equal to or greater than its SDCCE, each as defined in Section 26.5.4: </w:t>
      </w:r>
    </w:p>
    <w:p w14:paraId="58CF03A3" w14:textId="77777777" w:rsidR="003F580A" w:rsidRPr="00ED3498" w:rsidRDefault="003F580A" w:rsidP="003F580A">
      <w:pPr>
        <w:spacing w:after="240"/>
        <w:ind w:left="1440" w:hanging="720"/>
      </w:pPr>
      <w:r w:rsidRPr="00ED3498">
        <w:t>(a)</w:t>
      </w:r>
      <w:r w:rsidRPr="00ED3498">
        <w:tab/>
        <w:t xml:space="preserve">ERCOT shall promptly notify the Counter-Party of the amount by which its Securitization Default Charge escrow deposit must be increased and allow it: </w:t>
      </w:r>
    </w:p>
    <w:p w14:paraId="18CB7A88" w14:textId="77777777" w:rsidR="003F580A" w:rsidRPr="00ED3498" w:rsidRDefault="003F580A" w:rsidP="003F580A">
      <w:pPr>
        <w:spacing w:after="240"/>
        <w:ind w:left="2160" w:hanging="720"/>
      </w:pPr>
      <w:r w:rsidRPr="00ED3498">
        <w:t>(i)</w:t>
      </w:r>
      <w:r w:rsidRPr="00ED3498">
        <w:tab/>
        <w:t xml:space="preserve">Until 1500 on the second Bank Business Day from the date on which ERCOT delivered the notice to increase its Securitization Default Charge escrow deposit if ERCOT delivered its Notice before 1500; or </w:t>
      </w:r>
    </w:p>
    <w:p w14:paraId="51285F9D" w14:textId="77777777" w:rsidR="003F580A" w:rsidRPr="00ED3498" w:rsidRDefault="003F580A" w:rsidP="003F580A">
      <w:pPr>
        <w:spacing w:after="240"/>
        <w:ind w:left="2160" w:hanging="720"/>
      </w:pPr>
      <w:r w:rsidRPr="00ED3498">
        <w:t>(ii)</w:t>
      </w:r>
      <w:r w:rsidRPr="00ED3498">
        <w:tab/>
        <w:t xml:space="preserve">Until 1700 on the second Bank Business Day from the date on which ERCOT delivered notification to increase its Securitization Default Charge escrow deposit if ERCOT delivered its notice after 1500 but prior to 1700.  </w:t>
      </w:r>
    </w:p>
    <w:p w14:paraId="2ABA6EC9" w14:textId="77777777" w:rsidR="009E2081" w:rsidRDefault="009E2081" w:rsidP="009E2081">
      <w:pPr>
        <w:spacing w:after="240"/>
        <w:ind w:left="1440" w:hanging="720"/>
      </w:pPr>
      <w:r>
        <w:t>(b)</w:t>
      </w:r>
      <w:r>
        <w:tab/>
        <w:t>If the Counter-Party does not increase its Securitization Default Charge escrow deposit to the required amount by the specified time, ERCOT may utilize Financial Security held with respect to other ERCOT market activities as determined under Section 16.11.4,</w:t>
      </w:r>
      <w:r w:rsidRPr="00BA0745">
        <w:t xml:space="preserve"> </w:t>
      </w:r>
      <w:r>
        <w:t xml:space="preserve">Determination and Monitoring of Counter-Party Credit Exposure, up to the amount of the Securitization Default Charge escrow deposit shortfall. </w:t>
      </w:r>
    </w:p>
    <w:p w14:paraId="4D38E365" w14:textId="07491CDB" w:rsidR="009E2081" w:rsidRDefault="009E2081" w:rsidP="009E2081">
      <w:pPr>
        <w:spacing w:after="240"/>
        <w:ind w:left="1440" w:hanging="720"/>
      </w:pPr>
      <w:r>
        <w:lastRenderedPageBreak/>
        <w:t>(c)</w:t>
      </w:r>
      <w:r>
        <w:tab/>
        <w:t xml:space="preserve">In the event that a Counter-Party is required to increase both its Securitization Default Charge escrow deposit and its Securitization </w:t>
      </w:r>
      <w:r w:rsidRPr="00007CCE">
        <w:t>Uplift Charge escrow deposit, and ERCOT utilizes</w:t>
      </w:r>
      <w:r>
        <w:t xml:space="preserve"> </w:t>
      </w:r>
      <w:r w:rsidRPr="00007CCE">
        <w:t>the Counter-Party’s Financial Security, available Financial Security funds will be allocated on a pro rata basis to Securitization Uplift Charge and Securitization Default Charge escrow deposit</w:t>
      </w:r>
      <w:r>
        <w:t xml:space="preserve"> requirements.</w:t>
      </w:r>
    </w:p>
    <w:p w14:paraId="14E8EA52" w14:textId="61910BFE" w:rsidR="003F580A" w:rsidRPr="00ED3498" w:rsidRDefault="003F580A" w:rsidP="003F580A">
      <w:pPr>
        <w:spacing w:after="240"/>
        <w:ind w:left="1440" w:hanging="720"/>
      </w:pPr>
      <w:r w:rsidRPr="00ED3498">
        <w:t>(</w:t>
      </w:r>
      <w:r w:rsidR="009E2081">
        <w:t>d</w:t>
      </w:r>
      <w:r w:rsidRPr="00ED3498">
        <w:t>)</w:t>
      </w:r>
      <w:r w:rsidRPr="00ED3498">
        <w:tab/>
        <w:t xml:space="preserve">ERCOT shall notify </w:t>
      </w:r>
      <w:r w:rsidR="000505C8" w:rsidRPr="00ED3498">
        <w:t xml:space="preserve">the QSE’s Authorized </w:t>
      </w:r>
      <w:r w:rsidRPr="00ED3498">
        <w:t>Representative(s) and Credit Contact if it has not received the required security by 1530 on the Bank Business Day on which the security was due; however, failure to notify the Counter-Party’s representatives or credit contacts that the required security was not received does not prevent ERCOT from exercising any of its other rights under this Section.</w:t>
      </w:r>
    </w:p>
    <w:p w14:paraId="46720EED" w14:textId="1485F7E0" w:rsidR="003F580A" w:rsidRPr="00ED3498" w:rsidRDefault="003F580A" w:rsidP="003F580A">
      <w:pPr>
        <w:spacing w:after="240"/>
        <w:ind w:left="1440" w:hanging="720"/>
      </w:pPr>
      <w:r w:rsidRPr="00ED3498">
        <w:t>(</w:t>
      </w:r>
      <w:r w:rsidR="009E2081">
        <w:t>e</w:t>
      </w:r>
      <w:r w:rsidRPr="00ED3498">
        <w:t>)</w:t>
      </w:r>
      <w:r w:rsidRPr="00ED3498">
        <w:tab/>
        <w:t xml:space="preserve">ERCOT is not required to make any payment to a Counter-Party unless and until the Counter-Party increases its Securitization Default Charge escrow deposit to an amount equal to or greater than that Counter-Party’s SDCCE.  The payments that ERCOT may not make to a Counter-Party include Invoice receipts, CRR revenues, </w:t>
      </w:r>
      <w:smartTag w:uri="urn:schemas-microsoft-com:office:smarttags" w:element="PostalCode">
        <w:r w:rsidRPr="00ED3498">
          <w:t>CRR</w:t>
        </w:r>
      </w:smartTag>
      <w:r w:rsidRPr="00ED3498">
        <w:t xml:space="preserve"> credits, reimbursements for short payments, and any other reimbursements or credits under any other agreement between the Market Participant and ERCOT.  ERCOT may retain all such amounts until the Counter-Party has fully discharged all payment obligations owed to ERCOT under the Agreement, other agreements, and these Protocols. </w:t>
      </w:r>
    </w:p>
    <w:p w14:paraId="20B36A59" w14:textId="77777777" w:rsidR="003F580A" w:rsidRPr="00ED3498" w:rsidRDefault="003F580A" w:rsidP="003F580A">
      <w:pPr>
        <w:spacing w:after="240"/>
        <w:ind w:left="720" w:hanging="720"/>
      </w:pPr>
      <w:r w:rsidRPr="00ED3498">
        <w:t>(6)</w:t>
      </w:r>
      <w:r w:rsidRPr="00ED3498">
        <w:tab/>
        <w:t>If a Counter-Party increases its Securitization Default Charge escrow deposit as required by ERCOT by the deadline in paragraph (5)(a) above, then ERCOT shall release any payments held, providing the Counter-Party has no other payment deficiencies with respect to any other activity under these Protocols.</w:t>
      </w:r>
    </w:p>
    <w:p w14:paraId="1E03A06A" w14:textId="77777777" w:rsidR="003F580A" w:rsidRPr="00D24933" w:rsidRDefault="003F580A" w:rsidP="003F580A">
      <w:pPr>
        <w:tabs>
          <w:tab w:val="left" w:pos="1080"/>
        </w:tabs>
        <w:spacing w:before="240" w:after="240"/>
        <w:ind w:left="1080" w:hanging="1080"/>
        <w:outlineLvl w:val="2"/>
        <w:rPr>
          <w:b/>
          <w:bCs/>
          <w:i/>
        </w:rPr>
      </w:pPr>
      <w:bookmarkStart w:id="32" w:name="_Toc141427863"/>
      <w:r w:rsidRPr="00D24933">
        <w:rPr>
          <w:b/>
          <w:bCs/>
          <w:i/>
        </w:rPr>
        <w:t>26.5.6</w:t>
      </w:r>
      <w:r w:rsidRPr="00D24933">
        <w:rPr>
          <w:b/>
          <w:bCs/>
          <w:i/>
        </w:rPr>
        <w:tab/>
        <w:t>Payment Breach and Late Payments by Market Participants</w:t>
      </w:r>
      <w:bookmarkEnd w:id="32"/>
    </w:p>
    <w:p w14:paraId="0C2DD24F" w14:textId="77777777" w:rsidR="003F580A" w:rsidRPr="00ED3498" w:rsidRDefault="003F580A" w:rsidP="003F580A">
      <w:pPr>
        <w:spacing w:after="240"/>
        <w:ind w:left="720" w:hanging="720"/>
      </w:pPr>
      <w:r w:rsidRPr="00ED3498">
        <w:t>(1)</w:t>
      </w:r>
      <w:r w:rsidRPr="00ED3498">
        <w:tab/>
        <w:t>In the event of a Payment Breach or Late Payment by a Market Participant with respect to Securitization Default Charge Invoices or required Securitization Default Charge escrow deposits</w:t>
      </w:r>
      <w:bookmarkStart w:id="33" w:name="_Hlk85640301"/>
      <w:r w:rsidRPr="00ED3498">
        <w:t>, all remedies specified in Section 16.11.6, Payment Breach and Late Payments by Market Participants, are applicable.</w:t>
      </w:r>
    </w:p>
    <w:p w14:paraId="54E9E555" w14:textId="77777777" w:rsidR="003F580A" w:rsidRPr="00D24933" w:rsidRDefault="003F580A" w:rsidP="003F580A">
      <w:pPr>
        <w:tabs>
          <w:tab w:val="left" w:pos="1080"/>
        </w:tabs>
        <w:spacing w:before="240" w:after="240"/>
        <w:ind w:left="1080" w:hanging="1080"/>
        <w:outlineLvl w:val="2"/>
        <w:rPr>
          <w:b/>
          <w:bCs/>
          <w:i/>
        </w:rPr>
      </w:pPr>
      <w:bookmarkStart w:id="34" w:name="_Toc141427864"/>
      <w:bookmarkEnd w:id="33"/>
      <w:r w:rsidRPr="00D24933">
        <w:rPr>
          <w:b/>
          <w:bCs/>
          <w:i/>
        </w:rPr>
        <w:t>26.5.7</w:t>
      </w:r>
      <w:r w:rsidRPr="00D24933">
        <w:rPr>
          <w:b/>
          <w:bCs/>
          <w:i/>
        </w:rPr>
        <w:tab/>
        <w:t>Release of Market Participant’s Securitization Default Charge Escrow Deposit Requirement</w:t>
      </w:r>
      <w:bookmarkEnd w:id="34"/>
    </w:p>
    <w:p w14:paraId="2C0FD668" w14:textId="728315BA" w:rsidR="003F580A" w:rsidRPr="00ED3498" w:rsidRDefault="003F580A" w:rsidP="003F580A">
      <w:pPr>
        <w:spacing w:after="240"/>
        <w:ind w:left="720" w:hanging="720"/>
      </w:pPr>
      <w:r w:rsidRPr="00ED3498">
        <w:t>(1)</w:t>
      </w:r>
      <w:r w:rsidRPr="00ED3498">
        <w:tab/>
        <w:t xml:space="preserve">ERCOT shall </w:t>
      </w:r>
      <w:r w:rsidR="009E2081">
        <w:t xml:space="preserve">continue to </w:t>
      </w:r>
      <w:r w:rsidRPr="00ED3498">
        <w:t xml:space="preserve">retain all Securitization Default Charge escrow deposits to cover, if necessary, potential future obligations for Securitization Default Charges. </w:t>
      </w:r>
    </w:p>
    <w:p w14:paraId="76A1162A" w14:textId="29E57A1B" w:rsidR="003F580A" w:rsidRPr="00D24933" w:rsidRDefault="003F580A" w:rsidP="003F580A">
      <w:pPr>
        <w:spacing w:after="240"/>
        <w:ind w:left="720" w:hanging="720"/>
      </w:pPr>
      <w:r w:rsidRPr="00ED3498">
        <w:t>(2)</w:t>
      </w:r>
      <w:r w:rsidRPr="00ED3498">
        <w:tab/>
        <w:t xml:space="preserve">Upon ERCOT’s sole determination that all potential Securitization Default Charge Invoices have been paid, ERCOT shall return or release any remaining Securitization Default Charge escrow deposits to </w:t>
      </w:r>
      <w:r w:rsidR="009E2081">
        <w:t>a</w:t>
      </w:r>
      <w:r w:rsidRPr="00ED3498">
        <w:t xml:space="preserve"> terminated Market Participant.</w:t>
      </w:r>
    </w:p>
    <w:p w14:paraId="1CDC46EA" w14:textId="77777777" w:rsidR="00D24933" w:rsidRPr="003F580A" w:rsidRDefault="00D24933" w:rsidP="003F580A"/>
    <w:sectPr w:rsidR="00D24933" w:rsidRPr="003F580A" w:rsidSect="002F5868">
      <w:headerReference w:type="default" r:id="rId14"/>
      <w:footerReference w:type="default" r:id="rId1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381BA" w14:textId="77777777" w:rsidR="00FE1F35" w:rsidRDefault="00FE1F35">
      <w:r>
        <w:separator/>
      </w:r>
    </w:p>
  </w:endnote>
  <w:endnote w:type="continuationSeparator" w:id="0">
    <w:p w14:paraId="294FCE8D" w14:textId="77777777" w:rsidR="00FE1F35" w:rsidRDefault="00FE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747D" w14:textId="77777777" w:rsidR="003F580A" w:rsidRDefault="003F580A">
    <w:pPr>
      <w:pStyle w:val="Footer"/>
      <w:spacing w:before="0" w:after="0"/>
    </w:pPr>
    <w:r>
      <w:t>ERCOT Nodal Protocols – March 1, 2019</w:t>
    </w:r>
  </w:p>
  <w:p w14:paraId="0404B8F4" w14:textId="77777777" w:rsidR="003F580A" w:rsidRDefault="003F580A">
    <w:pPr>
      <w:pStyle w:val="Footer"/>
      <w:spacing w:before="0" w:after="0"/>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EE78" w14:textId="77777777" w:rsidR="003F580A" w:rsidRDefault="003F580A">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8244" w14:textId="2C55E455" w:rsidR="003F580A" w:rsidRDefault="003F580A">
    <w:pPr>
      <w:pStyle w:val="Footer"/>
      <w:spacing w:before="0" w:after="0"/>
    </w:pPr>
    <w:r>
      <w:t xml:space="preserve">ERCOT Nodal Protocols – </w:t>
    </w:r>
    <w:r w:rsidR="003A2E8C">
      <w:t>August</w:t>
    </w:r>
    <w:r>
      <w:t xml:space="preserve"> 1, 202</w:t>
    </w:r>
    <w:r w:rsidR="003A2E8C">
      <w:t>3</w:t>
    </w:r>
  </w:p>
  <w:p w14:paraId="0F54376F" w14:textId="77777777" w:rsidR="003F580A" w:rsidRDefault="003F580A">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F79A" w14:textId="2DE20B94" w:rsidR="00D24933" w:rsidRDefault="00D24933">
    <w:pPr>
      <w:pStyle w:val="Footer"/>
      <w:spacing w:before="0" w:after="0"/>
      <w:rPr>
        <w:rStyle w:val="PageNumber"/>
      </w:rPr>
    </w:pPr>
    <w:r>
      <w:t xml:space="preserve">ERCOT Nodal Protocols – </w:t>
    </w:r>
    <w:r w:rsidR="003A2E8C">
      <w:t>August</w:t>
    </w:r>
    <w:r>
      <w:t xml:space="preserve"> 1, </w:t>
    </w:r>
    <w:proofErr w:type="gramStart"/>
    <w:r>
      <w:t>202</w:t>
    </w:r>
    <w:r w:rsidR="003A2E8C">
      <w:t>3</w:t>
    </w:r>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25-18</w:t>
    </w:r>
    <w:r>
      <w:rPr>
        <w:rStyle w:val="PageNumber"/>
      </w:rPr>
      <w:fldChar w:fldCharType="end"/>
    </w:r>
  </w:p>
  <w:p w14:paraId="5447C10F" w14:textId="77777777" w:rsidR="00D24933" w:rsidRDefault="00D24933">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D4B0" w14:textId="77777777" w:rsidR="00FE1F35" w:rsidRDefault="00FE1F35">
      <w:r>
        <w:separator/>
      </w:r>
    </w:p>
  </w:footnote>
  <w:footnote w:type="continuationSeparator" w:id="0">
    <w:p w14:paraId="2808A9D9" w14:textId="77777777" w:rsidR="00FE1F35" w:rsidRDefault="00FE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F8B07" w14:textId="77777777" w:rsidR="003F580A" w:rsidRDefault="003F580A">
    <w:pPr>
      <w:pStyle w:val="Header"/>
    </w:pPr>
    <w:r>
      <w:t xml:space="preserve">Section </w:t>
    </w:r>
    <w:r>
      <w:rPr>
        <w:lang w:val="en-US"/>
      </w:rPr>
      <w:t>25</w:t>
    </w:r>
    <w:r>
      <w:t>: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9890" w14:textId="77777777" w:rsidR="003F580A" w:rsidRDefault="003F580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1F07" w14:textId="77777777" w:rsidR="003F580A" w:rsidRDefault="003F580A">
    <w:pPr>
      <w:pStyle w:val="Header"/>
    </w:pPr>
    <w:r>
      <w:t xml:space="preserve">Section </w:t>
    </w:r>
    <w:r>
      <w:rPr>
        <w:lang w:val="en-US"/>
      </w:rPr>
      <w:t>26</w:t>
    </w:r>
    <w:r>
      <w:t>: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9A26" w14:textId="77777777" w:rsidR="00D24933" w:rsidRDefault="00D24933">
    <w:pPr>
      <w:pStyle w:val="Header"/>
    </w:pPr>
    <w:r>
      <w:t xml:space="preserve">Section </w:t>
    </w:r>
    <w:r>
      <w:rPr>
        <w:lang w:val="en-US"/>
      </w:rPr>
      <w:t>26</w:t>
    </w:r>
    <w:r>
      <w:t xml:space="preserve">:  </w:t>
    </w:r>
    <w:r w:rsidRPr="00D24933">
      <w:t>Securitization Default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25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428D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341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7263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C6CE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4C3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39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C6A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6E03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BCE4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A2F6AE9"/>
    <w:multiLevelType w:val="multilevel"/>
    <w:tmpl w:val="7F86B8BA"/>
    <w:lvl w:ilvl="0">
      <w:start w:val="26"/>
      <w:numFmt w:val="decimal"/>
      <w:lvlText w:val="%1"/>
      <w:lvlJc w:val="left"/>
      <w:pPr>
        <w:ind w:left="420" w:hanging="420"/>
      </w:pPr>
      <w:rPr>
        <w:rFonts w:hint="default"/>
      </w:rPr>
    </w:lvl>
    <w:lvl w:ilvl="1">
      <w:start w:val="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C1F42C5"/>
    <w:multiLevelType w:val="hybridMultilevel"/>
    <w:tmpl w:val="B678A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9547E"/>
    <w:multiLevelType w:val="hybridMultilevel"/>
    <w:tmpl w:val="2F1A594E"/>
    <w:lvl w:ilvl="0" w:tplc="0700C7C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F51AB"/>
    <w:multiLevelType w:val="hybridMultilevel"/>
    <w:tmpl w:val="C41A9A32"/>
    <w:lvl w:ilvl="0" w:tplc="CDF0F1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E27E3"/>
    <w:multiLevelType w:val="hybridMultilevel"/>
    <w:tmpl w:val="AFFE38F2"/>
    <w:lvl w:ilvl="0" w:tplc="76CE34FE">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848CB"/>
    <w:multiLevelType w:val="hybridMultilevel"/>
    <w:tmpl w:val="8FDA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6510064"/>
    <w:multiLevelType w:val="multilevel"/>
    <w:tmpl w:val="B142CFB2"/>
    <w:lvl w:ilvl="0">
      <w:start w:val="26"/>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E2B350E"/>
    <w:multiLevelType w:val="hybridMultilevel"/>
    <w:tmpl w:val="0504B118"/>
    <w:lvl w:ilvl="0" w:tplc="FDA41542">
      <w:start w:val="3"/>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3D5E76"/>
    <w:multiLevelType w:val="hybridMultilevel"/>
    <w:tmpl w:val="2738E0BE"/>
    <w:lvl w:ilvl="0" w:tplc="874E4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643000">
    <w:abstractNumId w:val="21"/>
  </w:num>
  <w:num w:numId="2" w16cid:durableId="1652053557">
    <w:abstractNumId w:val="9"/>
  </w:num>
  <w:num w:numId="3" w16cid:durableId="1358266185">
    <w:abstractNumId w:val="7"/>
  </w:num>
  <w:num w:numId="4" w16cid:durableId="2130472309">
    <w:abstractNumId w:val="6"/>
  </w:num>
  <w:num w:numId="5" w16cid:durableId="1554149365">
    <w:abstractNumId w:val="5"/>
  </w:num>
  <w:num w:numId="6" w16cid:durableId="3750269">
    <w:abstractNumId w:val="4"/>
  </w:num>
  <w:num w:numId="7" w16cid:durableId="1210268542">
    <w:abstractNumId w:val="8"/>
  </w:num>
  <w:num w:numId="8" w16cid:durableId="1177184968">
    <w:abstractNumId w:val="3"/>
  </w:num>
  <w:num w:numId="9" w16cid:durableId="1601794384">
    <w:abstractNumId w:val="2"/>
  </w:num>
  <w:num w:numId="10" w16cid:durableId="499396141">
    <w:abstractNumId w:val="1"/>
  </w:num>
  <w:num w:numId="11" w16cid:durableId="1946303493">
    <w:abstractNumId w:val="0"/>
  </w:num>
  <w:num w:numId="12" w16cid:durableId="880246511">
    <w:abstractNumId w:val="10"/>
  </w:num>
  <w:num w:numId="13" w16cid:durableId="1667632038">
    <w:abstractNumId w:val="26"/>
  </w:num>
  <w:num w:numId="14" w16cid:durableId="283314590">
    <w:abstractNumId w:val="27"/>
  </w:num>
  <w:num w:numId="15" w16cid:durableId="284852073">
    <w:abstractNumId w:val="11"/>
  </w:num>
  <w:num w:numId="16" w16cid:durableId="1245142501">
    <w:abstractNumId w:val="16"/>
  </w:num>
  <w:num w:numId="17" w16cid:durableId="624458786">
    <w:abstractNumId w:val="20"/>
  </w:num>
  <w:num w:numId="18" w16cid:durableId="1925070329">
    <w:abstractNumId w:val="23"/>
  </w:num>
  <w:num w:numId="19" w16cid:durableId="1074740550">
    <w:abstractNumId w:val="25"/>
  </w:num>
  <w:num w:numId="20" w16cid:durableId="1931506840">
    <w:abstractNumId w:val="17"/>
  </w:num>
  <w:num w:numId="21" w16cid:durableId="122235906">
    <w:abstractNumId w:val="22"/>
  </w:num>
  <w:num w:numId="22" w16cid:durableId="1649935802">
    <w:abstractNumId w:val="15"/>
  </w:num>
  <w:num w:numId="23" w16cid:durableId="1593977473">
    <w:abstractNumId w:val="19"/>
  </w:num>
  <w:num w:numId="24" w16cid:durableId="2037147862">
    <w:abstractNumId w:val="13"/>
  </w:num>
  <w:num w:numId="25" w16cid:durableId="2014454965">
    <w:abstractNumId w:val="12"/>
  </w:num>
  <w:num w:numId="26" w16cid:durableId="1372194088">
    <w:abstractNumId w:val="18"/>
  </w:num>
  <w:num w:numId="27" w16cid:durableId="1706635597">
    <w:abstractNumId w:val="28"/>
  </w:num>
  <w:num w:numId="28" w16cid:durableId="16276628">
    <w:abstractNumId w:val="14"/>
  </w:num>
  <w:num w:numId="29" w16cid:durableId="1921941324">
    <w:abstractNumId w:val="24"/>
  </w:num>
  <w:num w:numId="30" w16cid:durableId="16629230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2450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18993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5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68"/>
    <w:rsid w:val="000000C5"/>
    <w:rsid w:val="00001F8D"/>
    <w:rsid w:val="000035E6"/>
    <w:rsid w:val="0000544B"/>
    <w:rsid w:val="00006895"/>
    <w:rsid w:val="000068BD"/>
    <w:rsid w:val="000136C7"/>
    <w:rsid w:val="00013ABB"/>
    <w:rsid w:val="00023C8A"/>
    <w:rsid w:val="000251BE"/>
    <w:rsid w:val="000253C4"/>
    <w:rsid w:val="0002714F"/>
    <w:rsid w:val="00027150"/>
    <w:rsid w:val="00030273"/>
    <w:rsid w:val="000320CD"/>
    <w:rsid w:val="0003274B"/>
    <w:rsid w:val="00033C22"/>
    <w:rsid w:val="00033F48"/>
    <w:rsid w:val="00035E9F"/>
    <w:rsid w:val="00036BB6"/>
    <w:rsid w:val="0004101E"/>
    <w:rsid w:val="000460A8"/>
    <w:rsid w:val="00047280"/>
    <w:rsid w:val="000505C8"/>
    <w:rsid w:val="00054A8E"/>
    <w:rsid w:val="00056548"/>
    <w:rsid w:val="0006082B"/>
    <w:rsid w:val="00063EF0"/>
    <w:rsid w:val="00066B18"/>
    <w:rsid w:val="00067966"/>
    <w:rsid w:val="000708EE"/>
    <w:rsid w:val="00071147"/>
    <w:rsid w:val="000755E1"/>
    <w:rsid w:val="00081EDE"/>
    <w:rsid w:val="00082CB5"/>
    <w:rsid w:val="00083BFB"/>
    <w:rsid w:val="00085B8E"/>
    <w:rsid w:val="00085EAD"/>
    <w:rsid w:val="00093653"/>
    <w:rsid w:val="000947BA"/>
    <w:rsid w:val="00094D3D"/>
    <w:rsid w:val="000A0FDB"/>
    <w:rsid w:val="000A226C"/>
    <w:rsid w:val="000A2A47"/>
    <w:rsid w:val="000A3652"/>
    <w:rsid w:val="000A384D"/>
    <w:rsid w:val="000A5460"/>
    <w:rsid w:val="000A5E65"/>
    <w:rsid w:val="000A75FE"/>
    <w:rsid w:val="000A7801"/>
    <w:rsid w:val="000B0996"/>
    <w:rsid w:val="000B1CA3"/>
    <w:rsid w:val="000B38B6"/>
    <w:rsid w:val="000B61FF"/>
    <w:rsid w:val="000B7C5F"/>
    <w:rsid w:val="000B7DF0"/>
    <w:rsid w:val="000C2A50"/>
    <w:rsid w:val="000C2AC0"/>
    <w:rsid w:val="000C37A7"/>
    <w:rsid w:val="000C57A5"/>
    <w:rsid w:val="000C6618"/>
    <w:rsid w:val="000C67FC"/>
    <w:rsid w:val="000E0BA1"/>
    <w:rsid w:val="000E1301"/>
    <w:rsid w:val="000E23F9"/>
    <w:rsid w:val="000E6BBB"/>
    <w:rsid w:val="000E7284"/>
    <w:rsid w:val="000F1BF0"/>
    <w:rsid w:val="000F1C3A"/>
    <w:rsid w:val="000F2071"/>
    <w:rsid w:val="000F6026"/>
    <w:rsid w:val="000F7AF0"/>
    <w:rsid w:val="000F7C60"/>
    <w:rsid w:val="001009FD"/>
    <w:rsid w:val="001012EA"/>
    <w:rsid w:val="00102381"/>
    <w:rsid w:val="00103DE2"/>
    <w:rsid w:val="0010494F"/>
    <w:rsid w:val="001121BB"/>
    <w:rsid w:val="001125D3"/>
    <w:rsid w:val="00117151"/>
    <w:rsid w:val="0012035F"/>
    <w:rsid w:val="00120CFD"/>
    <w:rsid w:val="00124699"/>
    <w:rsid w:val="001258ED"/>
    <w:rsid w:val="001322AF"/>
    <w:rsid w:val="00133F0B"/>
    <w:rsid w:val="001349D5"/>
    <w:rsid w:val="001364E1"/>
    <w:rsid w:val="00140D6D"/>
    <w:rsid w:val="0014132B"/>
    <w:rsid w:val="001430C8"/>
    <w:rsid w:val="001435D4"/>
    <w:rsid w:val="001447A4"/>
    <w:rsid w:val="00147169"/>
    <w:rsid w:val="00147DBF"/>
    <w:rsid w:val="00150057"/>
    <w:rsid w:val="00160DE6"/>
    <w:rsid w:val="00160F14"/>
    <w:rsid w:val="00161EB6"/>
    <w:rsid w:val="00163446"/>
    <w:rsid w:val="001648A3"/>
    <w:rsid w:val="0016529C"/>
    <w:rsid w:val="0016715C"/>
    <w:rsid w:val="00171BE5"/>
    <w:rsid w:val="001745B7"/>
    <w:rsid w:val="00180464"/>
    <w:rsid w:val="00183051"/>
    <w:rsid w:val="001844E7"/>
    <w:rsid w:val="00186525"/>
    <w:rsid w:val="0018761D"/>
    <w:rsid w:val="001918D1"/>
    <w:rsid w:val="00191A7A"/>
    <w:rsid w:val="001A0C65"/>
    <w:rsid w:val="001A19CD"/>
    <w:rsid w:val="001A2B58"/>
    <w:rsid w:val="001A56DD"/>
    <w:rsid w:val="001A5D5B"/>
    <w:rsid w:val="001A64FC"/>
    <w:rsid w:val="001A6BAA"/>
    <w:rsid w:val="001A72B8"/>
    <w:rsid w:val="001B1100"/>
    <w:rsid w:val="001B2D9D"/>
    <w:rsid w:val="001B55F8"/>
    <w:rsid w:val="001B5C4D"/>
    <w:rsid w:val="001C0B6C"/>
    <w:rsid w:val="001C48D1"/>
    <w:rsid w:val="001C6D26"/>
    <w:rsid w:val="001D043B"/>
    <w:rsid w:val="001D38FF"/>
    <w:rsid w:val="001E0643"/>
    <w:rsid w:val="001E138A"/>
    <w:rsid w:val="001E5F4E"/>
    <w:rsid w:val="001E7A6D"/>
    <w:rsid w:val="001F68CA"/>
    <w:rsid w:val="001F6AA3"/>
    <w:rsid w:val="002002D1"/>
    <w:rsid w:val="00201626"/>
    <w:rsid w:val="00201A4C"/>
    <w:rsid w:val="0020301C"/>
    <w:rsid w:val="00204362"/>
    <w:rsid w:val="002048BD"/>
    <w:rsid w:val="00205879"/>
    <w:rsid w:val="00206CF3"/>
    <w:rsid w:val="002071AA"/>
    <w:rsid w:val="00211EBD"/>
    <w:rsid w:val="00214538"/>
    <w:rsid w:val="00214A0B"/>
    <w:rsid w:val="002175B0"/>
    <w:rsid w:val="00221F1C"/>
    <w:rsid w:val="002232DC"/>
    <w:rsid w:val="0022450A"/>
    <w:rsid w:val="00226522"/>
    <w:rsid w:val="002325F7"/>
    <w:rsid w:val="00234DC8"/>
    <w:rsid w:val="00235107"/>
    <w:rsid w:val="00236629"/>
    <w:rsid w:val="0024094E"/>
    <w:rsid w:val="00242528"/>
    <w:rsid w:val="00242B20"/>
    <w:rsid w:val="002441AB"/>
    <w:rsid w:val="00246FD3"/>
    <w:rsid w:val="00250433"/>
    <w:rsid w:val="00250643"/>
    <w:rsid w:val="00251909"/>
    <w:rsid w:val="00252948"/>
    <w:rsid w:val="00253557"/>
    <w:rsid w:val="00253C93"/>
    <w:rsid w:val="00261EB0"/>
    <w:rsid w:val="0026307F"/>
    <w:rsid w:val="0026416B"/>
    <w:rsid w:val="00265942"/>
    <w:rsid w:val="0027128D"/>
    <w:rsid w:val="00272E3D"/>
    <w:rsid w:val="00272F1F"/>
    <w:rsid w:val="0027779A"/>
    <w:rsid w:val="002800C9"/>
    <w:rsid w:val="00281166"/>
    <w:rsid w:val="00285F2A"/>
    <w:rsid w:val="00290A7B"/>
    <w:rsid w:val="00291EC0"/>
    <w:rsid w:val="00292C62"/>
    <w:rsid w:val="00293CA4"/>
    <w:rsid w:val="00293E99"/>
    <w:rsid w:val="00294083"/>
    <w:rsid w:val="002951E2"/>
    <w:rsid w:val="00296824"/>
    <w:rsid w:val="002A0A8E"/>
    <w:rsid w:val="002A1127"/>
    <w:rsid w:val="002A13DC"/>
    <w:rsid w:val="002A1D73"/>
    <w:rsid w:val="002A2A80"/>
    <w:rsid w:val="002A2DA9"/>
    <w:rsid w:val="002B138E"/>
    <w:rsid w:val="002B3B59"/>
    <w:rsid w:val="002B56CF"/>
    <w:rsid w:val="002B5C51"/>
    <w:rsid w:val="002B6842"/>
    <w:rsid w:val="002B7F89"/>
    <w:rsid w:val="002C3780"/>
    <w:rsid w:val="002D002D"/>
    <w:rsid w:val="002D20CF"/>
    <w:rsid w:val="002D55E3"/>
    <w:rsid w:val="002D6B9C"/>
    <w:rsid w:val="002D6D19"/>
    <w:rsid w:val="002D6E97"/>
    <w:rsid w:val="002E18E2"/>
    <w:rsid w:val="002E37E9"/>
    <w:rsid w:val="002E4F8A"/>
    <w:rsid w:val="002E51C0"/>
    <w:rsid w:val="002E6E6E"/>
    <w:rsid w:val="002F2B12"/>
    <w:rsid w:val="002F5868"/>
    <w:rsid w:val="00303D8F"/>
    <w:rsid w:val="003060F3"/>
    <w:rsid w:val="003061A0"/>
    <w:rsid w:val="00306A37"/>
    <w:rsid w:val="00310475"/>
    <w:rsid w:val="00311602"/>
    <w:rsid w:val="00311E1F"/>
    <w:rsid w:val="003135A1"/>
    <w:rsid w:val="00313E64"/>
    <w:rsid w:val="00321B52"/>
    <w:rsid w:val="00322069"/>
    <w:rsid w:val="00326226"/>
    <w:rsid w:val="00343EDE"/>
    <w:rsid w:val="003459E3"/>
    <w:rsid w:val="003460D2"/>
    <w:rsid w:val="00350834"/>
    <w:rsid w:val="00351268"/>
    <w:rsid w:val="00351A42"/>
    <w:rsid w:val="0035251C"/>
    <w:rsid w:val="00353E26"/>
    <w:rsid w:val="003543A9"/>
    <w:rsid w:val="0036205D"/>
    <w:rsid w:val="00364431"/>
    <w:rsid w:val="003711CE"/>
    <w:rsid w:val="00372438"/>
    <w:rsid w:val="00374222"/>
    <w:rsid w:val="00376976"/>
    <w:rsid w:val="0038222B"/>
    <w:rsid w:val="0038246D"/>
    <w:rsid w:val="0038460C"/>
    <w:rsid w:val="003858AA"/>
    <w:rsid w:val="00390863"/>
    <w:rsid w:val="003919AB"/>
    <w:rsid w:val="0039567D"/>
    <w:rsid w:val="0039611D"/>
    <w:rsid w:val="00396995"/>
    <w:rsid w:val="003A1BE2"/>
    <w:rsid w:val="003A2E8C"/>
    <w:rsid w:val="003A4253"/>
    <w:rsid w:val="003A4817"/>
    <w:rsid w:val="003A49A0"/>
    <w:rsid w:val="003A5B80"/>
    <w:rsid w:val="003A5FD2"/>
    <w:rsid w:val="003B1EED"/>
    <w:rsid w:val="003B64A7"/>
    <w:rsid w:val="003B6C4D"/>
    <w:rsid w:val="003C21AA"/>
    <w:rsid w:val="003C5049"/>
    <w:rsid w:val="003D26CE"/>
    <w:rsid w:val="003D6DF8"/>
    <w:rsid w:val="003E07D7"/>
    <w:rsid w:val="003E1247"/>
    <w:rsid w:val="003E15FE"/>
    <w:rsid w:val="003E66E6"/>
    <w:rsid w:val="003F197D"/>
    <w:rsid w:val="003F391C"/>
    <w:rsid w:val="003F4A82"/>
    <w:rsid w:val="003F580A"/>
    <w:rsid w:val="00402766"/>
    <w:rsid w:val="00402E00"/>
    <w:rsid w:val="00403487"/>
    <w:rsid w:val="00403ADC"/>
    <w:rsid w:val="0040428D"/>
    <w:rsid w:val="004107CF"/>
    <w:rsid w:val="00412101"/>
    <w:rsid w:val="00415636"/>
    <w:rsid w:val="00417F93"/>
    <w:rsid w:val="00421041"/>
    <w:rsid w:val="00423B63"/>
    <w:rsid w:val="00424F6A"/>
    <w:rsid w:val="00425E3A"/>
    <w:rsid w:val="004270F7"/>
    <w:rsid w:val="004275E0"/>
    <w:rsid w:val="004313A1"/>
    <w:rsid w:val="0043210C"/>
    <w:rsid w:val="00432B04"/>
    <w:rsid w:val="004354AA"/>
    <w:rsid w:val="00445B41"/>
    <w:rsid w:val="00445B98"/>
    <w:rsid w:val="00446EFA"/>
    <w:rsid w:val="00447305"/>
    <w:rsid w:val="00447DED"/>
    <w:rsid w:val="00450E2B"/>
    <w:rsid w:val="00453481"/>
    <w:rsid w:val="00456467"/>
    <w:rsid w:val="00457834"/>
    <w:rsid w:val="00462F4A"/>
    <w:rsid w:val="00463C16"/>
    <w:rsid w:val="004650F4"/>
    <w:rsid w:val="0046574D"/>
    <w:rsid w:val="004658AF"/>
    <w:rsid w:val="004715D5"/>
    <w:rsid w:val="00472482"/>
    <w:rsid w:val="00475AF6"/>
    <w:rsid w:val="00477FF2"/>
    <w:rsid w:val="00483A4E"/>
    <w:rsid w:val="004910D9"/>
    <w:rsid w:val="00491329"/>
    <w:rsid w:val="004935E4"/>
    <w:rsid w:val="0049412E"/>
    <w:rsid w:val="00496044"/>
    <w:rsid w:val="004A11AF"/>
    <w:rsid w:val="004A46F4"/>
    <w:rsid w:val="004B209B"/>
    <w:rsid w:val="004B44A5"/>
    <w:rsid w:val="004B5FAB"/>
    <w:rsid w:val="004B66C1"/>
    <w:rsid w:val="004B7604"/>
    <w:rsid w:val="004B7A25"/>
    <w:rsid w:val="004C2C73"/>
    <w:rsid w:val="004C526D"/>
    <w:rsid w:val="004C5654"/>
    <w:rsid w:val="004D1242"/>
    <w:rsid w:val="004D3B1C"/>
    <w:rsid w:val="004D4792"/>
    <w:rsid w:val="004D574D"/>
    <w:rsid w:val="004E038F"/>
    <w:rsid w:val="004E080B"/>
    <w:rsid w:val="004E2C89"/>
    <w:rsid w:val="004E7C37"/>
    <w:rsid w:val="004F28FF"/>
    <w:rsid w:val="004F3D2C"/>
    <w:rsid w:val="004F5535"/>
    <w:rsid w:val="004F6967"/>
    <w:rsid w:val="005003EA"/>
    <w:rsid w:val="0050306A"/>
    <w:rsid w:val="00504253"/>
    <w:rsid w:val="00505105"/>
    <w:rsid w:val="00512504"/>
    <w:rsid w:val="005125D9"/>
    <w:rsid w:val="00515754"/>
    <w:rsid w:val="00517288"/>
    <w:rsid w:val="00517D5E"/>
    <w:rsid w:val="00520303"/>
    <w:rsid w:val="00521229"/>
    <w:rsid w:val="00522B6A"/>
    <w:rsid w:val="00523B63"/>
    <w:rsid w:val="005243C6"/>
    <w:rsid w:val="00527F0A"/>
    <w:rsid w:val="00530CDD"/>
    <w:rsid w:val="005317FF"/>
    <w:rsid w:val="0053522E"/>
    <w:rsid w:val="0053604E"/>
    <w:rsid w:val="0053718F"/>
    <w:rsid w:val="00541972"/>
    <w:rsid w:val="005438B0"/>
    <w:rsid w:val="0054792C"/>
    <w:rsid w:val="00547BEB"/>
    <w:rsid w:val="00551866"/>
    <w:rsid w:val="00560A5E"/>
    <w:rsid w:val="005627BA"/>
    <w:rsid w:val="005637BA"/>
    <w:rsid w:val="00581EC4"/>
    <w:rsid w:val="00582F8A"/>
    <w:rsid w:val="00585AFA"/>
    <w:rsid w:val="00587BE3"/>
    <w:rsid w:val="005908C4"/>
    <w:rsid w:val="005938C0"/>
    <w:rsid w:val="005944AA"/>
    <w:rsid w:val="0059696A"/>
    <w:rsid w:val="005A6716"/>
    <w:rsid w:val="005B1CA7"/>
    <w:rsid w:val="005B3527"/>
    <w:rsid w:val="005B4116"/>
    <w:rsid w:val="005B4921"/>
    <w:rsid w:val="005B5951"/>
    <w:rsid w:val="005B6FDB"/>
    <w:rsid w:val="005C1687"/>
    <w:rsid w:val="005C29D8"/>
    <w:rsid w:val="005C544C"/>
    <w:rsid w:val="005C6188"/>
    <w:rsid w:val="005D281B"/>
    <w:rsid w:val="005D4619"/>
    <w:rsid w:val="005D5E8B"/>
    <w:rsid w:val="005E1A1D"/>
    <w:rsid w:val="005E2D2D"/>
    <w:rsid w:val="005E45CD"/>
    <w:rsid w:val="005E554F"/>
    <w:rsid w:val="005E5E49"/>
    <w:rsid w:val="005E61C3"/>
    <w:rsid w:val="005F19AF"/>
    <w:rsid w:val="005F5141"/>
    <w:rsid w:val="005F6DBC"/>
    <w:rsid w:val="005F7F75"/>
    <w:rsid w:val="00600503"/>
    <w:rsid w:val="0060131A"/>
    <w:rsid w:val="006043B3"/>
    <w:rsid w:val="00605117"/>
    <w:rsid w:val="00610D6D"/>
    <w:rsid w:val="006125F3"/>
    <w:rsid w:val="0061513E"/>
    <w:rsid w:val="006154BC"/>
    <w:rsid w:val="0061794E"/>
    <w:rsid w:val="00620036"/>
    <w:rsid w:val="006200C1"/>
    <w:rsid w:val="00621AD4"/>
    <w:rsid w:val="00622553"/>
    <w:rsid w:val="0062315C"/>
    <w:rsid w:val="00624C4D"/>
    <w:rsid w:val="0062542E"/>
    <w:rsid w:val="00625828"/>
    <w:rsid w:val="00626FE5"/>
    <w:rsid w:val="00627BEB"/>
    <w:rsid w:val="00630156"/>
    <w:rsid w:val="00630270"/>
    <w:rsid w:val="006332F2"/>
    <w:rsid w:val="00635A74"/>
    <w:rsid w:val="00642868"/>
    <w:rsid w:val="006439CE"/>
    <w:rsid w:val="006459C0"/>
    <w:rsid w:val="006503A0"/>
    <w:rsid w:val="0065052C"/>
    <w:rsid w:val="00655C6A"/>
    <w:rsid w:val="00656F6C"/>
    <w:rsid w:val="00657D04"/>
    <w:rsid w:val="00660ED3"/>
    <w:rsid w:val="00661B66"/>
    <w:rsid w:val="006639BC"/>
    <w:rsid w:val="00672091"/>
    <w:rsid w:val="00672846"/>
    <w:rsid w:val="00673C77"/>
    <w:rsid w:val="0067451A"/>
    <w:rsid w:val="0067556D"/>
    <w:rsid w:val="006766E6"/>
    <w:rsid w:val="006772EC"/>
    <w:rsid w:val="00681A15"/>
    <w:rsid w:val="00682ADA"/>
    <w:rsid w:val="006832D2"/>
    <w:rsid w:val="006843C4"/>
    <w:rsid w:val="00684AD0"/>
    <w:rsid w:val="00684E7F"/>
    <w:rsid w:val="0069541C"/>
    <w:rsid w:val="006A035C"/>
    <w:rsid w:val="006A0DCD"/>
    <w:rsid w:val="006A172D"/>
    <w:rsid w:val="006A3225"/>
    <w:rsid w:val="006A6713"/>
    <w:rsid w:val="006B1969"/>
    <w:rsid w:val="006B2CF0"/>
    <w:rsid w:val="006B4446"/>
    <w:rsid w:val="006C1678"/>
    <w:rsid w:val="006C2755"/>
    <w:rsid w:val="006C2837"/>
    <w:rsid w:val="006D27AD"/>
    <w:rsid w:val="006D3549"/>
    <w:rsid w:val="006D7C6D"/>
    <w:rsid w:val="006E068D"/>
    <w:rsid w:val="006E1956"/>
    <w:rsid w:val="006E32CE"/>
    <w:rsid w:val="006E631F"/>
    <w:rsid w:val="006E797A"/>
    <w:rsid w:val="006F4018"/>
    <w:rsid w:val="007004AA"/>
    <w:rsid w:val="0070162F"/>
    <w:rsid w:val="0070210E"/>
    <w:rsid w:val="00703204"/>
    <w:rsid w:val="00705090"/>
    <w:rsid w:val="0070570F"/>
    <w:rsid w:val="00710B0D"/>
    <w:rsid w:val="00711862"/>
    <w:rsid w:val="00715342"/>
    <w:rsid w:val="0071686C"/>
    <w:rsid w:val="00717EAF"/>
    <w:rsid w:val="00724433"/>
    <w:rsid w:val="0072783B"/>
    <w:rsid w:val="00732DB0"/>
    <w:rsid w:val="007331D3"/>
    <w:rsid w:val="00737C55"/>
    <w:rsid w:val="00742FDD"/>
    <w:rsid w:val="00743878"/>
    <w:rsid w:val="00745EF5"/>
    <w:rsid w:val="00747607"/>
    <w:rsid w:val="00752EC8"/>
    <w:rsid w:val="0076019C"/>
    <w:rsid w:val="00760469"/>
    <w:rsid w:val="007616A5"/>
    <w:rsid w:val="00761BFD"/>
    <w:rsid w:val="00763592"/>
    <w:rsid w:val="007672D2"/>
    <w:rsid w:val="007701F7"/>
    <w:rsid w:val="00770F6D"/>
    <w:rsid w:val="0077177A"/>
    <w:rsid w:val="0077281D"/>
    <w:rsid w:val="00773589"/>
    <w:rsid w:val="00774092"/>
    <w:rsid w:val="00775CFE"/>
    <w:rsid w:val="0078006B"/>
    <w:rsid w:val="00786C26"/>
    <w:rsid w:val="00791141"/>
    <w:rsid w:val="00792DE7"/>
    <w:rsid w:val="00793B91"/>
    <w:rsid w:val="007945B4"/>
    <w:rsid w:val="0079688B"/>
    <w:rsid w:val="007A089B"/>
    <w:rsid w:val="007A2026"/>
    <w:rsid w:val="007A2500"/>
    <w:rsid w:val="007A43DD"/>
    <w:rsid w:val="007A79A2"/>
    <w:rsid w:val="007B033B"/>
    <w:rsid w:val="007B06D6"/>
    <w:rsid w:val="007B102B"/>
    <w:rsid w:val="007B1EEB"/>
    <w:rsid w:val="007B2A42"/>
    <w:rsid w:val="007B47A4"/>
    <w:rsid w:val="007B726C"/>
    <w:rsid w:val="007C0E6C"/>
    <w:rsid w:val="007C365C"/>
    <w:rsid w:val="007C76AC"/>
    <w:rsid w:val="007C7737"/>
    <w:rsid w:val="007D06AD"/>
    <w:rsid w:val="007D2C11"/>
    <w:rsid w:val="007D58F9"/>
    <w:rsid w:val="007D7CB8"/>
    <w:rsid w:val="007E5131"/>
    <w:rsid w:val="007F0D31"/>
    <w:rsid w:val="007F130D"/>
    <w:rsid w:val="007F6435"/>
    <w:rsid w:val="008055DB"/>
    <w:rsid w:val="00805BD8"/>
    <w:rsid w:val="00805DC0"/>
    <w:rsid w:val="00806C76"/>
    <w:rsid w:val="00807BAA"/>
    <w:rsid w:val="0081505A"/>
    <w:rsid w:val="00817ABD"/>
    <w:rsid w:val="00821435"/>
    <w:rsid w:val="008233F3"/>
    <w:rsid w:val="00830A7A"/>
    <w:rsid w:val="008335B5"/>
    <w:rsid w:val="00834D02"/>
    <w:rsid w:val="00836781"/>
    <w:rsid w:val="00837214"/>
    <w:rsid w:val="00840089"/>
    <w:rsid w:val="008436F5"/>
    <w:rsid w:val="008523DC"/>
    <w:rsid w:val="00857C7B"/>
    <w:rsid w:val="00861226"/>
    <w:rsid w:val="00866CD3"/>
    <w:rsid w:val="008673D6"/>
    <w:rsid w:val="00870DFE"/>
    <w:rsid w:val="00873A65"/>
    <w:rsid w:val="0087738E"/>
    <w:rsid w:val="00881601"/>
    <w:rsid w:val="00885921"/>
    <w:rsid w:val="00890292"/>
    <w:rsid w:val="008910B8"/>
    <w:rsid w:val="00897313"/>
    <w:rsid w:val="008A5881"/>
    <w:rsid w:val="008A5E12"/>
    <w:rsid w:val="008A6F94"/>
    <w:rsid w:val="008A7C8A"/>
    <w:rsid w:val="008B009F"/>
    <w:rsid w:val="008B1276"/>
    <w:rsid w:val="008B1A4B"/>
    <w:rsid w:val="008B1FB4"/>
    <w:rsid w:val="008B24F2"/>
    <w:rsid w:val="008C0CC8"/>
    <w:rsid w:val="008C3DDE"/>
    <w:rsid w:val="008C5651"/>
    <w:rsid w:val="008C7844"/>
    <w:rsid w:val="008D1435"/>
    <w:rsid w:val="008D24E9"/>
    <w:rsid w:val="008D29CB"/>
    <w:rsid w:val="008D4343"/>
    <w:rsid w:val="008D4BED"/>
    <w:rsid w:val="008D790C"/>
    <w:rsid w:val="008D7DD7"/>
    <w:rsid w:val="008E0E4F"/>
    <w:rsid w:val="008E4139"/>
    <w:rsid w:val="008E54D9"/>
    <w:rsid w:val="008E5C98"/>
    <w:rsid w:val="008E5E2B"/>
    <w:rsid w:val="008E78FC"/>
    <w:rsid w:val="008E7DFD"/>
    <w:rsid w:val="008F4DA5"/>
    <w:rsid w:val="008F5450"/>
    <w:rsid w:val="00901575"/>
    <w:rsid w:val="0090287B"/>
    <w:rsid w:val="00902E7A"/>
    <w:rsid w:val="0090521F"/>
    <w:rsid w:val="009070AA"/>
    <w:rsid w:val="00912BF3"/>
    <w:rsid w:val="009144A0"/>
    <w:rsid w:val="0091696B"/>
    <w:rsid w:val="009174A8"/>
    <w:rsid w:val="00921E0D"/>
    <w:rsid w:val="009260BB"/>
    <w:rsid w:val="00926C4B"/>
    <w:rsid w:val="00934039"/>
    <w:rsid w:val="00934926"/>
    <w:rsid w:val="00934DBB"/>
    <w:rsid w:val="00936295"/>
    <w:rsid w:val="00936F53"/>
    <w:rsid w:val="00940731"/>
    <w:rsid w:val="009515C2"/>
    <w:rsid w:val="00952A87"/>
    <w:rsid w:val="009541DB"/>
    <w:rsid w:val="00955F72"/>
    <w:rsid w:val="00956262"/>
    <w:rsid w:val="009563DF"/>
    <w:rsid w:val="00957C3D"/>
    <w:rsid w:val="00957C8F"/>
    <w:rsid w:val="009634D0"/>
    <w:rsid w:val="009641F0"/>
    <w:rsid w:val="009644E2"/>
    <w:rsid w:val="00965C63"/>
    <w:rsid w:val="00967AB9"/>
    <w:rsid w:val="00971A32"/>
    <w:rsid w:val="00974D32"/>
    <w:rsid w:val="00975D78"/>
    <w:rsid w:val="009810FA"/>
    <w:rsid w:val="009824DC"/>
    <w:rsid w:val="00982EB9"/>
    <w:rsid w:val="00983E12"/>
    <w:rsid w:val="009868C6"/>
    <w:rsid w:val="00996AD4"/>
    <w:rsid w:val="00997FBD"/>
    <w:rsid w:val="009A1A1C"/>
    <w:rsid w:val="009A33C2"/>
    <w:rsid w:val="009A7BE2"/>
    <w:rsid w:val="009B0206"/>
    <w:rsid w:val="009B31DD"/>
    <w:rsid w:val="009B64DF"/>
    <w:rsid w:val="009C13B9"/>
    <w:rsid w:val="009C1815"/>
    <w:rsid w:val="009C374D"/>
    <w:rsid w:val="009C65F4"/>
    <w:rsid w:val="009C7EAA"/>
    <w:rsid w:val="009D05E9"/>
    <w:rsid w:val="009D1657"/>
    <w:rsid w:val="009D2CFF"/>
    <w:rsid w:val="009E0ADE"/>
    <w:rsid w:val="009E2081"/>
    <w:rsid w:val="009F0903"/>
    <w:rsid w:val="009F09AC"/>
    <w:rsid w:val="009F0B1C"/>
    <w:rsid w:val="009F5B12"/>
    <w:rsid w:val="009F5FB6"/>
    <w:rsid w:val="009F6FA6"/>
    <w:rsid w:val="00A00929"/>
    <w:rsid w:val="00A0123C"/>
    <w:rsid w:val="00A04C52"/>
    <w:rsid w:val="00A04F41"/>
    <w:rsid w:val="00A06E01"/>
    <w:rsid w:val="00A0709E"/>
    <w:rsid w:val="00A11307"/>
    <w:rsid w:val="00A11754"/>
    <w:rsid w:val="00A27DF3"/>
    <w:rsid w:val="00A30919"/>
    <w:rsid w:val="00A31F5E"/>
    <w:rsid w:val="00A327D9"/>
    <w:rsid w:val="00A33960"/>
    <w:rsid w:val="00A366C8"/>
    <w:rsid w:val="00A375E0"/>
    <w:rsid w:val="00A40DA5"/>
    <w:rsid w:val="00A41D21"/>
    <w:rsid w:val="00A43CDA"/>
    <w:rsid w:val="00A44C61"/>
    <w:rsid w:val="00A45BD6"/>
    <w:rsid w:val="00A45F4D"/>
    <w:rsid w:val="00A46174"/>
    <w:rsid w:val="00A50ACF"/>
    <w:rsid w:val="00A516B7"/>
    <w:rsid w:val="00A51FF4"/>
    <w:rsid w:val="00A52987"/>
    <w:rsid w:val="00A53C01"/>
    <w:rsid w:val="00A5439E"/>
    <w:rsid w:val="00A566FB"/>
    <w:rsid w:val="00A57452"/>
    <w:rsid w:val="00A65E1E"/>
    <w:rsid w:val="00A6741A"/>
    <w:rsid w:val="00A72037"/>
    <w:rsid w:val="00A7219F"/>
    <w:rsid w:val="00A739B7"/>
    <w:rsid w:val="00A74809"/>
    <w:rsid w:val="00A75C9C"/>
    <w:rsid w:val="00A75DF8"/>
    <w:rsid w:val="00A8151D"/>
    <w:rsid w:val="00A81766"/>
    <w:rsid w:val="00A81CDE"/>
    <w:rsid w:val="00A828AC"/>
    <w:rsid w:val="00A83E2D"/>
    <w:rsid w:val="00A85BCD"/>
    <w:rsid w:val="00A86A56"/>
    <w:rsid w:val="00A8785C"/>
    <w:rsid w:val="00A9261D"/>
    <w:rsid w:val="00A927C1"/>
    <w:rsid w:val="00A95999"/>
    <w:rsid w:val="00AA2B4C"/>
    <w:rsid w:val="00AA3B01"/>
    <w:rsid w:val="00AA4115"/>
    <w:rsid w:val="00AA43F8"/>
    <w:rsid w:val="00AA494E"/>
    <w:rsid w:val="00AA671F"/>
    <w:rsid w:val="00AA729C"/>
    <w:rsid w:val="00AA72D6"/>
    <w:rsid w:val="00AB0B54"/>
    <w:rsid w:val="00AB4C5C"/>
    <w:rsid w:val="00AB4FCB"/>
    <w:rsid w:val="00AC12CB"/>
    <w:rsid w:val="00AC397E"/>
    <w:rsid w:val="00AC45D1"/>
    <w:rsid w:val="00AC51AD"/>
    <w:rsid w:val="00AD4FFA"/>
    <w:rsid w:val="00AD6B53"/>
    <w:rsid w:val="00AE36F0"/>
    <w:rsid w:val="00AE3DFF"/>
    <w:rsid w:val="00AF0151"/>
    <w:rsid w:val="00AF146B"/>
    <w:rsid w:val="00AF51C5"/>
    <w:rsid w:val="00B04421"/>
    <w:rsid w:val="00B05AB1"/>
    <w:rsid w:val="00B10197"/>
    <w:rsid w:val="00B10807"/>
    <w:rsid w:val="00B12127"/>
    <w:rsid w:val="00B176DE"/>
    <w:rsid w:val="00B23BDD"/>
    <w:rsid w:val="00B249F0"/>
    <w:rsid w:val="00B25D23"/>
    <w:rsid w:val="00B260EF"/>
    <w:rsid w:val="00B27C6F"/>
    <w:rsid w:val="00B31C4A"/>
    <w:rsid w:val="00B32771"/>
    <w:rsid w:val="00B32A96"/>
    <w:rsid w:val="00B34F9F"/>
    <w:rsid w:val="00B404F7"/>
    <w:rsid w:val="00B4348A"/>
    <w:rsid w:val="00B4369A"/>
    <w:rsid w:val="00B4510E"/>
    <w:rsid w:val="00B45B18"/>
    <w:rsid w:val="00B46E5F"/>
    <w:rsid w:val="00B4754C"/>
    <w:rsid w:val="00B51DBE"/>
    <w:rsid w:val="00B54050"/>
    <w:rsid w:val="00B54458"/>
    <w:rsid w:val="00B547D0"/>
    <w:rsid w:val="00B55198"/>
    <w:rsid w:val="00B572B3"/>
    <w:rsid w:val="00B578C1"/>
    <w:rsid w:val="00B60A8A"/>
    <w:rsid w:val="00B60B52"/>
    <w:rsid w:val="00B61099"/>
    <w:rsid w:val="00B61678"/>
    <w:rsid w:val="00B61842"/>
    <w:rsid w:val="00B636C5"/>
    <w:rsid w:val="00B637B2"/>
    <w:rsid w:val="00B64340"/>
    <w:rsid w:val="00B65A32"/>
    <w:rsid w:val="00B67065"/>
    <w:rsid w:val="00B72F60"/>
    <w:rsid w:val="00B7465A"/>
    <w:rsid w:val="00B761A9"/>
    <w:rsid w:val="00B7652C"/>
    <w:rsid w:val="00B77406"/>
    <w:rsid w:val="00B80215"/>
    <w:rsid w:val="00B91651"/>
    <w:rsid w:val="00BA2175"/>
    <w:rsid w:val="00BB2714"/>
    <w:rsid w:val="00BB34B8"/>
    <w:rsid w:val="00BB66C2"/>
    <w:rsid w:val="00BC04EC"/>
    <w:rsid w:val="00BC0E66"/>
    <w:rsid w:val="00BC11EF"/>
    <w:rsid w:val="00BC51AE"/>
    <w:rsid w:val="00BC66E2"/>
    <w:rsid w:val="00BD15C8"/>
    <w:rsid w:val="00BD419F"/>
    <w:rsid w:val="00BD5CB4"/>
    <w:rsid w:val="00BD69A1"/>
    <w:rsid w:val="00BD782D"/>
    <w:rsid w:val="00BD7FB8"/>
    <w:rsid w:val="00BE2B09"/>
    <w:rsid w:val="00BE2C24"/>
    <w:rsid w:val="00BE428A"/>
    <w:rsid w:val="00BE75B3"/>
    <w:rsid w:val="00BE7C8B"/>
    <w:rsid w:val="00BF0D89"/>
    <w:rsid w:val="00BF1DA3"/>
    <w:rsid w:val="00BF2624"/>
    <w:rsid w:val="00BF5A2E"/>
    <w:rsid w:val="00C01026"/>
    <w:rsid w:val="00C027E8"/>
    <w:rsid w:val="00C04E6E"/>
    <w:rsid w:val="00C10591"/>
    <w:rsid w:val="00C10D4A"/>
    <w:rsid w:val="00C114BB"/>
    <w:rsid w:val="00C128CE"/>
    <w:rsid w:val="00C12F14"/>
    <w:rsid w:val="00C15ABF"/>
    <w:rsid w:val="00C15C18"/>
    <w:rsid w:val="00C16E4D"/>
    <w:rsid w:val="00C16F9D"/>
    <w:rsid w:val="00C17663"/>
    <w:rsid w:val="00C20A8B"/>
    <w:rsid w:val="00C22141"/>
    <w:rsid w:val="00C2257A"/>
    <w:rsid w:val="00C260FF"/>
    <w:rsid w:val="00C3143D"/>
    <w:rsid w:val="00C32638"/>
    <w:rsid w:val="00C339F8"/>
    <w:rsid w:val="00C341B5"/>
    <w:rsid w:val="00C342E1"/>
    <w:rsid w:val="00C376A6"/>
    <w:rsid w:val="00C37901"/>
    <w:rsid w:val="00C426EE"/>
    <w:rsid w:val="00C45481"/>
    <w:rsid w:val="00C47F35"/>
    <w:rsid w:val="00C50831"/>
    <w:rsid w:val="00C562E9"/>
    <w:rsid w:val="00C60453"/>
    <w:rsid w:val="00C610E1"/>
    <w:rsid w:val="00C65B19"/>
    <w:rsid w:val="00C668DB"/>
    <w:rsid w:val="00C715A2"/>
    <w:rsid w:val="00C723DE"/>
    <w:rsid w:val="00C738D0"/>
    <w:rsid w:val="00C74063"/>
    <w:rsid w:val="00C745C0"/>
    <w:rsid w:val="00C748BF"/>
    <w:rsid w:val="00C76E36"/>
    <w:rsid w:val="00C76F59"/>
    <w:rsid w:val="00C80487"/>
    <w:rsid w:val="00C8154C"/>
    <w:rsid w:val="00C82FE1"/>
    <w:rsid w:val="00C8373A"/>
    <w:rsid w:val="00C83788"/>
    <w:rsid w:val="00C86594"/>
    <w:rsid w:val="00C91093"/>
    <w:rsid w:val="00C92C22"/>
    <w:rsid w:val="00CA140F"/>
    <w:rsid w:val="00CA42CE"/>
    <w:rsid w:val="00CA6168"/>
    <w:rsid w:val="00CA7E6C"/>
    <w:rsid w:val="00CB3F46"/>
    <w:rsid w:val="00CC2254"/>
    <w:rsid w:val="00CC2724"/>
    <w:rsid w:val="00CC2C42"/>
    <w:rsid w:val="00CC2CB6"/>
    <w:rsid w:val="00CC3A2F"/>
    <w:rsid w:val="00CC3B58"/>
    <w:rsid w:val="00CC6D81"/>
    <w:rsid w:val="00CD010C"/>
    <w:rsid w:val="00CD02B5"/>
    <w:rsid w:val="00CD0616"/>
    <w:rsid w:val="00CD0AE1"/>
    <w:rsid w:val="00CD11DE"/>
    <w:rsid w:val="00CD2A77"/>
    <w:rsid w:val="00CD5969"/>
    <w:rsid w:val="00CD6D10"/>
    <w:rsid w:val="00CE1EDD"/>
    <w:rsid w:val="00CE2589"/>
    <w:rsid w:val="00CF1772"/>
    <w:rsid w:val="00CF51F9"/>
    <w:rsid w:val="00D064CD"/>
    <w:rsid w:val="00D07C9B"/>
    <w:rsid w:val="00D07D1E"/>
    <w:rsid w:val="00D164B6"/>
    <w:rsid w:val="00D212C9"/>
    <w:rsid w:val="00D2227E"/>
    <w:rsid w:val="00D22854"/>
    <w:rsid w:val="00D24933"/>
    <w:rsid w:val="00D26C2F"/>
    <w:rsid w:val="00D32259"/>
    <w:rsid w:val="00D33F7C"/>
    <w:rsid w:val="00D3504C"/>
    <w:rsid w:val="00D35C13"/>
    <w:rsid w:val="00D41086"/>
    <w:rsid w:val="00D4135D"/>
    <w:rsid w:val="00D41430"/>
    <w:rsid w:val="00D417F5"/>
    <w:rsid w:val="00D43AB7"/>
    <w:rsid w:val="00D43D04"/>
    <w:rsid w:val="00D45051"/>
    <w:rsid w:val="00D4593D"/>
    <w:rsid w:val="00D45A31"/>
    <w:rsid w:val="00D53A39"/>
    <w:rsid w:val="00D54B14"/>
    <w:rsid w:val="00D573AF"/>
    <w:rsid w:val="00D60C3F"/>
    <w:rsid w:val="00D60E1F"/>
    <w:rsid w:val="00D6200E"/>
    <w:rsid w:val="00D65DA5"/>
    <w:rsid w:val="00D72B65"/>
    <w:rsid w:val="00D76779"/>
    <w:rsid w:val="00D861B4"/>
    <w:rsid w:val="00D87C4F"/>
    <w:rsid w:val="00D92915"/>
    <w:rsid w:val="00D94AF2"/>
    <w:rsid w:val="00D96653"/>
    <w:rsid w:val="00DA012B"/>
    <w:rsid w:val="00DA0705"/>
    <w:rsid w:val="00DA4A4B"/>
    <w:rsid w:val="00DA6ECC"/>
    <w:rsid w:val="00DA6FB7"/>
    <w:rsid w:val="00DB050B"/>
    <w:rsid w:val="00DB060E"/>
    <w:rsid w:val="00DB18E6"/>
    <w:rsid w:val="00DB343C"/>
    <w:rsid w:val="00DC3C3A"/>
    <w:rsid w:val="00DD06D0"/>
    <w:rsid w:val="00DD1AC6"/>
    <w:rsid w:val="00DD1D08"/>
    <w:rsid w:val="00DD27A6"/>
    <w:rsid w:val="00DD3F92"/>
    <w:rsid w:val="00DD509D"/>
    <w:rsid w:val="00DE328B"/>
    <w:rsid w:val="00DE47A1"/>
    <w:rsid w:val="00DF015C"/>
    <w:rsid w:val="00DF24EE"/>
    <w:rsid w:val="00DF38D3"/>
    <w:rsid w:val="00DF5A03"/>
    <w:rsid w:val="00DF6481"/>
    <w:rsid w:val="00DF681F"/>
    <w:rsid w:val="00DF7D9B"/>
    <w:rsid w:val="00E03C95"/>
    <w:rsid w:val="00E06781"/>
    <w:rsid w:val="00E11944"/>
    <w:rsid w:val="00E12252"/>
    <w:rsid w:val="00E1370A"/>
    <w:rsid w:val="00E1441D"/>
    <w:rsid w:val="00E14FD5"/>
    <w:rsid w:val="00E1571F"/>
    <w:rsid w:val="00E162D3"/>
    <w:rsid w:val="00E16A8E"/>
    <w:rsid w:val="00E20193"/>
    <w:rsid w:val="00E20BFA"/>
    <w:rsid w:val="00E216F1"/>
    <w:rsid w:val="00E2470C"/>
    <w:rsid w:val="00E2546F"/>
    <w:rsid w:val="00E3188F"/>
    <w:rsid w:val="00E31B2E"/>
    <w:rsid w:val="00E33977"/>
    <w:rsid w:val="00E350FB"/>
    <w:rsid w:val="00E370FE"/>
    <w:rsid w:val="00E4268D"/>
    <w:rsid w:val="00E43EEA"/>
    <w:rsid w:val="00E506A6"/>
    <w:rsid w:val="00E51290"/>
    <w:rsid w:val="00E54189"/>
    <w:rsid w:val="00E559DF"/>
    <w:rsid w:val="00E56166"/>
    <w:rsid w:val="00E575DC"/>
    <w:rsid w:val="00E57970"/>
    <w:rsid w:val="00E60681"/>
    <w:rsid w:val="00E63934"/>
    <w:rsid w:val="00E64F2C"/>
    <w:rsid w:val="00E65F0F"/>
    <w:rsid w:val="00E67D6C"/>
    <w:rsid w:val="00E71E04"/>
    <w:rsid w:val="00E72980"/>
    <w:rsid w:val="00E74465"/>
    <w:rsid w:val="00E7477E"/>
    <w:rsid w:val="00E75557"/>
    <w:rsid w:val="00E774AE"/>
    <w:rsid w:val="00E77A0E"/>
    <w:rsid w:val="00E82827"/>
    <w:rsid w:val="00E8338A"/>
    <w:rsid w:val="00E84C24"/>
    <w:rsid w:val="00E86047"/>
    <w:rsid w:val="00E9199F"/>
    <w:rsid w:val="00EA0D20"/>
    <w:rsid w:val="00EA3180"/>
    <w:rsid w:val="00EA605F"/>
    <w:rsid w:val="00EA6E15"/>
    <w:rsid w:val="00EB11F5"/>
    <w:rsid w:val="00EB36D8"/>
    <w:rsid w:val="00EB42D5"/>
    <w:rsid w:val="00EB4EA8"/>
    <w:rsid w:val="00EB5C53"/>
    <w:rsid w:val="00EC2765"/>
    <w:rsid w:val="00EC276F"/>
    <w:rsid w:val="00EC2B48"/>
    <w:rsid w:val="00EC2F53"/>
    <w:rsid w:val="00EC44E0"/>
    <w:rsid w:val="00EC51CE"/>
    <w:rsid w:val="00EC5E8F"/>
    <w:rsid w:val="00ED0038"/>
    <w:rsid w:val="00ED19F9"/>
    <w:rsid w:val="00ED35B9"/>
    <w:rsid w:val="00ED49C8"/>
    <w:rsid w:val="00ED5A10"/>
    <w:rsid w:val="00ED6443"/>
    <w:rsid w:val="00ED793D"/>
    <w:rsid w:val="00EE0EA4"/>
    <w:rsid w:val="00EE4CDF"/>
    <w:rsid w:val="00EE5703"/>
    <w:rsid w:val="00EE5CA0"/>
    <w:rsid w:val="00EE7EC0"/>
    <w:rsid w:val="00EF0C69"/>
    <w:rsid w:val="00EF3F35"/>
    <w:rsid w:val="00EF65A8"/>
    <w:rsid w:val="00EF75AB"/>
    <w:rsid w:val="00F01559"/>
    <w:rsid w:val="00F0208D"/>
    <w:rsid w:val="00F030CF"/>
    <w:rsid w:val="00F114B0"/>
    <w:rsid w:val="00F12CDB"/>
    <w:rsid w:val="00F168B9"/>
    <w:rsid w:val="00F2002A"/>
    <w:rsid w:val="00F20B37"/>
    <w:rsid w:val="00F26CD9"/>
    <w:rsid w:val="00F2728A"/>
    <w:rsid w:val="00F37BB1"/>
    <w:rsid w:val="00F40281"/>
    <w:rsid w:val="00F40345"/>
    <w:rsid w:val="00F41621"/>
    <w:rsid w:val="00F41EE8"/>
    <w:rsid w:val="00F44960"/>
    <w:rsid w:val="00F44D5C"/>
    <w:rsid w:val="00F452AF"/>
    <w:rsid w:val="00F47A20"/>
    <w:rsid w:val="00F52A63"/>
    <w:rsid w:val="00F52B5F"/>
    <w:rsid w:val="00F53B62"/>
    <w:rsid w:val="00F53E4C"/>
    <w:rsid w:val="00F5542E"/>
    <w:rsid w:val="00F56172"/>
    <w:rsid w:val="00F6161A"/>
    <w:rsid w:val="00F6481F"/>
    <w:rsid w:val="00F70F4F"/>
    <w:rsid w:val="00F73C28"/>
    <w:rsid w:val="00F77B4D"/>
    <w:rsid w:val="00F81E15"/>
    <w:rsid w:val="00F8220C"/>
    <w:rsid w:val="00F8451F"/>
    <w:rsid w:val="00F91764"/>
    <w:rsid w:val="00F91DF9"/>
    <w:rsid w:val="00F95C3A"/>
    <w:rsid w:val="00F97EA0"/>
    <w:rsid w:val="00FA0C07"/>
    <w:rsid w:val="00FA0F94"/>
    <w:rsid w:val="00FA41B9"/>
    <w:rsid w:val="00FB42AF"/>
    <w:rsid w:val="00FB5823"/>
    <w:rsid w:val="00FB5C20"/>
    <w:rsid w:val="00FB7D72"/>
    <w:rsid w:val="00FB7D9C"/>
    <w:rsid w:val="00FB7FED"/>
    <w:rsid w:val="00FC76EA"/>
    <w:rsid w:val="00FD073D"/>
    <w:rsid w:val="00FE1F35"/>
    <w:rsid w:val="00FE26F3"/>
    <w:rsid w:val="00FE2CC5"/>
    <w:rsid w:val="00FE5EEF"/>
    <w:rsid w:val="00FE62D1"/>
    <w:rsid w:val="00FE6F67"/>
    <w:rsid w:val="00FF0AAF"/>
    <w:rsid w:val="00FF4D5E"/>
    <w:rsid w:val="00FF55E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hapeDefaults>
    <o:shapedefaults v:ext="edit" spidmax="21505"/>
    <o:shapelayout v:ext="edit">
      <o:idmap v:ext="edit" data="1"/>
    </o:shapelayout>
  </w:shapeDefaults>
  <w:decimalSymbol w:val="."/>
  <w:listSeparator w:val=","/>
  <w14:docId w14:val="7CEE8D59"/>
  <w15:chartTrackingRefBased/>
  <w15:docId w15:val="{00D0FDE4-6A68-401B-BD60-A6387AD7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footer" w:uiPriority="99"/>
    <w:lsdException w:name="caption" w:semiHidden="1" w:unhideWhenUsed="1" w:qFormat="1"/>
    <w:lsdException w:name="List 2" w:uiPriority="99"/>
    <w:lsdException w:name="List 3" w:uiPriority="99"/>
    <w:lsdException w:name="Title" w:qFormat="1"/>
    <w:lsdException w:name="Body Text" w:uiPriority="99"/>
    <w:lsdException w:name="Body Text Indent"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5868"/>
    <w:rPr>
      <w:sz w:val="24"/>
    </w:rPr>
  </w:style>
  <w:style w:type="paragraph" w:styleId="Heading1">
    <w:name w:val="heading 1"/>
    <w:aliases w:val="h1"/>
    <w:basedOn w:val="Normal"/>
    <w:next w:val="BodyText"/>
    <w:link w:val="Heading1Char"/>
    <w:qFormat/>
    <w:rsid w:val="002F5868"/>
    <w:pPr>
      <w:keepNext/>
      <w:numPr>
        <w:numId w:val="1"/>
      </w:numPr>
      <w:spacing w:after="240"/>
      <w:outlineLvl w:val="0"/>
    </w:pPr>
    <w:rPr>
      <w:b/>
      <w:caps/>
    </w:rPr>
  </w:style>
  <w:style w:type="paragraph" w:styleId="Heading2">
    <w:name w:val="heading 2"/>
    <w:aliases w:val="h2"/>
    <w:basedOn w:val="Normal"/>
    <w:next w:val="BodyText"/>
    <w:link w:val="Heading2Char"/>
    <w:qFormat/>
    <w:rsid w:val="002F5868"/>
    <w:pPr>
      <w:keepNext/>
      <w:numPr>
        <w:ilvl w:val="1"/>
        <w:numId w:val="1"/>
      </w:numPr>
      <w:tabs>
        <w:tab w:val="left" w:pos="720"/>
      </w:tabs>
      <w:spacing w:before="240" w:after="240"/>
      <w:outlineLvl w:val="1"/>
    </w:pPr>
    <w:rPr>
      <w:b/>
    </w:rPr>
  </w:style>
  <w:style w:type="paragraph" w:styleId="Heading3">
    <w:name w:val="heading 3"/>
    <w:aliases w:val=" Char2 Char,h3"/>
    <w:basedOn w:val="Normal"/>
    <w:next w:val="BodyText"/>
    <w:link w:val="Heading3Char"/>
    <w:qFormat/>
    <w:rsid w:val="002F5868"/>
    <w:pPr>
      <w:keepNext/>
      <w:numPr>
        <w:ilvl w:val="2"/>
        <w:numId w:val="1"/>
      </w:numPr>
      <w:tabs>
        <w:tab w:val="left" w:pos="1008"/>
      </w:tabs>
      <w:spacing w:before="240" w:after="240"/>
      <w:outlineLvl w:val="2"/>
    </w:pPr>
    <w:rPr>
      <w:b/>
      <w:bCs/>
      <w:i/>
    </w:rPr>
  </w:style>
  <w:style w:type="paragraph" w:styleId="Heading4">
    <w:name w:val="heading 4"/>
    <w:aliases w:val="h4,delete"/>
    <w:basedOn w:val="Normal"/>
    <w:next w:val="BodyText"/>
    <w:link w:val="Heading4Char"/>
    <w:qFormat/>
    <w:rsid w:val="002F5868"/>
    <w:pPr>
      <w:keepNext/>
      <w:widowControl w:val="0"/>
      <w:numPr>
        <w:ilvl w:val="3"/>
        <w:numId w:val="1"/>
      </w:numPr>
      <w:tabs>
        <w:tab w:val="left" w:pos="1296"/>
      </w:tabs>
      <w:spacing w:before="240" w:after="240"/>
      <w:outlineLvl w:val="3"/>
    </w:pPr>
    <w:rPr>
      <w:b/>
      <w:bCs/>
      <w:snapToGrid w:val="0"/>
      <w:lang w:val="x-none" w:eastAsia="x-none"/>
    </w:rPr>
  </w:style>
  <w:style w:type="paragraph" w:styleId="Heading5">
    <w:name w:val="heading 5"/>
    <w:aliases w:val="h5"/>
    <w:basedOn w:val="Normal"/>
    <w:next w:val="BodyText"/>
    <w:link w:val="Heading5Char"/>
    <w:qFormat/>
    <w:rsid w:val="002F5868"/>
    <w:pPr>
      <w:keepNext/>
      <w:numPr>
        <w:ilvl w:val="4"/>
        <w:numId w:val="1"/>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2F5868"/>
    <w:pPr>
      <w:keepNext/>
      <w:numPr>
        <w:ilvl w:val="5"/>
        <w:numId w:val="1"/>
      </w:numPr>
      <w:tabs>
        <w:tab w:val="left" w:pos="1584"/>
      </w:tabs>
      <w:spacing w:before="240" w:after="240"/>
      <w:outlineLvl w:val="5"/>
    </w:pPr>
    <w:rPr>
      <w:b/>
      <w:bCs/>
      <w:szCs w:val="22"/>
      <w:lang w:val="x-none" w:eastAsia="x-none"/>
    </w:rPr>
  </w:style>
  <w:style w:type="paragraph" w:styleId="Heading7">
    <w:name w:val="heading 7"/>
    <w:basedOn w:val="Normal"/>
    <w:next w:val="BodyText"/>
    <w:link w:val="Heading7Char"/>
    <w:uiPriority w:val="99"/>
    <w:qFormat/>
    <w:rsid w:val="002F5868"/>
    <w:pPr>
      <w:keepNext/>
      <w:numPr>
        <w:ilvl w:val="6"/>
        <w:numId w:val="1"/>
      </w:numPr>
      <w:tabs>
        <w:tab w:val="left" w:pos="1728"/>
      </w:tabs>
      <w:spacing w:before="240" w:after="240"/>
      <w:outlineLvl w:val="6"/>
    </w:pPr>
    <w:rPr>
      <w:szCs w:val="24"/>
    </w:rPr>
  </w:style>
  <w:style w:type="paragraph" w:styleId="Heading8">
    <w:name w:val="heading 8"/>
    <w:basedOn w:val="Normal"/>
    <w:next w:val="BodyText"/>
    <w:link w:val="Heading8Char"/>
    <w:uiPriority w:val="99"/>
    <w:qFormat/>
    <w:rsid w:val="002F5868"/>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link w:val="Heading9Char"/>
    <w:uiPriority w:val="99"/>
    <w:qFormat/>
    <w:rsid w:val="002F5868"/>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3"/>
    <w:uiPriority w:val="99"/>
    <w:rsid w:val="002F5868"/>
    <w:pPr>
      <w:spacing w:after="240"/>
    </w:pPr>
    <w:rPr>
      <w:iCs/>
    </w:rPr>
  </w:style>
  <w:style w:type="character" w:customStyle="1" w:styleId="BodyTextChar3">
    <w:name w:val="Body Text Char3"/>
    <w:aliases w:val=" Char Char Char Char, Char1 Char1,Body Text Char Char Char, Char Char Char Char Char Char,Body Text Char2 Char Char Char1,Body Text Char2 Char Char Char Char Char Char Char Char Char Char Char Char1,Body Text Char2 Char Char2"/>
    <w:link w:val="BodyText"/>
    <w:rsid w:val="002F5868"/>
    <w:rPr>
      <w:iCs/>
      <w:sz w:val="24"/>
      <w:lang w:val="en-US" w:eastAsia="en-US" w:bidi="ar-SA"/>
    </w:rPr>
  </w:style>
  <w:style w:type="character" w:customStyle="1" w:styleId="Heading3Char">
    <w:name w:val="Heading 3 Char"/>
    <w:aliases w:val=" Char2 Char Char,h3 Char"/>
    <w:link w:val="Heading3"/>
    <w:rsid w:val="002F5868"/>
    <w:rPr>
      <w:b/>
      <w:bCs/>
      <w:i/>
      <w:sz w:val="24"/>
    </w:rPr>
  </w:style>
  <w:style w:type="paragraph" w:customStyle="1" w:styleId="Instructions">
    <w:name w:val="Instructions"/>
    <w:basedOn w:val="BodyText"/>
    <w:link w:val="InstructionsChar"/>
    <w:rsid w:val="002F5868"/>
    <w:rPr>
      <w:b/>
      <w:i/>
      <w:szCs w:val="24"/>
      <w:lang w:val="x-none" w:eastAsia="x-none"/>
    </w:rPr>
  </w:style>
  <w:style w:type="paragraph" w:styleId="List">
    <w:name w:val="List"/>
    <w:aliases w:val=" Char2 Char Char Char Char,Char1,Char2 Char Char Char Char"/>
    <w:basedOn w:val="Normal"/>
    <w:link w:val="ListChar"/>
    <w:rsid w:val="002F5868"/>
    <w:pPr>
      <w:spacing w:after="240"/>
      <w:ind w:left="1440" w:hanging="720"/>
    </w:pPr>
  </w:style>
  <w:style w:type="character" w:customStyle="1" w:styleId="ListChar">
    <w:name w:val="List Char"/>
    <w:aliases w:val=" Char2 Char Char Char Char Char1,Char1 Char,Char2 Char Char Char Char Char1"/>
    <w:link w:val="List"/>
    <w:rsid w:val="002F5868"/>
    <w:rPr>
      <w:sz w:val="24"/>
      <w:lang w:val="en-US" w:eastAsia="en-US" w:bidi="ar-SA"/>
    </w:rPr>
  </w:style>
  <w:style w:type="paragraph" w:styleId="BodyTextIndent">
    <w:name w:val="Body Text Indent"/>
    <w:aliases w:val=" Char"/>
    <w:basedOn w:val="Normal"/>
    <w:link w:val="BodyTextIndentChar1"/>
    <w:uiPriority w:val="99"/>
    <w:rsid w:val="002F5868"/>
    <w:pPr>
      <w:spacing w:after="240"/>
      <w:ind w:left="720"/>
    </w:pPr>
    <w:rPr>
      <w:iCs/>
      <w:lang w:val="x-none" w:eastAsia="x-none"/>
    </w:rPr>
  </w:style>
  <w:style w:type="paragraph" w:customStyle="1" w:styleId="Bullet">
    <w:name w:val="Bullet"/>
    <w:basedOn w:val="Normal"/>
    <w:link w:val="BulletChar"/>
    <w:uiPriority w:val="99"/>
    <w:rsid w:val="002F5868"/>
    <w:pPr>
      <w:tabs>
        <w:tab w:val="num" w:pos="1440"/>
      </w:tabs>
      <w:spacing w:after="180"/>
      <w:ind w:left="1440" w:hanging="360"/>
    </w:pPr>
    <w:rPr>
      <w:lang w:val="x-none" w:eastAsia="x-none"/>
    </w:rPr>
  </w:style>
  <w:style w:type="paragraph" w:customStyle="1" w:styleId="BulletIndent">
    <w:name w:val="Bullet Indent"/>
    <w:basedOn w:val="Normal"/>
    <w:link w:val="BulletIndentChar"/>
    <w:uiPriority w:val="99"/>
    <w:rsid w:val="002F5868"/>
    <w:pPr>
      <w:spacing w:after="180"/>
      <w:ind w:left="2340" w:hanging="547"/>
    </w:pPr>
  </w:style>
  <w:style w:type="paragraph" w:styleId="Footer">
    <w:name w:val="footer"/>
    <w:basedOn w:val="Normal"/>
    <w:link w:val="FooterChar"/>
    <w:uiPriority w:val="99"/>
    <w:rsid w:val="002F5868"/>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uiPriority w:val="99"/>
    <w:semiHidden/>
    <w:rsid w:val="002F5868"/>
    <w:rPr>
      <w:sz w:val="18"/>
    </w:rPr>
  </w:style>
  <w:style w:type="paragraph" w:styleId="Header">
    <w:name w:val="header"/>
    <w:basedOn w:val="Normal"/>
    <w:link w:val="HeaderChar"/>
    <w:rsid w:val="002F5868"/>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2F5868"/>
    <w:rPr>
      <w:color w:val="0000FF"/>
      <w:u w:val="single"/>
    </w:rPr>
  </w:style>
  <w:style w:type="paragraph" w:styleId="TOC1">
    <w:name w:val="toc 1"/>
    <w:basedOn w:val="Normal"/>
    <w:next w:val="Normal"/>
    <w:autoRedefine/>
    <w:uiPriority w:val="39"/>
    <w:rsid w:val="00424F6A"/>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2F5868"/>
    <w:pPr>
      <w:tabs>
        <w:tab w:val="left" w:pos="1260"/>
        <w:tab w:val="right" w:leader="dot" w:pos="9360"/>
      </w:tabs>
      <w:ind w:left="1260" w:right="720" w:hanging="720"/>
    </w:pPr>
    <w:rPr>
      <w:sz w:val="20"/>
    </w:rPr>
  </w:style>
  <w:style w:type="paragraph" w:styleId="TOC3">
    <w:name w:val="toc 3"/>
    <w:basedOn w:val="Normal"/>
    <w:next w:val="Normal"/>
    <w:autoRedefine/>
    <w:uiPriority w:val="39"/>
    <w:rsid w:val="002F5868"/>
    <w:pPr>
      <w:tabs>
        <w:tab w:val="left" w:pos="1980"/>
        <w:tab w:val="right" w:leader="dot" w:pos="9360"/>
      </w:tabs>
      <w:ind w:left="1980" w:right="720" w:hanging="900"/>
    </w:pPr>
    <w:rPr>
      <w:i/>
      <w:iCs/>
      <w:sz w:val="20"/>
    </w:rPr>
  </w:style>
  <w:style w:type="character" w:styleId="PageNumber">
    <w:name w:val="page number"/>
    <w:basedOn w:val="DefaultParagraphFont"/>
    <w:rsid w:val="002F5868"/>
  </w:style>
  <w:style w:type="table" w:styleId="TableGrid">
    <w:name w:val="Table Grid"/>
    <w:basedOn w:val="TableNormal"/>
    <w:rsid w:val="002F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53522E"/>
    <w:pPr>
      <w:tabs>
        <w:tab w:val="left" w:pos="2700"/>
        <w:tab w:val="right" w:leader="dot" w:pos="9360"/>
      </w:tabs>
      <w:ind w:left="2700" w:right="720" w:hanging="1080"/>
    </w:pPr>
    <w:rPr>
      <w:sz w:val="18"/>
      <w:szCs w:val="18"/>
    </w:rPr>
  </w:style>
  <w:style w:type="paragraph" w:styleId="TOC5">
    <w:name w:val="toc 5"/>
    <w:basedOn w:val="Normal"/>
    <w:next w:val="Normal"/>
    <w:autoRedefine/>
    <w:uiPriority w:val="99"/>
    <w:rsid w:val="002F5868"/>
    <w:pPr>
      <w:tabs>
        <w:tab w:val="left" w:pos="3600"/>
        <w:tab w:val="right" w:leader="dot" w:pos="9360"/>
      </w:tabs>
      <w:ind w:left="3600" w:right="720" w:hanging="1260"/>
    </w:pPr>
    <w:rPr>
      <w:i/>
      <w:noProof/>
      <w:sz w:val="18"/>
      <w:szCs w:val="18"/>
    </w:rPr>
  </w:style>
  <w:style w:type="paragraph" w:styleId="List2">
    <w:name w:val="List 2"/>
    <w:aliases w:val=" Char2,Char2 Char Char,Char2"/>
    <w:basedOn w:val="Normal"/>
    <w:link w:val="List2Char"/>
    <w:uiPriority w:val="99"/>
    <w:rsid w:val="002F5868"/>
    <w:pPr>
      <w:spacing w:after="240"/>
      <w:ind w:left="2160" w:hanging="720"/>
    </w:pPr>
    <w:rPr>
      <w:lang w:val="x-none" w:eastAsia="x-none"/>
    </w:rPr>
  </w:style>
  <w:style w:type="paragraph" w:styleId="List3">
    <w:name w:val="List 3"/>
    <w:basedOn w:val="Normal"/>
    <w:uiPriority w:val="99"/>
    <w:rsid w:val="002F5868"/>
    <w:pPr>
      <w:spacing w:after="240"/>
      <w:ind w:left="2880" w:hanging="720"/>
    </w:pPr>
  </w:style>
  <w:style w:type="paragraph" w:styleId="TOC6">
    <w:name w:val="toc 6"/>
    <w:basedOn w:val="Normal"/>
    <w:next w:val="Normal"/>
    <w:autoRedefine/>
    <w:uiPriority w:val="99"/>
    <w:rsid w:val="002F5868"/>
    <w:pPr>
      <w:tabs>
        <w:tab w:val="left" w:pos="4500"/>
        <w:tab w:val="right" w:leader="dot" w:pos="9360"/>
      </w:tabs>
      <w:ind w:left="4500" w:right="720" w:hanging="1440"/>
    </w:pPr>
    <w:rPr>
      <w:sz w:val="18"/>
      <w:szCs w:val="18"/>
    </w:rPr>
  </w:style>
  <w:style w:type="paragraph" w:styleId="TOC7">
    <w:name w:val="toc 7"/>
    <w:basedOn w:val="Normal"/>
    <w:next w:val="Normal"/>
    <w:autoRedefine/>
    <w:uiPriority w:val="99"/>
    <w:rsid w:val="002F5868"/>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99"/>
    <w:rsid w:val="002F5868"/>
    <w:pPr>
      <w:ind w:left="1680"/>
    </w:pPr>
    <w:rPr>
      <w:sz w:val="18"/>
      <w:szCs w:val="18"/>
    </w:rPr>
  </w:style>
  <w:style w:type="paragraph" w:styleId="TOC9">
    <w:name w:val="toc 9"/>
    <w:basedOn w:val="Normal"/>
    <w:next w:val="Normal"/>
    <w:autoRedefine/>
    <w:uiPriority w:val="99"/>
    <w:rsid w:val="002F5868"/>
    <w:pPr>
      <w:ind w:left="1920"/>
    </w:pPr>
    <w:rPr>
      <w:sz w:val="18"/>
      <w:szCs w:val="18"/>
    </w:rPr>
  </w:style>
  <w:style w:type="paragraph" w:customStyle="1" w:styleId="H5">
    <w:name w:val="H5"/>
    <w:basedOn w:val="Heading5"/>
    <w:next w:val="BodyText"/>
    <w:link w:val="H5Char"/>
    <w:uiPriority w:val="99"/>
    <w:rsid w:val="002F5868"/>
    <w:pPr>
      <w:numPr>
        <w:ilvl w:val="0"/>
        <w:numId w:val="0"/>
      </w:numPr>
      <w:tabs>
        <w:tab w:val="clear" w:pos="1440"/>
        <w:tab w:val="left" w:pos="1620"/>
      </w:tabs>
      <w:ind w:left="1620" w:hanging="1620"/>
    </w:pPr>
  </w:style>
  <w:style w:type="paragraph" w:customStyle="1" w:styleId="H2">
    <w:name w:val="H2"/>
    <w:basedOn w:val="Heading2"/>
    <w:next w:val="BodyText"/>
    <w:link w:val="H2Char"/>
    <w:uiPriority w:val="99"/>
    <w:rsid w:val="002F5868"/>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2F5868"/>
    <w:pPr>
      <w:numPr>
        <w:ilvl w:val="0"/>
        <w:numId w:val="0"/>
      </w:numPr>
      <w:tabs>
        <w:tab w:val="clear" w:pos="1008"/>
        <w:tab w:val="left" w:pos="1080"/>
      </w:tabs>
      <w:ind w:left="1080" w:hanging="1080"/>
    </w:pPr>
    <w:rPr>
      <w:b w:val="0"/>
      <w:bCs w:val="0"/>
      <w:i w:val="0"/>
    </w:rPr>
  </w:style>
  <w:style w:type="character" w:customStyle="1" w:styleId="H3Char1">
    <w:name w:val="H3 Char1"/>
    <w:link w:val="H3"/>
    <w:rsid w:val="002F5868"/>
    <w:rPr>
      <w:b w:val="0"/>
      <w:bCs w:val="0"/>
      <w:i w:val="0"/>
      <w:sz w:val="24"/>
      <w:lang w:val="en-US" w:eastAsia="en-US" w:bidi="ar-SA"/>
    </w:rPr>
  </w:style>
  <w:style w:type="paragraph" w:customStyle="1" w:styleId="H4">
    <w:name w:val="H4"/>
    <w:basedOn w:val="Heading4"/>
    <w:next w:val="BodyText"/>
    <w:link w:val="H4Char"/>
    <w:rsid w:val="002F5868"/>
    <w:pPr>
      <w:numPr>
        <w:ilvl w:val="0"/>
        <w:numId w:val="0"/>
      </w:numPr>
      <w:tabs>
        <w:tab w:val="clear" w:pos="1296"/>
        <w:tab w:val="left" w:pos="1260"/>
      </w:tabs>
      <w:ind w:left="1260" w:hanging="1260"/>
    </w:pPr>
    <w:rPr>
      <w:lang w:val="en-US" w:eastAsia="en-US"/>
    </w:rPr>
  </w:style>
  <w:style w:type="paragraph" w:customStyle="1" w:styleId="H6">
    <w:name w:val="H6"/>
    <w:basedOn w:val="Heading6"/>
    <w:next w:val="BodyText"/>
    <w:link w:val="H6Char"/>
    <w:uiPriority w:val="99"/>
    <w:rsid w:val="002F5868"/>
    <w:pPr>
      <w:numPr>
        <w:ilvl w:val="0"/>
        <w:numId w:val="0"/>
      </w:numPr>
      <w:tabs>
        <w:tab w:val="clear" w:pos="1584"/>
        <w:tab w:val="left" w:pos="1800"/>
      </w:tabs>
      <w:ind w:left="1800" w:hanging="1800"/>
    </w:pPr>
  </w:style>
  <w:style w:type="paragraph" w:customStyle="1" w:styleId="H7">
    <w:name w:val="H7"/>
    <w:basedOn w:val="Heading7"/>
    <w:next w:val="BodyText"/>
    <w:uiPriority w:val="99"/>
    <w:rsid w:val="002F5868"/>
    <w:pPr>
      <w:numPr>
        <w:ilvl w:val="0"/>
        <w:numId w:val="0"/>
      </w:numPr>
      <w:tabs>
        <w:tab w:val="clear" w:pos="1728"/>
        <w:tab w:val="left" w:pos="1980"/>
      </w:tabs>
      <w:ind w:left="1980" w:hanging="1980"/>
    </w:pPr>
    <w:rPr>
      <w:b/>
      <w:i/>
    </w:rPr>
  </w:style>
  <w:style w:type="paragraph" w:customStyle="1" w:styleId="H8">
    <w:name w:val="H8"/>
    <w:basedOn w:val="Heading8"/>
    <w:next w:val="BodyText"/>
    <w:uiPriority w:val="99"/>
    <w:rsid w:val="002F5868"/>
    <w:pPr>
      <w:numPr>
        <w:ilvl w:val="0"/>
        <w:numId w:val="0"/>
      </w:numPr>
      <w:tabs>
        <w:tab w:val="clear" w:pos="1872"/>
        <w:tab w:val="left" w:pos="2160"/>
      </w:tabs>
      <w:ind w:left="2160" w:hanging="2160"/>
    </w:pPr>
    <w:rPr>
      <w:b/>
      <w:i w:val="0"/>
    </w:rPr>
  </w:style>
  <w:style w:type="paragraph" w:customStyle="1" w:styleId="H9">
    <w:name w:val="H9"/>
    <w:basedOn w:val="Heading9"/>
    <w:next w:val="BodyText"/>
    <w:uiPriority w:val="99"/>
    <w:rsid w:val="002F5868"/>
    <w:pPr>
      <w:numPr>
        <w:ilvl w:val="0"/>
        <w:numId w:val="0"/>
      </w:numPr>
      <w:tabs>
        <w:tab w:val="clear" w:pos="2160"/>
        <w:tab w:val="left" w:pos="2340"/>
      </w:tabs>
      <w:ind w:left="2340" w:hanging="2340"/>
    </w:pPr>
    <w:rPr>
      <w:i/>
    </w:rPr>
  </w:style>
  <w:style w:type="table" w:customStyle="1" w:styleId="BoxedLanguage">
    <w:name w:val="Boxed Language"/>
    <w:basedOn w:val="TableNormal"/>
    <w:rsid w:val="002F586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uiPriority w:val="99"/>
    <w:rsid w:val="002F5868"/>
  </w:style>
  <w:style w:type="paragraph" w:customStyle="1" w:styleId="ListIntroduction">
    <w:name w:val="List Introduction"/>
    <w:basedOn w:val="BodyText"/>
    <w:link w:val="ListIntroductionChar"/>
    <w:rsid w:val="002F5868"/>
    <w:pPr>
      <w:keepNext/>
    </w:pPr>
  </w:style>
  <w:style w:type="character" w:customStyle="1" w:styleId="ListIntroductionChar">
    <w:name w:val="List Introduction Char"/>
    <w:link w:val="ListIntroduction"/>
    <w:rsid w:val="002F5868"/>
    <w:rPr>
      <w:iCs/>
      <w:sz w:val="24"/>
      <w:lang w:val="en-US" w:eastAsia="en-US" w:bidi="ar-SA"/>
    </w:rPr>
  </w:style>
  <w:style w:type="paragraph" w:customStyle="1" w:styleId="VariableDefinition">
    <w:name w:val="Variable Definition"/>
    <w:basedOn w:val="BodyTextIndent"/>
    <w:link w:val="VariableDefinitionChar"/>
    <w:uiPriority w:val="99"/>
    <w:rsid w:val="002F5868"/>
    <w:pPr>
      <w:tabs>
        <w:tab w:val="left" w:pos="2160"/>
      </w:tabs>
      <w:ind w:left="2160" w:hanging="1440"/>
      <w:contextualSpacing/>
    </w:pPr>
  </w:style>
  <w:style w:type="paragraph" w:customStyle="1" w:styleId="FormulaBold">
    <w:name w:val="Formula Bold"/>
    <w:basedOn w:val="Normal"/>
    <w:link w:val="FormulaBoldChar"/>
    <w:autoRedefine/>
    <w:rsid w:val="006A6713"/>
    <w:pPr>
      <w:tabs>
        <w:tab w:val="left" w:pos="2340"/>
        <w:tab w:val="left" w:pos="3420"/>
      </w:tabs>
      <w:spacing w:after="240"/>
      <w:ind w:left="1440"/>
    </w:pPr>
    <w:rPr>
      <w:b/>
      <w:lang w:val="x-none" w:eastAsia="x-none"/>
    </w:rPr>
  </w:style>
  <w:style w:type="paragraph" w:customStyle="1" w:styleId="Formula">
    <w:name w:val="Formula"/>
    <w:basedOn w:val="Normal"/>
    <w:autoRedefine/>
    <w:uiPriority w:val="99"/>
    <w:rsid w:val="002F5868"/>
    <w:pPr>
      <w:tabs>
        <w:tab w:val="left" w:pos="2340"/>
        <w:tab w:val="left" w:pos="3420"/>
      </w:tabs>
      <w:spacing w:after="240"/>
      <w:ind w:left="3420" w:hanging="2700"/>
    </w:pPr>
    <w:rPr>
      <w:bCs/>
      <w:szCs w:val="24"/>
    </w:rPr>
  </w:style>
  <w:style w:type="paragraph" w:customStyle="1" w:styleId="ListSub">
    <w:name w:val="List Sub"/>
    <w:basedOn w:val="List"/>
    <w:link w:val="ListSubChar"/>
    <w:uiPriority w:val="99"/>
    <w:rsid w:val="002F5868"/>
    <w:pPr>
      <w:ind w:firstLine="0"/>
    </w:pPr>
  </w:style>
  <w:style w:type="table" w:customStyle="1" w:styleId="VariableTable">
    <w:name w:val="Variable Table"/>
    <w:basedOn w:val="TableNormal"/>
    <w:rsid w:val="002F5868"/>
    <w:tblPr/>
  </w:style>
  <w:style w:type="table" w:customStyle="1" w:styleId="FormulaVariableTable">
    <w:name w:val="Formula Variable Table"/>
    <w:basedOn w:val="TableNormal"/>
    <w:rsid w:val="002F586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uiPriority w:val="99"/>
    <w:rsid w:val="002F5868"/>
    <w:pPr>
      <w:keepNext/>
      <w:spacing w:before="240"/>
    </w:pPr>
    <w:rPr>
      <w:b/>
    </w:rPr>
  </w:style>
  <w:style w:type="paragraph" w:customStyle="1" w:styleId="TableBody">
    <w:name w:val="Table Body"/>
    <w:basedOn w:val="BodyText"/>
    <w:uiPriority w:val="99"/>
    <w:rsid w:val="002F5868"/>
    <w:pPr>
      <w:spacing w:after="60"/>
    </w:pPr>
    <w:rPr>
      <w:sz w:val="20"/>
    </w:rPr>
  </w:style>
  <w:style w:type="paragraph" w:customStyle="1" w:styleId="TableHead">
    <w:name w:val="Table Head"/>
    <w:basedOn w:val="BodyText"/>
    <w:uiPriority w:val="99"/>
    <w:rsid w:val="002F5868"/>
    <w:pPr>
      <w:spacing w:after="120"/>
    </w:pPr>
    <w:rPr>
      <w:b/>
      <w:sz w:val="20"/>
    </w:rPr>
  </w:style>
  <w:style w:type="paragraph" w:customStyle="1" w:styleId="TableBullet">
    <w:name w:val="Table Bullet"/>
    <w:basedOn w:val="TableBody"/>
    <w:uiPriority w:val="99"/>
    <w:rsid w:val="002F5868"/>
    <w:pPr>
      <w:tabs>
        <w:tab w:val="num" w:pos="360"/>
      </w:tabs>
      <w:ind w:left="360" w:hanging="360"/>
    </w:pPr>
  </w:style>
  <w:style w:type="paragraph" w:styleId="BodyText2">
    <w:name w:val="Body Text 2"/>
    <w:basedOn w:val="Normal"/>
    <w:link w:val="BodyText2Char"/>
    <w:rsid w:val="002F5868"/>
    <w:pPr>
      <w:spacing w:after="120" w:line="480" w:lineRule="auto"/>
      <w:ind w:left="1440" w:hanging="720"/>
    </w:pPr>
  </w:style>
  <w:style w:type="paragraph" w:customStyle="1" w:styleId="BodyTextNumbered">
    <w:name w:val="Body Text Numbered"/>
    <w:basedOn w:val="BodyText"/>
    <w:link w:val="BodyTextNumberedChar"/>
    <w:rsid w:val="002F5868"/>
    <w:pPr>
      <w:ind w:left="720" w:hanging="720"/>
    </w:pPr>
    <w:rPr>
      <w:iCs w:val="0"/>
    </w:rPr>
  </w:style>
  <w:style w:type="character" w:customStyle="1" w:styleId="BodyTextNumberedChar">
    <w:name w:val="Body Text Numbered Char"/>
    <w:link w:val="BodyTextNumbered"/>
    <w:rsid w:val="002F5868"/>
    <w:rPr>
      <w:iCs w:val="0"/>
      <w:sz w:val="24"/>
      <w:lang w:val="en-US" w:eastAsia="en-US" w:bidi="ar-SA"/>
    </w:rPr>
  </w:style>
  <w:style w:type="paragraph" w:customStyle="1" w:styleId="H3Char">
    <w:name w:val="H3 Char"/>
    <w:basedOn w:val="Heading3"/>
    <w:next w:val="BodyText"/>
    <w:link w:val="H3CharChar"/>
    <w:rsid w:val="002F5868"/>
    <w:pPr>
      <w:numPr>
        <w:ilvl w:val="0"/>
        <w:numId w:val="0"/>
      </w:numPr>
      <w:tabs>
        <w:tab w:val="clear" w:pos="1008"/>
        <w:tab w:val="left" w:pos="1080"/>
      </w:tabs>
      <w:ind w:left="1080" w:hanging="1080"/>
    </w:pPr>
    <w:rPr>
      <w:b w:val="0"/>
      <w:bCs w:val="0"/>
      <w:i w:val="0"/>
    </w:rPr>
  </w:style>
  <w:style w:type="character" w:customStyle="1" w:styleId="H3CharChar">
    <w:name w:val="H3 Char Char"/>
    <w:link w:val="H3Char"/>
    <w:rsid w:val="002F5868"/>
    <w:rPr>
      <w:b w:val="0"/>
      <w:bCs w:val="0"/>
      <w:i w:val="0"/>
      <w:sz w:val="24"/>
      <w:lang w:val="en-US" w:eastAsia="en-US" w:bidi="ar-SA"/>
    </w:rPr>
  </w:style>
  <w:style w:type="character" w:customStyle="1" w:styleId="Char1CharChar">
    <w:name w:val="Char1 Char Char"/>
    <w:rsid w:val="002F5868"/>
    <w:rPr>
      <w:sz w:val="24"/>
      <w:lang w:val="en-US" w:eastAsia="en-US" w:bidi="ar-SA"/>
    </w:rPr>
  </w:style>
  <w:style w:type="paragraph" w:styleId="Index1">
    <w:name w:val="index 1"/>
    <w:basedOn w:val="Normal"/>
    <w:next w:val="Normal"/>
    <w:autoRedefine/>
    <w:semiHidden/>
    <w:rsid w:val="002F5868"/>
    <w:pPr>
      <w:ind w:left="240" w:hanging="240"/>
    </w:pPr>
    <w:rPr>
      <w:sz w:val="18"/>
      <w:szCs w:val="18"/>
    </w:rPr>
  </w:style>
  <w:style w:type="paragraph" w:styleId="Index2">
    <w:name w:val="index 2"/>
    <w:basedOn w:val="Normal"/>
    <w:next w:val="Normal"/>
    <w:autoRedefine/>
    <w:semiHidden/>
    <w:rsid w:val="002F5868"/>
    <w:pPr>
      <w:ind w:left="480" w:hanging="240"/>
    </w:pPr>
    <w:rPr>
      <w:sz w:val="18"/>
      <w:szCs w:val="18"/>
    </w:rPr>
  </w:style>
  <w:style w:type="paragraph" w:styleId="Index3">
    <w:name w:val="index 3"/>
    <w:basedOn w:val="Normal"/>
    <w:next w:val="Normal"/>
    <w:autoRedefine/>
    <w:semiHidden/>
    <w:rsid w:val="002F5868"/>
    <w:pPr>
      <w:ind w:left="720" w:hanging="240"/>
    </w:pPr>
    <w:rPr>
      <w:sz w:val="18"/>
      <w:szCs w:val="18"/>
    </w:rPr>
  </w:style>
  <w:style w:type="paragraph" w:styleId="Index4">
    <w:name w:val="index 4"/>
    <w:basedOn w:val="Normal"/>
    <w:next w:val="Normal"/>
    <w:autoRedefine/>
    <w:semiHidden/>
    <w:rsid w:val="002F5868"/>
    <w:pPr>
      <w:ind w:left="960" w:hanging="240"/>
    </w:pPr>
    <w:rPr>
      <w:sz w:val="18"/>
      <w:szCs w:val="18"/>
    </w:rPr>
  </w:style>
  <w:style w:type="paragraph" w:styleId="Index5">
    <w:name w:val="index 5"/>
    <w:basedOn w:val="Normal"/>
    <w:next w:val="Normal"/>
    <w:autoRedefine/>
    <w:semiHidden/>
    <w:rsid w:val="002F5868"/>
    <w:pPr>
      <w:ind w:left="1200" w:hanging="240"/>
    </w:pPr>
    <w:rPr>
      <w:sz w:val="18"/>
      <w:szCs w:val="18"/>
    </w:rPr>
  </w:style>
  <w:style w:type="paragraph" w:styleId="Index6">
    <w:name w:val="index 6"/>
    <w:basedOn w:val="Normal"/>
    <w:next w:val="Normal"/>
    <w:autoRedefine/>
    <w:semiHidden/>
    <w:rsid w:val="002F5868"/>
    <w:pPr>
      <w:ind w:left="1440" w:hanging="240"/>
    </w:pPr>
    <w:rPr>
      <w:sz w:val="18"/>
      <w:szCs w:val="18"/>
    </w:rPr>
  </w:style>
  <w:style w:type="paragraph" w:styleId="Index7">
    <w:name w:val="index 7"/>
    <w:basedOn w:val="Normal"/>
    <w:next w:val="Normal"/>
    <w:autoRedefine/>
    <w:semiHidden/>
    <w:rsid w:val="002F5868"/>
    <w:pPr>
      <w:ind w:left="1680" w:hanging="240"/>
    </w:pPr>
    <w:rPr>
      <w:sz w:val="18"/>
      <w:szCs w:val="18"/>
    </w:rPr>
  </w:style>
  <w:style w:type="paragraph" w:styleId="Index8">
    <w:name w:val="index 8"/>
    <w:basedOn w:val="Normal"/>
    <w:next w:val="Normal"/>
    <w:autoRedefine/>
    <w:semiHidden/>
    <w:rsid w:val="002F5868"/>
    <w:pPr>
      <w:ind w:left="1920" w:hanging="240"/>
    </w:pPr>
    <w:rPr>
      <w:sz w:val="18"/>
      <w:szCs w:val="18"/>
    </w:rPr>
  </w:style>
  <w:style w:type="paragraph" w:styleId="Index9">
    <w:name w:val="index 9"/>
    <w:basedOn w:val="Normal"/>
    <w:next w:val="Normal"/>
    <w:autoRedefine/>
    <w:semiHidden/>
    <w:rsid w:val="002F5868"/>
    <w:pPr>
      <w:ind w:left="2160" w:hanging="240"/>
    </w:pPr>
    <w:rPr>
      <w:sz w:val="18"/>
      <w:szCs w:val="18"/>
    </w:rPr>
  </w:style>
  <w:style w:type="paragraph" w:styleId="IndexHeading">
    <w:name w:val="index heading"/>
    <w:basedOn w:val="Normal"/>
    <w:next w:val="Index1"/>
    <w:semiHidden/>
    <w:rsid w:val="002F5868"/>
    <w:pPr>
      <w:spacing w:before="240" w:after="120"/>
      <w:jc w:val="center"/>
    </w:pPr>
    <w:rPr>
      <w:b/>
      <w:bCs/>
      <w:sz w:val="26"/>
      <w:szCs w:val="26"/>
    </w:rPr>
  </w:style>
  <w:style w:type="paragraph" w:styleId="BalloonText">
    <w:name w:val="Balloon Text"/>
    <w:basedOn w:val="Normal"/>
    <w:link w:val="BalloonTextChar"/>
    <w:uiPriority w:val="99"/>
    <w:semiHidden/>
    <w:rsid w:val="002F5868"/>
    <w:rPr>
      <w:rFonts w:ascii="Tahoma" w:hAnsi="Tahoma" w:cs="Tahoma"/>
      <w:sz w:val="16"/>
      <w:szCs w:val="16"/>
    </w:rPr>
  </w:style>
  <w:style w:type="character" w:customStyle="1" w:styleId="FormulaChar">
    <w:name w:val="Formula Char"/>
    <w:rsid w:val="002F5868"/>
    <w:rPr>
      <w:b/>
    </w:rPr>
  </w:style>
  <w:style w:type="character" w:customStyle="1" w:styleId="BodyTextChar1">
    <w:name w:val="Body Text Char1"/>
    <w:rsid w:val="002F5868"/>
    <w:rPr>
      <w:iCs/>
      <w:sz w:val="24"/>
      <w:lang w:val="en-US" w:eastAsia="en-US" w:bidi="ar-SA"/>
    </w:rPr>
  </w:style>
  <w:style w:type="paragraph" w:styleId="CommentText">
    <w:name w:val="annotation text"/>
    <w:basedOn w:val="Normal"/>
    <w:link w:val="CommentTextChar"/>
    <w:uiPriority w:val="99"/>
    <w:rsid w:val="002F5868"/>
    <w:rPr>
      <w:sz w:val="20"/>
    </w:rPr>
  </w:style>
  <w:style w:type="character" w:customStyle="1" w:styleId="BodyTextChar">
    <w:name w:val="Body Text Char"/>
    <w:aliases w:val="Char Char Char Char Char Char Char,Char Char Char Char Char Char Charh2 Char,... Char, Char Char Char Char Char Char Char1, Char Char Char Char Char Char Char Char,Body Text Char1 Char Char Char,Char1 Char Char Char"/>
    <w:uiPriority w:val="99"/>
    <w:rsid w:val="002F5868"/>
    <w:rPr>
      <w:iCs/>
      <w:sz w:val="24"/>
      <w:lang w:val="en-US" w:eastAsia="en-US" w:bidi="ar-SA"/>
    </w:rPr>
  </w:style>
  <w:style w:type="character" w:customStyle="1" w:styleId="ListSubChar">
    <w:name w:val="List Sub Char"/>
    <w:link w:val="ListSub"/>
    <w:rsid w:val="002F5868"/>
    <w:rPr>
      <w:sz w:val="24"/>
      <w:lang w:val="en-US" w:eastAsia="en-US" w:bidi="ar-SA"/>
    </w:r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2F5868"/>
    <w:rPr>
      <w:iCs/>
      <w:sz w:val="24"/>
      <w:lang w:val="en-US" w:eastAsia="en-US" w:bidi="ar-SA"/>
    </w:rPr>
  </w:style>
  <w:style w:type="character" w:customStyle="1" w:styleId="BodyTextNumberedCharChar">
    <w:name w:val="Body Text Numbered Char Char"/>
    <w:rsid w:val="002F5868"/>
    <w:rPr>
      <w:iCs w:val="0"/>
      <w:sz w:val="24"/>
      <w:lang w:val="en-US" w:eastAsia="en-US" w:bidi="ar-SA"/>
    </w:rPr>
  </w:style>
  <w:style w:type="paragraph" w:customStyle="1" w:styleId="NormalArial">
    <w:name w:val="Normal+Arial"/>
    <w:basedOn w:val="Normal"/>
    <w:link w:val="NormalArialChar"/>
    <w:rsid w:val="002F5868"/>
    <w:rPr>
      <w:rFonts w:ascii="Arial" w:hAnsi="Arial"/>
      <w:szCs w:val="24"/>
    </w:rPr>
  </w:style>
  <w:style w:type="character" w:customStyle="1" w:styleId="ListCharChar1">
    <w:name w:val="List Char Char1"/>
    <w:rsid w:val="002F5868"/>
    <w:rPr>
      <w:sz w:val="24"/>
      <w:lang w:val="en-US" w:eastAsia="en-US" w:bidi="ar-SA"/>
    </w:rPr>
  </w:style>
  <w:style w:type="character" w:customStyle="1" w:styleId="NormalArialChar">
    <w:name w:val="Normal+Arial Char"/>
    <w:link w:val="NormalArial"/>
    <w:rsid w:val="002F5868"/>
    <w:rPr>
      <w:rFonts w:ascii="Arial" w:hAnsi="Arial"/>
      <w:sz w:val="24"/>
      <w:szCs w:val="24"/>
      <w:lang w:val="en-US" w:eastAsia="en-US" w:bidi="ar-SA"/>
    </w:rPr>
  </w:style>
  <w:style w:type="character" w:customStyle="1" w:styleId="BulletIndentChar">
    <w:name w:val="Bullet Indent Char"/>
    <w:link w:val="BulletIndent"/>
    <w:rsid w:val="002F5868"/>
    <w:rPr>
      <w:sz w:val="24"/>
      <w:lang w:val="en-US" w:eastAsia="en-US" w:bidi="ar-SA"/>
    </w:rPr>
  </w:style>
  <w:style w:type="character" w:customStyle="1" w:styleId="CharChar">
    <w:name w:val="Char Char"/>
    <w:rsid w:val="002F5868"/>
    <w:rPr>
      <w:sz w:val="24"/>
      <w:lang w:val="en-US" w:eastAsia="en-US" w:bidi="ar-SA"/>
    </w:rPr>
  </w:style>
  <w:style w:type="paragraph" w:customStyle="1" w:styleId="TXUHeaderForm">
    <w:name w:val="TXUHeaderForm"/>
    <w:basedOn w:val="Normal"/>
    <w:next w:val="Normal"/>
    <w:uiPriority w:val="99"/>
    <w:rsid w:val="002F5868"/>
    <w:pPr>
      <w:tabs>
        <w:tab w:val="right" w:pos="9360"/>
      </w:tabs>
    </w:pPr>
    <w:rPr>
      <w:noProof/>
    </w:rPr>
  </w:style>
  <w:style w:type="paragraph" w:customStyle="1" w:styleId="Char3">
    <w:name w:val="Char3"/>
    <w:basedOn w:val="Normal"/>
    <w:rsid w:val="002F5868"/>
    <w:pPr>
      <w:spacing w:after="160" w:line="240" w:lineRule="exact"/>
    </w:pPr>
    <w:rPr>
      <w:rFonts w:ascii="Verdana" w:hAnsi="Verdana"/>
      <w:sz w:val="16"/>
    </w:rPr>
  </w:style>
  <w:style w:type="character" w:customStyle="1" w:styleId="H4Char">
    <w:name w:val="H4 Char"/>
    <w:link w:val="H4"/>
    <w:rsid w:val="002F5868"/>
    <w:rPr>
      <w:b/>
      <w:bCs/>
      <w:snapToGrid w:val="0"/>
      <w:sz w:val="24"/>
      <w:lang w:val="en-US" w:eastAsia="en-US" w:bidi="ar-SA"/>
    </w:rPr>
  </w:style>
  <w:style w:type="character" w:customStyle="1" w:styleId="H5Char">
    <w:name w:val="H5 Char"/>
    <w:link w:val="H5"/>
    <w:rsid w:val="002F5868"/>
    <w:rPr>
      <w:b/>
      <w:bCs/>
      <w:i/>
      <w:iCs/>
      <w:sz w:val="24"/>
      <w:szCs w:val="26"/>
      <w:lang w:val="en-US" w:eastAsia="en-US" w:bidi="ar-SA"/>
    </w:rPr>
  </w:style>
  <w:style w:type="paragraph" w:styleId="DocumentMap">
    <w:name w:val="Document Map"/>
    <w:basedOn w:val="Normal"/>
    <w:link w:val="DocumentMapChar"/>
    <w:rsid w:val="002F5868"/>
    <w:pPr>
      <w:shd w:val="clear" w:color="auto" w:fill="000080"/>
    </w:pPr>
    <w:rPr>
      <w:rFonts w:ascii="Tahoma" w:hAnsi="Tahoma" w:cs="Tahoma"/>
      <w:sz w:val="20"/>
    </w:rPr>
  </w:style>
  <w:style w:type="character" w:styleId="CommentReference">
    <w:name w:val="annotation reference"/>
    <w:rsid w:val="002F5868"/>
    <w:rPr>
      <w:sz w:val="16"/>
      <w:szCs w:val="16"/>
    </w:rPr>
  </w:style>
  <w:style w:type="paragraph" w:styleId="CommentSubject">
    <w:name w:val="annotation subject"/>
    <w:basedOn w:val="CommentText"/>
    <w:next w:val="CommentText"/>
    <w:link w:val="CommentSubjectChar"/>
    <w:uiPriority w:val="99"/>
    <w:semiHidden/>
    <w:rsid w:val="002F5868"/>
    <w:rPr>
      <w:b/>
      <w:bCs/>
    </w:rPr>
  </w:style>
  <w:style w:type="paragraph" w:styleId="Revision">
    <w:name w:val="Revision"/>
    <w:hidden/>
    <w:uiPriority w:val="99"/>
    <w:semiHidden/>
    <w:rsid w:val="002F5868"/>
    <w:rPr>
      <w:sz w:val="24"/>
    </w:rPr>
  </w:style>
  <w:style w:type="character" w:customStyle="1" w:styleId="HeaderChar">
    <w:name w:val="Header Char"/>
    <w:link w:val="Header"/>
    <w:rsid w:val="00A43CDA"/>
    <w:rPr>
      <w:smallCaps/>
    </w:rPr>
  </w:style>
  <w:style w:type="character" w:styleId="FollowedHyperlink">
    <w:name w:val="FollowedHyperlink"/>
    <w:rsid w:val="009C65F4"/>
    <w:rPr>
      <w:color w:val="800080"/>
      <w:u w:val="single"/>
    </w:rPr>
  </w:style>
  <w:style w:type="character" w:customStyle="1" w:styleId="BodyTextNumberedChar1">
    <w:name w:val="Body Text Numbered Char1"/>
    <w:rsid w:val="00983E12"/>
    <w:rPr>
      <w:iCs/>
      <w:sz w:val="24"/>
    </w:rPr>
  </w:style>
  <w:style w:type="character" w:customStyle="1" w:styleId="InstructionsChar">
    <w:name w:val="Instructions Char"/>
    <w:link w:val="Instructions"/>
    <w:rsid w:val="00834D02"/>
    <w:rPr>
      <w:b/>
      <w:i/>
      <w:iCs/>
      <w:sz w:val="24"/>
      <w:szCs w:val="24"/>
    </w:rPr>
  </w:style>
  <w:style w:type="character" w:customStyle="1" w:styleId="FormulaBoldChar">
    <w:name w:val="Formula Bold Char"/>
    <w:link w:val="FormulaBold"/>
    <w:rsid w:val="006A6713"/>
    <w:rPr>
      <w:b/>
      <w:sz w:val="24"/>
      <w:lang w:val="x-none" w:eastAsia="x-none"/>
    </w:rPr>
  </w:style>
  <w:style w:type="character" w:customStyle="1" w:styleId="Heading4Char">
    <w:name w:val="Heading 4 Char"/>
    <w:aliases w:val="h4 Char,delete Char"/>
    <w:link w:val="Heading4"/>
    <w:rsid w:val="005E554F"/>
    <w:rPr>
      <w:b/>
      <w:bCs/>
      <w:snapToGrid w:val="0"/>
      <w:sz w:val="24"/>
      <w:lang w:val="x-none" w:eastAsia="x-none"/>
    </w:rPr>
  </w:style>
  <w:style w:type="character" w:customStyle="1" w:styleId="ListChar1">
    <w:name w:val="List Char1"/>
    <w:aliases w:val=" Char2 Char Char Char Char Char, Char2 Char Char1"/>
    <w:rsid w:val="005E554F"/>
    <w:rPr>
      <w:sz w:val="24"/>
      <w:lang w:val="en-US" w:eastAsia="en-US" w:bidi="ar-SA"/>
    </w:rPr>
  </w:style>
  <w:style w:type="character" w:customStyle="1" w:styleId="List2Char">
    <w:name w:val="List 2 Char"/>
    <w:aliases w:val=" Char2 Char1,Char2 Char Char Char1,Char2 Char"/>
    <w:link w:val="List2"/>
    <w:rsid w:val="005E554F"/>
    <w:rPr>
      <w:sz w:val="24"/>
    </w:rPr>
  </w:style>
  <w:style w:type="character" w:customStyle="1" w:styleId="H2Char">
    <w:name w:val="H2 Char"/>
    <w:link w:val="H2"/>
    <w:rsid w:val="005E554F"/>
    <w:rPr>
      <w:b/>
      <w:sz w:val="24"/>
    </w:rPr>
  </w:style>
  <w:style w:type="character" w:customStyle="1" w:styleId="H6Char">
    <w:name w:val="H6 Char"/>
    <w:link w:val="H6"/>
    <w:rsid w:val="005E554F"/>
    <w:rPr>
      <w:b/>
      <w:bCs/>
      <w:sz w:val="24"/>
      <w:szCs w:val="22"/>
    </w:rPr>
  </w:style>
  <w:style w:type="character" w:customStyle="1" w:styleId="CharChar1">
    <w:name w:val="Char Char1"/>
    <w:rsid w:val="005E554F"/>
    <w:rPr>
      <w:b/>
      <w:bCs/>
      <w:i/>
      <w:iCs/>
      <w:sz w:val="24"/>
      <w:szCs w:val="26"/>
      <w:lang w:val="en-US" w:eastAsia="en-US" w:bidi="ar-SA"/>
    </w:rPr>
  </w:style>
  <w:style w:type="character" w:customStyle="1" w:styleId="VariableDefinitionChar">
    <w:name w:val="Variable Definition Char"/>
    <w:link w:val="VariableDefinition"/>
    <w:rsid w:val="005E554F"/>
    <w:rPr>
      <w:iCs/>
      <w:sz w:val="24"/>
    </w:rPr>
  </w:style>
  <w:style w:type="paragraph" w:customStyle="1" w:styleId="note">
    <w:name w:val="note"/>
    <w:basedOn w:val="Normal"/>
    <w:rsid w:val="005E554F"/>
    <w:rPr>
      <w:sz w:val="22"/>
    </w:rPr>
  </w:style>
  <w:style w:type="paragraph" w:customStyle="1" w:styleId="Default">
    <w:name w:val="Default"/>
    <w:rsid w:val="005E554F"/>
    <w:pPr>
      <w:autoSpaceDE w:val="0"/>
      <w:autoSpaceDN w:val="0"/>
      <w:adjustRightInd w:val="0"/>
    </w:pPr>
    <w:rPr>
      <w:rFonts w:ascii="Arial" w:hAnsi="Arial" w:cs="Arial"/>
      <w:color w:val="000000"/>
      <w:sz w:val="24"/>
      <w:szCs w:val="24"/>
    </w:rPr>
  </w:style>
  <w:style w:type="paragraph" w:styleId="BlockText">
    <w:name w:val="Block Text"/>
    <w:basedOn w:val="Normal"/>
    <w:rsid w:val="005E554F"/>
    <w:pPr>
      <w:spacing w:after="120"/>
      <w:ind w:left="1440" w:right="1440"/>
    </w:pPr>
  </w:style>
  <w:style w:type="paragraph" w:styleId="NormalWeb">
    <w:name w:val="Normal (Web)"/>
    <w:basedOn w:val="Normal"/>
    <w:uiPriority w:val="99"/>
    <w:rsid w:val="005E554F"/>
    <w:pPr>
      <w:spacing w:before="100" w:beforeAutospacing="1" w:after="100" w:afterAutospacing="1"/>
    </w:pPr>
    <w:rPr>
      <w:szCs w:val="24"/>
    </w:rPr>
  </w:style>
  <w:style w:type="paragraph" w:customStyle="1" w:styleId="List1">
    <w:name w:val="List1"/>
    <w:basedOn w:val="H4"/>
    <w:rsid w:val="005E554F"/>
    <w:pPr>
      <w:tabs>
        <w:tab w:val="clear" w:pos="1260"/>
      </w:tabs>
      <w:ind w:left="1440" w:hanging="720"/>
    </w:pPr>
    <w:rPr>
      <w:b w:val="0"/>
    </w:rPr>
  </w:style>
  <w:style w:type="paragraph" w:customStyle="1" w:styleId="Char">
    <w:name w:val="Char"/>
    <w:basedOn w:val="Normal"/>
    <w:rsid w:val="005E554F"/>
    <w:pPr>
      <w:spacing w:after="160" w:line="240" w:lineRule="exact"/>
    </w:pPr>
    <w:rPr>
      <w:rFonts w:ascii="Verdana" w:hAnsi="Verdana"/>
      <w:sz w:val="16"/>
    </w:rPr>
  </w:style>
  <w:style w:type="character" w:customStyle="1" w:styleId="DeltaViewInsertion">
    <w:name w:val="DeltaView Insertion"/>
    <w:rsid w:val="005E554F"/>
    <w:rPr>
      <w:color w:val="0000FF"/>
      <w:spacing w:val="0"/>
      <w:u w:val="double"/>
    </w:rPr>
  </w:style>
  <w:style w:type="character" w:customStyle="1" w:styleId="DeltaViewMoveDestination">
    <w:name w:val="DeltaView Move Destination"/>
    <w:rsid w:val="005E554F"/>
    <w:rPr>
      <w:color w:val="00C000"/>
      <w:spacing w:val="0"/>
      <w:u w:val="double"/>
    </w:rPr>
  </w:style>
  <w:style w:type="character" w:customStyle="1" w:styleId="BulletChar">
    <w:name w:val="Bullet Char"/>
    <w:link w:val="Bullet"/>
    <w:rsid w:val="005E554F"/>
    <w:rPr>
      <w:sz w:val="24"/>
    </w:rPr>
  </w:style>
  <w:style w:type="paragraph" w:customStyle="1" w:styleId="Bullet15">
    <w:name w:val="Bullet (1.5)"/>
    <w:basedOn w:val="Normal"/>
    <w:rsid w:val="005E554F"/>
    <w:pPr>
      <w:tabs>
        <w:tab w:val="num" w:pos="2520"/>
      </w:tabs>
      <w:spacing w:after="120"/>
      <w:ind w:left="2520" w:hanging="720"/>
    </w:pPr>
  </w:style>
  <w:style w:type="paragraph" w:customStyle="1" w:styleId="BulletCharChar">
    <w:name w:val="Bullet Char Char"/>
    <w:basedOn w:val="Normal"/>
    <w:link w:val="BulletCharCharChar"/>
    <w:rsid w:val="005E554F"/>
    <w:pPr>
      <w:tabs>
        <w:tab w:val="num" w:pos="450"/>
      </w:tabs>
      <w:spacing w:after="180"/>
      <w:ind w:left="450" w:hanging="360"/>
    </w:pPr>
    <w:rPr>
      <w:lang w:val="x-none" w:eastAsia="x-none"/>
    </w:rPr>
  </w:style>
  <w:style w:type="character" w:customStyle="1" w:styleId="BulletCharCharChar">
    <w:name w:val="Bullet Char Char Char"/>
    <w:link w:val="BulletCharChar"/>
    <w:rsid w:val="005E554F"/>
    <w:rPr>
      <w:sz w:val="24"/>
    </w:rPr>
  </w:style>
  <w:style w:type="character" w:customStyle="1" w:styleId="Char2CharCharCharCharChar">
    <w:name w:val="Char2 Char Char Char Char Char"/>
    <w:aliases w:val=" Char2 Char Char Char"/>
    <w:rsid w:val="005E554F"/>
    <w:rPr>
      <w:sz w:val="24"/>
      <w:lang w:val="en-US" w:eastAsia="en-US" w:bidi="ar-SA"/>
    </w:rPr>
  </w:style>
  <w:style w:type="character" w:customStyle="1" w:styleId="BodyTextIndentChar">
    <w:name w:val="Body Text Indent Char"/>
    <w:aliases w:val=" Char Char"/>
    <w:uiPriority w:val="99"/>
    <w:rsid w:val="005E554F"/>
    <w:rPr>
      <w:iCs/>
      <w:sz w:val="24"/>
      <w:lang w:val="en-US" w:eastAsia="en-US" w:bidi="ar-SA"/>
    </w:rPr>
  </w:style>
  <w:style w:type="paragraph" w:styleId="BodyText3">
    <w:name w:val="Body Text 3"/>
    <w:basedOn w:val="Normal"/>
    <w:link w:val="BodyText3Char"/>
    <w:rsid w:val="005E554F"/>
    <w:pPr>
      <w:spacing w:after="120"/>
    </w:pPr>
    <w:rPr>
      <w:sz w:val="16"/>
      <w:szCs w:val="16"/>
      <w:lang w:val="x-none" w:eastAsia="x-none"/>
    </w:rPr>
  </w:style>
  <w:style w:type="character" w:customStyle="1" w:styleId="BodyText3Char">
    <w:name w:val="Body Text 3 Char"/>
    <w:link w:val="BodyText3"/>
    <w:rsid w:val="005E554F"/>
    <w:rPr>
      <w:sz w:val="16"/>
      <w:szCs w:val="16"/>
    </w:rPr>
  </w:style>
  <w:style w:type="paragraph" w:styleId="BodyTextFirstIndent">
    <w:name w:val="Body Text First Indent"/>
    <w:basedOn w:val="BodyText"/>
    <w:link w:val="BodyTextFirstIndentChar"/>
    <w:rsid w:val="005E554F"/>
    <w:pPr>
      <w:spacing w:after="120"/>
      <w:ind w:firstLine="210"/>
    </w:pPr>
  </w:style>
  <w:style w:type="character" w:customStyle="1" w:styleId="BodyTextFirstIndentChar">
    <w:name w:val="Body Text First Indent Char"/>
    <w:link w:val="BodyTextFirstIndent"/>
    <w:rsid w:val="005E554F"/>
    <w:rPr>
      <w:iCs/>
      <w:sz w:val="24"/>
      <w:lang w:val="en-US" w:eastAsia="en-US" w:bidi="ar-SA"/>
    </w:rPr>
  </w:style>
  <w:style w:type="paragraph" w:styleId="BodyTextFirstIndent2">
    <w:name w:val="Body Text First Indent 2"/>
    <w:basedOn w:val="BodyTextIndent"/>
    <w:link w:val="BodyTextFirstIndent2Char"/>
    <w:rsid w:val="005E554F"/>
    <w:pPr>
      <w:spacing w:after="120"/>
      <w:ind w:left="360" w:firstLine="210"/>
    </w:pPr>
  </w:style>
  <w:style w:type="character" w:customStyle="1" w:styleId="BodyTextIndentChar1">
    <w:name w:val="Body Text Indent Char1"/>
    <w:aliases w:val=" Char Char1"/>
    <w:link w:val="BodyTextIndent"/>
    <w:rsid w:val="005E554F"/>
    <w:rPr>
      <w:iCs/>
      <w:sz w:val="24"/>
    </w:rPr>
  </w:style>
  <w:style w:type="character" w:customStyle="1" w:styleId="BodyTextFirstIndent2Char">
    <w:name w:val="Body Text First Indent 2 Char"/>
    <w:link w:val="BodyTextFirstIndent2"/>
    <w:rsid w:val="005E554F"/>
    <w:rPr>
      <w:iCs/>
      <w:sz w:val="24"/>
    </w:rPr>
  </w:style>
  <w:style w:type="paragraph" w:styleId="BodyTextIndent2">
    <w:name w:val="Body Text Indent 2"/>
    <w:basedOn w:val="Normal"/>
    <w:link w:val="BodyTextIndent2Char"/>
    <w:rsid w:val="005E554F"/>
    <w:pPr>
      <w:spacing w:after="120" w:line="480" w:lineRule="auto"/>
      <w:ind w:left="360"/>
    </w:pPr>
    <w:rPr>
      <w:lang w:val="x-none" w:eastAsia="x-none"/>
    </w:rPr>
  </w:style>
  <w:style w:type="character" w:customStyle="1" w:styleId="BodyTextIndent2Char">
    <w:name w:val="Body Text Indent 2 Char"/>
    <w:link w:val="BodyTextIndent2"/>
    <w:rsid w:val="005E554F"/>
    <w:rPr>
      <w:sz w:val="24"/>
    </w:rPr>
  </w:style>
  <w:style w:type="paragraph" w:styleId="BodyTextIndent3">
    <w:name w:val="Body Text Indent 3"/>
    <w:basedOn w:val="Normal"/>
    <w:link w:val="BodyTextIndent3Char"/>
    <w:rsid w:val="005E554F"/>
    <w:pPr>
      <w:spacing w:after="120"/>
      <w:ind w:left="360"/>
    </w:pPr>
    <w:rPr>
      <w:sz w:val="16"/>
      <w:szCs w:val="16"/>
      <w:lang w:val="x-none" w:eastAsia="x-none"/>
    </w:rPr>
  </w:style>
  <w:style w:type="character" w:customStyle="1" w:styleId="BodyTextIndent3Char">
    <w:name w:val="Body Text Indent 3 Char"/>
    <w:link w:val="BodyTextIndent3"/>
    <w:rsid w:val="005E554F"/>
    <w:rPr>
      <w:sz w:val="16"/>
      <w:szCs w:val="16"/>
    </w:rPr>
  </w:style>
  <w:style w:type="paragraph" w:styleId="Caption">
    <w:name w:val="caption"/>
    <w:basedOn w:val="Normal"/>
    <w:next w:val="Normal"/>
    <w:qFormat/>
    <w:rsid w:val="005E554F"/>
    <w:rPr>
      <w:b/>
      <w:bCs/>
      <w:sz w:val="20"/>
    </w:rPr>
  </w:style>
  <w:style w:type="paragraph" w:styleId="Closing">
    <w:name w:val="Closing"/>
    <w:basedOn w:val="Normal"/>
    <w:link w:val="ClosingChar"/>
    <w:rsid w:val="005E554F"/>
    <w:pPr>
      <w:ind w:left="4320"/>
    </w:pPr>
    <w:rPr>
      <w:lang w:val="x-none" w:eastAsia="x-none"/>
    </w:rPr>
  </w:style>
  <w:style w:type="character" w:customStyle="1" w:styleId="ClosingChar">
    <w:name w:val="Closing Char"/>
    <w:link w:val="Closing"/>
    <w:rsid w:val="005E554F"/>
    <w:rPr>
      <w:sz w:val="24"/>
    </w:rPr>
  </w:style>
  <w:style w:type="paragraph" w:styleId="Date">
    <w:name w:val="Date"/>
    <w:basedOn w:val="Normal"/>
    <w:next w:val="Normal"/>
    <w:link w:val="DateChar"/>
    <w:rsid w:val="005E554F"/>
    <w:rPr>
      <w:lang w:val="x-none" w:eastAsia="x-none"/>
    </w:rPr>
  </w:style>
  <w:style w:type="character" w:customStyle="1" w:styleId="DateChar">
    <w:name w:val="Date Char"/>
    <w:link w:val="Date"/>
    <w:rsid w:val="005E554F"/>
    <w:rPr>
      <w:sz w:val="24"/>
    </w:rPr>
  </w:style>
  <w:style w:type="paragraph" w:styleId="E-mailSignature">
    <w:name w:val="E-mail Signature"/>
    <w:basedOn w:val="Normal"/>
    <w:link w:val="E-mailSignatureChar"/>
    <w:rsid w:val="005E554F"/>
    <w:rPr>
      <w:lang w:val="x-none" w:eastAsia="x-none"/>
    </w:rPr>
  </w:style>
  <w:style w:type="character" w:customStyle="1" w:styleId="E-mailSignatureChar">
    <w:name w:val="E-mail Signature Char"/>
    <w:link w:val="E-mailSignature"/>
    <w:rsid w:val="005E554F"/>
    <w:rPr>
      <w:sz w:val="24"/>
    </w:rPr>
  </w:style>
  <w:style w:type="paragraph" w:styleId="EndnoteText">
    <w:name w:val="endnote text"/>
    <w:basedOn w:val="Normal"/>
    <w:link w:val="EndnoteTextChar"/>
    <w:rsid w:val="005E554F"/>
    <w:rPr>
      <w:sz w:val="20"/>
    </w:rPr>
  </w:style>
  <w:style w:type="character" w:customStyle="1" w:styleId="EndnoteTextChar">
    <w:name w:val="Endnote Text Char"/>
    <w:basedOn w:val="DefaultParagraphFont"/>
    <w:link w:val="EndnoteText"/>
    <w:rsid w:val="005E554F"/>
  </w:style>
  <w:style w:type="paragraph" w:styleId="EnvelopeAddress">
    <w:name w:val="envelope address"/>
    <w:basedOn w:val="Normal"/>
    <w:rsid w:val="005E554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E554F"/>
    <w:rPr>
      <w:rFonts w:ascii="Arial" w:hAnsi="Arial" w:cs="Arial"/>
      <w:sz w:val="20"/>
    </w:rPr>
  </w:style>
  <w:style w:type="paragraph" w:styleId="HTMLAddress">
    <w:name w:val="HTML Address"/>
    <w:basedOn w:val="Normal"/>
    <w:link w:val="HTMLAddressChar"/>
    <w:rsid w:val="005E554F"/>
    <w:rPr>
      <w:i/>
      <w:iCs/>
      <w:lang w:val="x-none" w:eastAsia="x-none"/>
    </w:rPr>
  </w:style>
  <w:style w:type="character" w:customStyle="1" w:styleId="HTMLAddressChar">
    <w:name w:val="HTML Address Char"/>
    <w:link w:val="HTMLAddress"/>
    <w:rsid w:val="005E554F"/>
    <w:rPr>
      <w:i/>
      <w:iCs/>
      <w:sz w:val="24"/>
    </w:rPr>
  </w:style>
  <w:style w:type="paragraph" w:styleId="HTMLPreformatted">
    <w:name w:val="HTML Preformatted"/>
    <w:basedOn w:val="Normal"/>
    <w:link w:val="HTMLPreformattedChar"/>
    <w:rsid w:val="005E554F"/>
    <w:rPr>
      <w:rFonts w:ascii="Courier New" w:hAnsi="Courier New"/>
      <w:sz w:val="20"/>
      <w:lang w:val="x-none" w:eastAsia="x-none"/>
    </w:rPr>
  </w:style>
  <w:style w:type="character" w:customStyle="1" w:styleId="HTMLPreformattedChar">
    <w:name w:val="HTML Preformatted Char"/>
    <w:link w:val="HTMLPreformatted"/>
    <w:rsid w:val="005E554F"/>
    <w:rPr>
      <w:rFonts w:ascii="Courier New" w:hAnsi="Courier New" w:cs="Courier New"/>
    </w:rPr>
  </w:style>
  <w:style w:type="paragraph" w:styleId="List4">
    <w:name w:val="List 4"/>
    <w:basedOn w:val="Normal"/>
    <w:rsid w:val="005E554F"/>
    <w:pPr>
      <w:ind w:left="1440" w:hanging="360"/>
    </w:pPr>
  </w:style>
  <w:style w:type="paragraph" w:styleId="List5">
    <w:name w:val="List 5"/>
    <w:basedOn w:val="Normal"/>
    <w:rsid w:val="005E554F"/>
    <w:pPr>
      <w:ind w:left="1800" w:hanging="360"/>
    </w:pPr>
  </w:style>
  <w:style w:type="paragraph" w:styleId="ListBullet">
    <w:name w:val="List Bullet"/>
    <w:basedOn w:val="Normal"/>
    <w:rsid w:val="005E554F"/>
    <w:pPr>
      <w:numPr>
        <w:numId w:val="2"/>
      </w:numPr>
    </w:pPr>
  </w:style>
  <w:style w:type="paragraph" w:styleId="ListBullet2">
    <w:name w:val="List Bullet 2"/>
    <w:basedOn w:val="Normal"/>
    <w:rsid w:val="005E554F"/>
    <w:pPr>
      <w:numPr>
        <w:numId w:val="3"/>
      </w:numPr>
    </w:pPr>
  </w:style>
  <w:style w:type="paragraph" w:styleId="ListBullet3">
    <w:name w:val="List Bullet 3"/>
    <w:basedOn w:val="Normal"/>
    <w:rsid w:val="005E554F"/>
    <w:pPr>
      <w:numPr>
        <w:numId w:val="4"/>
      </w:numPr>
    </w:pPr>
  </w:style>
  <w:style w:type="paragraph" w:styleId="ListBullet4">
    <w:name w:val="List Bullet 4"/>
    <w:basedOn w:val="Normal"/>
    <w:rsid w:val="005E554F"/>
    <w:pPr>
      <w:numPr>
        <w:numId w:val="5"/>
      </w:numPr>
    </w:pPr>
  </w:style>
  <w:style w:type="paragraph" w:styleId="ListBullet5">
    <w:name w:val="List Bullet 5"/>
    <w:basedOn w:val="Normal"/>
    <w:rsid w:val="005E554F"/>
    <w:pPr>
      <w:numPr>
        <w:numId w:val="6"/>
      </w:numPr>
    </w:pPr>
  </w:style>
  <w:style w:type="paragraph" w:styleId="ListContinue">
    <w:name w:val="List Continue"/>
    <w:basedOn w:val="Normal"/>
    <w:rsid w:val="005E554F"/>
    <w:pPr>
      <w:spacing w:after="120"/>
      <w:ind w:left="360"/>
    </w:pPr>
  </w:style>
  <w:style w:type="paragraph" w:styleId="ListContinue2">
    <w:name w:val="List Continue 2"/>
    <w:basedOn w:val="Normal"/>
    <w:rsid w:val="005E554F"/>
    <w:pPr>
      <w:spacing w:after="120"/>
      <w:ind w:left="720"/>
    </w:pPr>
  </w:style>
  <w:style w:type="paragraph" w:styleId="ListContinue3">
    <w:name w:val="List Continue 3"/>
    <w:basedOn w:val="Normal"/>
    <w:rsid w:val="005E554F"/>
    <w:pPr>
      <w:spacing w:after="120"/>
      <w:ind w:left="1080"/>
    </w:pPr>
  </w:style>
  <w:style w:type="paragraph" w:styleId="ListContinue4">
    <w:name w:val="List Continue 4"/>
    <w:basedOn w:val="Normal"/>
    <w:rsid w:val="005E554F"/>
    <w:pPr>
      <w:spacing w:after="120"/>
      <w:ind w:left="1440"/>
    </w:pPr>
  </w:style>
  <w:style w:type="paragraph" w:styleId="ListContinue5">
    <w:name w:val="List Continue 5"/>
    <w:basedOn w:val="Normal"/>
    <w:rsid w:val="005E554F"/>
    <w:pPr>
      <w:spacing w:after="120"/>
      <w:ind w:left="1800"/>
    </w:pPr>
  </w:style>
  <w:style w:type="paragraph" w:styleId="ListNumber">
    <w:name w:val="List Number"/>
    <w:basedOn w:val="Normal"/>
    <w:rsid w:val="005E554F"/>
    <w:pPr>
      <w:numPr>
        <w:numId w:val="7"/>
      </w:numPr>
    </w:pPr>
  </w:style>
  <w:style w:type="paragraph" w:styleId="ListNumber2">
    <w:name w:val="List Number 2"/>
    <w:basedOn w:val="Normal"/>
    <w:rsid w:val="005E554F"/>
    <w:pPr>
      <w:numPr>
        <w:numId w:val="8"/>
      </w:numPr>
    </w:pPr>
  </w:style>
  <w:style w:type="paragraph" w:styleId="ListNumber3">
    <w:name w:val="List Number 3"/>
    <w:basedOn w:val="Normal"/>
    <w:rsid w:val="005E554F"/>
    <w:pPr>
      <w:numPr>
        <w:numId w:val="9"/>
      </w:numPr>
    </w:pPr>
  </w:style>
  <w:style w:type="paragraph" w:styleId="ListNumber4">
    <w:name w:val="List Number 4"/>
    <w:basedOn w:val="Normal"/>
    <w:rsid w:val="005E554F"/>
    <w:pPr>
      <w:numPr>
        <w:numId w:val="10"/>
      </w:numPr>
    </w:pPr>
  </w:style>
  <w:style w:type="paragraph" w:styleId="ListNumber5">
    <w:name w:val="List Number 5"/>
    <w:basedOn w:val="Normal"/>
    <w:rsid w:val="005E554F"/>
    <w:pPr>
      <w:numPr>
        <w:numId w:val="11"/>
      </w:numPr>
    </w:pPr>
  </w:style>
  <w:style w:type="paragraph" w:styleId="MacroText">
    <w:name w:val="macro"/>
    <w:link w:val="MacroTextChar"/>
    <w:rsid w:val="005E55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E554F"/>
    <w:rPr>
      <w:rFonts w:ascii="Courier New" w:hAnsi="Courier New" w:cs="Courier New"/>
      <w:lang w:val="en-US" w:eastAsia="en-US" w:bidi="ar-SA"/>
    </w:rPr>
  </w:style>
  <w:style w:type="paragraph" w:styleId="MessageHeader">
    <w:name w:val="Message Header"/>
    <w:basedOn w:val="Normal"/>
    <w:link w:val="MessageHeaderChar"/>
    <w:rsid w:val="005E55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5E554F"/>
    <w:rPr>
      <w:rFonts w:ascii="Arial" w:hAnsi="Arial" w:cs="Arial"/>
      <w:sz w:val="24"/>
      <w:szCs w:val="24"/>
      <w:shd w:val="pct20" w:color="auto" w:fill="auto"/>
    </w:rPr>
  </w:style>
  <w:style w:type="paragraph" w:styleId="NormalIndent">
    <w:name w:val="Normal Indent"/>
    <w:basedOn w:val="Normal"/>
    <w:rsid w:val="005E554F"/>
    <w:pPr>
      <w:ind w:left="720"/>
    </w:pPr>
  </w:style>
  <w:style w:type="paragraph" w:styleId="NoteHeading">
    <w:name w:val="Note Heading"/>
    <w:basedOn w:val="Normal"/>
    <w:next w:val="Normal"/>
    <w:link w:val="NoteHeadingChar"/>
    <w:rsid w:val="005E554F"/>
    <w:rPr>
      <w:lang w:val="x-none" w:eastAsia="x-none"/>
    </w:rPr>
  </w:style>
  <w:style w:type="character" w:customStyle="1" w:styleId="NoteHeadingChar">
    <w:name w:val="Note Heading Char"/>
    <w:link w:val="NoteHeading"/>
    <w:rsid w:val="005E554F"/>
    <w:rPr>
      <w:sz w:val="24"/>
    </w:rPr>
  </w:style>
  <w:style w:type="paragraph" w:styleId="PlainText">
    <w:name w:val="Plain Text"/>
    <w:basedOn w:val="Normal"/>
    <w:link w:val="PlainTextChar"/>
    <w:rsid w:val="005E554F"/>
    <w:rPr>
      <w:rFonts w:ascii="Courier New" w:hAnsi="Courier New"/>
      <w:sz w:val="20"/>
      <w:lang w:val="x-none" w:eastAsia="x-none"/>
    </w:rPr>
  </w:style>
  <w:style w:type="character" w:customStyle="1" w:styleId="PlainTextChar">
    <w:name w:val="Plain Text Char"/>
    <w:link w:val="PlainText"/>
    <w:rsid w:val="005E554F"/>
    <w:rPr>
      <w:rFonts w:ascii="Courier New" w:hAnsi="Courier New" w:cs="Courier New"/>
    </w:rPr>
  </w:style>
  <w:style w:type="paragraph" w:styleId="Salutation">
    <w:name w:val="Salutation"/>
    <w:basedOn w:val="Normal"/>
    <w:next w:val="Normal"/>
    <w:link w:val="SalutationChar"/>
    <w:rsid w:val="005E554F"/>
    <w:rPr>
      <w:lang w:val="x-none" w:eastAsia="x-none"/>
    </w:rPr>
  </w:style>
  <w:style w:type="character" w:customStyle="1" w:styleId="SalutationChar">
    <w:name w:val="Salutation Char"/>
    <w:link w:val="Salutation"/>
    <w:rsid w:val="005E554F"/>
    <w:rPr>
      <w:sz w:val="24"/>
    </w:rPr>
  </w:style>
  <w:style w:type="paragraph" w:styleId="Signature">
    <w:name w:val="Signature"/>
    <w:basedOn w:val="Normal"/>
    <w:link w:val="SignatureChar"/>
    <w:rsid w:val="005E554F"/>
    <w:pPr>
      <w:ind w:left="4320"/>
    </w:pPr>
    <w:rPr>
      <w:lang w:val="x-none" w:eastAsia="x-none"/>
    </w:rPr>
  </w:style>
  <w:style w:type="character" w:customStyle="1" w:styleId="SignatureChar">
    <w:name w:val="Signature Char"/>
    <w:link w:val="Signature"/>
    <w:rsid w:val="005E554F"/>
    <w:rPr>
      <w:sz w:val="24"/>
    </w:rPr>
  </w:style>
  <w:style w:type="paragraph" w:styleId="Subtitle">
    <w:name w:val="Subtitle"/>
    <w:basedOn w:val="Normal"/>
    <w:link w:val="SubtitleChar"/>
    <w:qFormat/>
    <w:rsid w:val="005E554F"/>
    <w:pPr>
      <w:spacing w:after="60"/>
      <w:jc w:val="center"/>
      <w:outlineLvl w:val="1"/>
    </w:pPr>
    <w:rPr>
      <w:rFonts w:ascii="Arial" w:hAnsi="Arial"/>
      <w:szCs w:val="24"/>
      <w:lang w:val="x-none" w:eastAsia="x-none"/>
    </w:rPr>
  </w:style>
  <w:style w:type="character" w:customStyle="1" w:styleId="SubtitleChar">
    <w:name w:val="Subtitle Char"/>
    <w:link w:val="Subtitle"/>
    <w:rsid w:val="005E554F"/>
    <w:rPr>
      <w:rFonts w:ascii="Arial" w:hAnsi="Arial" w:cs="Arial"/>
      <w:sz w:val="24"/>
      <w:szCs w:val="24"/>
    </w:rPr>
  </w:style>
  <w:style w:type="paragraph" w:styleId="TableofAuthorities">
    <w:name w:val="table of authorities"/>
    <w:basedOn w:val="Normal"/>
    <w:next w:val="Normal"/>
    <w:rsid w:val="005E554F"/>
    <w:pPr>
      <w:ind w:left="240" w:hanging="240"/>
    </w:pPr>
  </w:style>
  <w:style w:type="paragraph" w:styleId="TableofFigures">
    <w:name w:val="table of figures"/>
    <w:basedOn w:val="Normal"/>
    <w:next w:val="Normal"/>
    <w:rsid w:val="005E554F"/>
  </w:style>
  <w:style w:type="paragraph" w:styleId="Title">
    <w:name w:val="Title"/>
    <w:basedOn w:val="Normal"/>
    <w:link w:val="TitleChar"/>
    <w:qFormat/>
    <w:rsid w:val="005E554F"/>
    <w:pPr>
      <w:spacing w:before="240" w:after="60"/>
      <w:jc w:val="center"/>
      <w:outlineLvl w:val="0"/>
    </w:pPr>
    <w:rPr>
      <w:rFonts w:ascii="Arial" w:hAnsi="Arial"/>
      <w:b/>
      <w:bCs/>
      <w:kern w:val="28"/>
      <w:sz w:val="32"/>
      <w:szCs w:val="32"/>
      <w:lang w:val="x-none" w:eastAsia="x-none"/>
    </w:rPr>
  </w:style>
  <w:style w:type="character" w:customStyle="1" w:styleId="TitleChar">
    <w:name w:val="Title Char"/>
    <w:link w:val="Title"/>
    <w:rsid w:val="005E554F"/>
    <w:rPr>
      <w:rFonts w:ascii="Arial" w:hAnsi="Arial" w:cs="Arial"/>
      <w:b/>
      <w:bCs/>
      <w:kern w:val="28"/>
      <w:sz w:val="32"/>
      <w:szCs w:val="32"/>
    </w:rPr>
  </w:style>
  <w:style w:type="paragraph" w:styleId="TOAHeading">
    <w:name w:val="toa heading"/>
    <w:basedOn w:val="Normal"/>
    <w:next w:val="Normal"/>
    <w:rsid w:val="005E554F"/>
    <w:pPr>
      <w:spacing w:before="120"/>
    </w:pPr>
    <w:rPr>
      <w:rFonts w:ascii="Arial" w:hAnsi="Arial" w:cs="Arial"/>
      <w:b/>
      <w:bCs/>
      <w:szCs w:val="24"/>
    </w:rPr>
  </w:style>
  <w:style w:type="paragraph" w:customStyle="1" w:styleId="TXUFooterPage">
    <w:name w:val="TXUFooterPage"/>
    <w:basedOn w:val="Normal"/>
    <w:next w:val="Normal"/>
    <w:uiPriority w:val="99"/>
    <w:rsid w:val="005E554F"/>
    <w:pPr>
      <w:pBdr>
        <w:top w:val="single" w:sz="4" w:space="1" w:color="auto"/>
      </w:pBdr>
      <w:tabs>
        <w:tab w:val="center" w:pos="4536"/>
        <w:tab w:val="right" w:pos="9360"/>
      </w:tabs>
    </w:pPr>
    <w:rPr>
      <w:sz w:val="20"/>
    </w:rPr>
  </w:style>
  <w:style w:type="paragraph" w:customStyle="1" w:styleId="Char11">
    <w:name w:val="Char11"/>
    <w:basedOn w:val="Normal"/>
    <w:rsid w:val="005E554F"/>
    <w:pPr>
      <w:spacing w:after="160" w:line="240" w:lineRule="exact"/>
    </w:pPr>
    <w:rPr>
      <w:rFonts w:ascii="Verdana" w:hAnsi="Verdana"/>
      <w:sz w:val="16"/>
    </w:rPr>
  </w:style>
  <w:style w:type="paragraph" w:customStyle="1" w:styleId="Char4">
    <w:name w:val="Char4"/>
    <w:basedOn w:val="Normal"/>
    <w:rsid w:val="005E554F"/>
    <w:pPr>
      <w:spacing w:after="160" w:line="240" w:lineRule="exact"/>
    </w:pPr>
    <w:rPr>
      <w:rFonts w:ascii="Verdana" w:hAnsi="Verdana"/>
      <w:sz w:val="16"/>
    </w:rPr>
  </w:style>
  <w:style w:type="paragraph" w:customStyle="1" w:styleId="TXUFooter">
    <w:name w:val="TXUFooter"/>
    <w:basedOn w:val="Normal"/>
    <w:uiPriority w:val="99"/>
    <w:rsid w:val="005E554F"/>
    <w:pPr>
      <w:pBdr>
        <w:top w:val="single" w:sz="4" w:space="1" w:color="auto"/>
      </w:pBdr>
      <w:tabs>
        <w:tab w:val="center" w:pos="4536"/>
        <w:tab w:val="right" w:pos="9360"/>
      </w:tabs>
    </w:pPr>
    <w:rPr>
      <w:sz w:val="16"/>
    </w:rPr>
  </w:style>
  <w:style w:type="character" w:customStyle="1" w:styleId="Heading6Char">
    <w:name w:val="Heading 6 Char"/>
    <w:aliases w:val="h6 Char"/>
    <w:link w:val="Heading6"/>
    <w:locked/>
    <w:rsid w:val="005E554F"/>
    <w:rPr>
      <w:b/>
      <w:bCs/>
      <w:sz w:val="24"/>
      <w:szCs w:val="22"/>
      <w:lang w:val="x-none" w:eastAsia="x-none"/>
    </w:rPr>
  </w:style>
  <w:style w:type="paragraph" w:customStyle="1" w:styleId="TXUHeader">
    <w:name w:val="TXUHeader"/>
    <w:basedOn w:val="Normal"/>
    <w:uiPriority w:val="99"/>
    <w:rsid w:val="00975D78"/>
    <w:pPr>
      <w:tabs>
        <w:tab w:val="right" w:pos="9360"/>
      </w:tabs>
    </w:pPr>
    <w:rPr>
      <w:noProof/>
      <w:sz w:val="16"/>
    </w:rPr>
  </w:style>
  <w:style w:type="character" w:customStyle="1" w:styleId="Heading5Char">
    <w:name w:val="Heading 5 Char"/>
    <w:aliases w:val="h5 Char"/>
    <w:link w:val="Heading5"/>
    <w:rsid w:val="00E51290"/>
    <w:rPr>
      <w:b/>
      <w:bCs/>
      <w:i/>
      <w:iCs/>
      <w:sz w:val="24"/>
      <w:szCs w:val="26"/>
    </w:rPr>
  </w:style>
  <w:style w:type="paragraph" w:customStyle="1" w:styleId="TXUNormal">
    <w:name w:val="TXUNormal"/>
    <w:uiPriority w:val="99"/>
    <w:rsid w:val="00424F6A"/>
    <w:pPr>
      <w:spacing w:after="120"/>
    </w:pPr>
  </w:style>
  <w:style w:type="paragraph" w:customStyle="1" w:styleId="TXUSubject">
    <w:name w:val="TXUSubject"/>
    <w:basedOn w:val="TXUNormal"/>
    <w:next w:val="TXUNormal"/>
    <w:uiPriority w:val="99"/>
    <w:rsid w:val="00424F6A"/>
    <w:pPr>
      <w:spacing w:after="240"/>
    </w:pPr>
    <w:rPr>
      <w:b/>
    </w:rPr>
  </w:style>
  <w:style w:type="paragraph" w:customStyle="1" w:styleId="Comments">
    <w:name w:val="Comments"/>
    <w:basedOn w:val="Normal"/>
    <w:uiPriority w:val="99"/>
    <w:rsid w:val="00424F6A"/>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style>
  <w:style w:type="character" w:customStyle="1" w:styleId="CharChar3">
    <w:name w:val="Char Char3"/>
    <w:rsid w:val="00424F6A"/>
    <w:rPr>
      <w:sz w:val="24"/>
      <w:lang w:val="en-US" w:eastAsia="en-US" w:bidi="ar-SA"/>
    </w:rPr>
  </w:style>
  <w:style w:type="paragraph" w:customStyle="1" w:styleId="PJMNormal">
    <w:name w:val="PJM_Normal"/>
    <w:basedOn w:val="Default"/>
    <w:next w:val="Default"/>
    <w:rsid w:val="00424F6A"/>
    <w:pPr>
      <w:spacing w:before="120" w:after="120"/>
    </w:pPr>
    <w:rPr>
      <w:rFonts w:cs="Times New Roman"/>
      <w:color w:val="auto"/>
    </w:rPr>
  </w:style>
  <w:style w:type="paragraph" w:customStyle="1" w:styleId="PJMListOutline1">
    <w:name w:val="PJM_List_Outline_1"/>
    <w:basedOn w:val="Default"/>
    <w:next w:val="Default"/>
    <w:rsid w:val="00424F6A"/>
    <w:pPr>
      <w:spacing w:before="120" w:after="120"/>
    </w:pPr>
    <w:rPr>
      <w:rFonts w:cs="Times New Roman"/>
      <w:color w:val="auto"/>
    </w:rPr>
  </w:style>
  <w:style w:type="paragraph" w:customStyle="1" w:styleId="tablecontents">
    <w:name w:val="table contents"/>
    <w:basedOn w:val="Normal"/>
    <w:rsid w:val="00424F6A"/>
    <w:rPr>
      <w:sz w:val="20"/>
    </w:rPr>
  </w:style>
  <w:style w:type="character" w:customStyle="1" w:styleId="CharChar2">
    <w:name w:val="Char Char2"/>
    <w:rsid w:val="00424F6A"/>
    <w:rPr>
      <w:iCs/>
      <w:sz w:val="24"/>
      <w:lang w:val="en-US" w:eastAsia="en-US" w:bidi="ar-SA"/>
    </w:rPr>
  </w:style>
  <w:style w:type="character" w:customStyle="1" w:styleId="CharCharCharChar1">
    <w:name w:val="Char Char Char Char1"/>
    <w:rsid w:val="00424F6A"/>
    <w:rPr>
      <w:iCs/>
      <w:sz w:val="24"/>
      <w:lang w:val="en-US" w:eastAsia="en-US" w:bidi="ar-SA"/>
    </w:rPr>
  </w:style>
  <w:style w:type="character" w:customStyle="1" w:styleId="DocumentMapChar">
    <w:name w:val="Document Map Char"/>
    <w:link w:val="DocumentMap"/>
    <w:rsid w:val="00424F6A"/>
    <w:rPr>
      <w:rFonts w:ascii="Tahoma" w:hAnsi="Tahoma" w:cs="Tahoma"/>
      <w:shd w:val="clear" w:color="auto" w:fill="000080"/>
    </w:rPr>
  </w:style>
  <w:style w:type="paragraph" w:customStyle="1" w:styleId="equals">
    <w:name w:val="equals"/>
    <w:basedOn w:val="BodyText"/>
    <w:rsid w:val="00424F6A"/>
    <w:pPr>
      <w:ind w:left="3168" w:hanging="2880"/>
    </w:pPr>
  </w:style>
  <w:style w:type="paragraph" w:customStyle="1" w:styleId="VariableDefinitionwide">
    <w:name w:val="Variable Definition wide"/>
    <w:basedOn w:val="BodyTextIndent"/>
    <w:rsid w:val="00424F6A"/>
    <w:pPr>
      <w:tabs>
        <w:tab w:val="left" w:pos="2160"/>
      </w:tabs>
      <w:ind w:left="4320" w:hanging="3600"/>
      <w:contextualSpacing/>
    </w:pPr>
    <w:rPr>
      <w:szCs w:val="24"/>
      <w:lang w:val="en-US" w:eastAsia="en-US"/>
    </w:rPr>
  </w:style>
  <w:style w:type="character" w:customStyle="1" w:styleId="BodyText2Char">
    <w:name w:val="Body Text 2 Char"/>
    <w:link w:val="BodyText2"/>
    <w:rsid w:val="00424F6A"/>
    <w:rPr>
      <w:sz w:val="24"/>
    </w:rPr>
  </w:style>
  <w:style w:type="character" w:customStyle="1" w:styleId="CharChar5">
    <w:name w:val="Char Char5"/>
    <w:rsid w:val="00424F6A"/>
    <w:rPr>
      <w:iCs/>
      <w:sz w:val="24"/>
      <w:lang w:val="en-US" w:eastAsia="en-US" w:bidi="ar-SA"/>
    </w:rPr>
  </w:style>
  <w:style w:type="character" w:customStyle="1" w:styleId="CharCharCharCharChar">
    <w:name w:val="Char Char Char Char Char"/>
    <w:aliases w:val=" Char Char Char Char Char1"/>
    <w:rsid w:val="00424F6A"/>
    <w:rPr>
      <w:iCs/>
      <w:sz w:val="24"/>
      <w:lang w:val="en-US" w:eastAsia="en-US" w:bidi="ar-SA"/>
    </w:rPr>
  </w:style>
  <w:style w:type="character" w:customStyle="1" w:styleId="CharChar4">
    <w:name w:val="Char Char4"/>
    <w:rsid w:val="00424F6A"/>
    <w:rPr>
      <w:sz w:val="24"/>
      <w:lang w:val="en-US" w:eastAsia="en-US" w:bidi="ar-SA"/>
    </w:rPr>
  </w:style>
  <w:style w:type="character" w:customStyle="1" w:styleId="CharCharChar2">
    <w:name w:val="Char Char Char2"/>
    <w:rsid w:val="00424F6A"/>
    <w:rPr>
      <w:iCs/>
      <w:sz w:val="24"/>
      <w:lang w:val="en-US" w:eastAsia="en-US" w:bidi="ar-SA"/>
    </w:rPr>
  </w:style>
  <w:style w:type="character" w:customStyle="1" w:styleId="Char2CharCharChar">
    <w:name w:val="Char2 Char Char Char"/>
    <w:aliases w:val=" Char2 Char Char2"/>
    <w:rsid w:val="00424F6A"/>
    <w:rPr>
      <w:sz w:val="24"/>
      <w:lang w:val="en-US" w:eastAsia="en-US" w:bidi="ar-SA"/>
    </w:rPr>
  </w:style>
  <w:style w:type="character" w:customStyle="1" w:styleId="ListIntroductionCharChar">
    <w:name w:val="List Introduction Char Char"/>
    <w:rsid w:val="00424F6A"/>
    <w:rPr>
      <w:iCs/>
      <w:sz w:val="24"/>
      <w:lang w:val="en-US" w:eastAsia="en-US" w:bidi="ar-SA"/>
    </w:rPr>
  </w:style>
  <w:style w:type="paragraph" w:customStyle="1" w:styleId="VariableDefinition1">
    <w:name w:val="Variable Definition+1"/>
    <w:basedOn w:val="Default"/>
    <w:next w:val="Default"/>
    <w:rsid w:val="00424F6A"/>
    <w:pPr>
      <w:spacing w:after="240"/>
    </w:pPr>
    <w:rPr>
      <w:rFonts w:ascii="Times New Roman" w:hAnsi="Times New Roman" w:cs="Times New Roman"/>
      <w:color w:val="auto"/>
    </w:rPr>
  </w:style>
  <w:style w:type="character" w:customStyle="1" w:styleId="Char1CharChar1">
    <w:name w:val="Char1 Char Char1"/>
    <w:rsid w:val="00424F6A"/>
    <w:rPr>
      <w:sz w:val="24"/>
      <w:lang w:val="en-US" w:eastAsia="en-US" w:bidi="ar-SA"/>
    </w:rPr>
  </w:style>
  <w:style w:type="character" w:customStyle="1" w:styleId="BodyTextCharChar1">
    <w:name w:val="Body Text Char Char1"/>
    <w:rsid w:val="00424F6A"/>
    <w:rPr>
      <w:iCs/>
      <w:sz w:val="24"/>
      <w:lang w:val="en-US" w:eastAsia="en-US" w:bidi="ar-SA"/>
    </w:rPr>
  </w:style>
  <w:style w:type="paragraph" w:customStyle="1" w:styleId="ListSub2">
    <w:name w:val="List Sub+2"/>
    <w:basedOn w:val="Default"/>
    <w:next w:val="Default"/>
    <w:rsid w:val="00424F6A"/>
    <w:pPr>
      <w:spacing w:after="240"/>
    </w:pPr>
    <w:rPr>
      <w:rFonts w:ascii="Times New Roman" w:hAnsi="Times New Roman" w:cs="Times New Roman"/>
      <w:color w:val="auto"/>
    </w:rPr>
  </w:style>
  <w:style w:type="character" w:customStyle="1" w:styleId="BodyText1Char">
    <w:name w:val="Body Text1 Char"/>
    <w:aliases w:val=" Char11 Char, Char Char Char Char Char Char Char Char Char Char Char Char Char Char Char Char Char Char Char Char Char Char Char Char"/>
    <w:rsid w:val="00424F6A"/>
    <w:rPr>
      <w:iCs/>
      <w:sz w:val="24"/>
      <w:lang w:val="en-US" w:eastAsia="en-US" w:bidi="ar-SA"/>
    </w:rPr>
  </w:style>
  <w:style w:type="character" w:customStyle="1" w:styleId="Char1Char1">
    <w:name w:val="Char1 Char1"/>
    <w:rsid w:val="00424F6A"/>
    <w:rPr>
      <w:sz w:val="24"/>
      <w:lang w:val="en-US" w:eastAsia="en-US" w:bidi="ar-SA"/>
    </w:rPr>
  </w:style>
  <w:style w:type="paragraph" w:customStyle="1" w:styleId="H">
    <w:name w:val="H%"/>
    <w:basedOn w:val="H4"/>
    <w:rsid w:val="00424F6A"/>
    <w:rPr>
      <w:szCs w:val="24"/>
    </w:rPr>
  </w:style>
  <w:style w:type="character" w:styleId="FootnoteReference">
    <w:name w:val="footnote reference"/>
    <w:rsid w:val="00424F6A"/>
    <w:rPr>
      <w:vertAlign w:val="superscript"/>
    </w:rPr>
  </w:style>
  <w:style w:type="paragraph" w:customStyle="1" w:styleId="Style1">
    <w:name w:val="Style1"/>
    <w:basedOn w:val="H5"/>
    <w:rsid w:val="00424F6A"/>
  </w:style>
  <w:style w:type="paragraph" w:customStyle="1" w:styleId="Style2">
    <w:name w:val="Style2"/>
    <w:basedOn w:val="H5"/>
    <w:autoRedefine/>
    <w:rsid w:val="00424F6A"/>
    <w:rPr>
      <w:i w:val="0"/>
    </w:rPr>
  </w:style>
  <w:style w:type="character" w:customStyle="1" w:styleId="msoins0">
    <w:name w:val="msoins"/>
    <w:rsid w:val="00424F6A"/>
    <w:rPr>
      <w:u w:val="single"/>
    </w:rPr>
  </w:style>
  <w:style w:type="paragraph" w:customStyle="1" w:styleId="listintroduction0">
    <w:name w:val="listintroduction"/>
    <w:basedOn w:val="Normal"/>
    <w:rsid w:val="00424F6A"/>
    <w:pPr>
      <w:keepNext/>
      <w:spacing w:after="240"/>
    </w:pPr>
    <w:rPr>
      <w:szCs w:val="24"/>
    </w:rPr>
  </w:style>
  <w:style w:type="paragraph" w:customStyle="1" w:styleId="bodytextnumbered0">
    <w:name w:val="bodytextnumbered"/>
    <w:basedOn w:val="Normal"/>
    <w:rsid w:val="00424F6A"/>
    <w:pPr>
      <w:spacing w:after="240"/>
      <w:ind w:left="720" w:hanging="720"/>
    </w:pPr>
    <w:rPr>
      <w:szCs w:val="24"/>
    </w:rPr>
  </w:style>
  <w:style w:type="paragraph" w:customStyle="1" w:styleId="InstructionsCharCharCharCharCharChar">
    <w:name w:val="Instructions Char Char Char Char Char Char"/>
    <w:basedOn w:val="Normal"/>
    <w:link w:val="InstructionsCharCharCharCharCharCharChar"/>
    <w:rsid w:val="00424F6A"/>
    <w:pPr>
      <w:spacing w:after="240"/>
      <w:ind w:left="720" w:hanging="720"/>
    </w:pPr>
    <w:rPr>
      <w:b/>
      <w:i/>
      <w:iCs/>
      <w:szCs w:val="24"/>
    </w:rPr>
  </w:style>
  <w:style w:type="character" w:customStyle="1" w:styleId="InstructionsCharCharCharCharCharCharChar">
    <w:name w:val="Instructions Char Char Char Char Char Char Char"/>
    <w:link w:val="InstructionsCharCharCharCharCharChar"/>
    <w:rsid w:val="00424F6A"/>
    <w:rPr>
      <w:b/>
      <w:i/>
      <w:iCs/>
      <w:sz w:val="24"/>
      <w:szCs w:val="24"/>
    </w:rPr>
  </w:style>
  <w:style w:type="paragraph" w:customStyle="1" w:styleId="RegularText">
    <w:name w:val="Regular Text"/>
    <w:basedOn w:val="Normal"/>
    <w:rsid w:val="00424F6A"/>
    <w:pPr>
      <w:spacing w:before="120" w:after="120"/>
      <w:ind w:left="432"/>
      <w:jc w:val="both"/>
    </w:pPr>
  </w:style>
  <w:style w:type="character" w:customStyle="1" w:styleId="TextChar">
    <w:name w:val="Text Char"/>
    <w:rsid w:val="00424F6A"/>
    <w:rPr>
      <w:iCs/>
      <w:sz w:val="24"/>
      <w:lang w:val="en-US" w:eastAsia="en-US" w:bidi="ar-SA"/>
    </w:rPr>
  </w:style>
  <w:style w:type="paragraph" w:customStyle="1" w:styleId="Char31">
    <w:name w:val="Char31"/>
    <w:basedOn w:val="Normal"/>
    <w:rsid w:val="00424F6A"/>
    <w:pPr>
      <w:spacing w:after="160" w:line="240" w:lineRule="exact"/>
    </w:pPr>
    <w:rPr>
      <w:rFonts w:ascii="Verdana" w:hAnsi="Verdana"/>
      <w:sz w:val="16"/>
    </w:rPr>
  </w:style>
  <w:style w:type="character" w:styleId="Strong">
    <w:name w:val="Strong"/>
    <w:qFormat/>
    <w:rsid w:val="00424F6A"/>
    <w:rPr>
      <w:b/>
      <w:bCs/>
    </w:rPr>
  </w:style>
  <w:style w:type="character" w:customStyle="1" w:styleId="Heading1Char">
    <w:name w:val="Heading 1 Char"/>
    <w:aliases w:val="h1 Char"/>
    <w:link w:val="Heading1"/>
    <w:locked/>
    <w:rsid w:val="00424F6A"/>
    <w:rPr>
      <w:b/>
      <w:caps/>
      <w:sz w:val="24"/>
    </w:rPr>
  </w:style>
  <w:style w:type="character" w:customStyle="1" w:styleId="FooterChar">
    <w:name w:val="Footer Char"/>
    <w:link w:val="Footer"/>
    <w:uiPriority w:val="99"/>
    <w:rsid w:val="00424F6A"/>
    <w:rPr>
      <w:smallCaps/>
    </w:rPr>
  </w:style>
  <w:style w:type="character" w:customStyle="1" w:styleId="CommentTextChar">
    <w:name w:val="Comment Text Char"/>
    <w:link w:val="CommentText"/>
    <w:uiPriority w:val="99"/>
    <w:locked/>
    <w:rsid w:val="00424F6A"/>
  </w:style>
  <w:style w:type="paragraph" w:styleId="ListParagraph">
    <w:name w:val="List Paragraph"/>
    <w:basedOn w:val="Normal"/>
    <w:uiPriority w:val="34"/>
    <w:qFormat/>
    <w:rsid w:val="00424F6A"/>
    <w:pPr>
      <w:ind w:left="720"/>
      <w:contextualSpacing/>
    </w:pPr>
    <w:rPr>
      <w:szCs w:val="24"/>
    </w:rPr>
  </w:style>
  <w:style w:type="character" w:styleId="PlaceholderText">
    <w:name w:val="Placeholder Text"/>
    <w:uiPriority w:val="99"/>
    <w:semiHidden/>
    <w:rsid w:val="00424F6A"/>
    <w:rPr>
      <w:color w:val="808080"/>
    </w:rPr>
  </w:style>
  <w:style w:type="character" w:customStyle="1" w:styleId="Heading2Char">
    <w:name w:val="Heading 2 Char"/>
    <w:aliases w:val="h2 Char"/>
    <w:link w:val="Heading2"/>
    <w:rsid w:val="00424F6A"/>
    <w:rPr>
      <w:b/>
      <w:sz w:val="24"/>
    </w:rPr>
  </w:style>
  <w:style w:type="character" w:customStyle="1" w:styleId="Heading7Char">
    <w:name w:val="Heading 7 Char"/>
    <w:link w:val="Heading7"/>
    <w:uiPriority w:val="99"/>
    <w:rsid w:val="00424F6A"/>
    <w:rPr>
      <w:sz w:val="24"/>
      <w:szCs w:val="24"/>
    </w:rPr>
  </w:style>
  <w:style w:type="character" w:customStyle="1" w:styleId="Heading8Char">
    <w:name w:val="Heading 8 Char"/>
    <w:link w:val="Heading8"/>
    <w:uiPriority w:val="99"/>
    <w:rsid w:val="00424F6A"/>
    <w:rPr>
      <w:i/>
      <w:iCs/>
      <w:sz w:val="24"/>
      <w:szCs w:val="24"/>
    </w:rPr>
  </w:style>
  <w:style w:type="character" w:customStyle="1" w:styleId="Heading9Char">
    <w:name w:val="Heading 9 Char"/>
    <w:link w:val="Heading9"/>
    <w:uiPriority w:val="99"/>
    <w:rsid w:val="00424F6A"/>
    <w:rPr>
      <w:b/>
      <w:sz w:val="24"/>
      <w:szCs w:val="24"/>
    </w:rPr>
  </w:style>
  <w:style w:type="character" w:customStyle="1" w:styleId="FootnoteTextChar">
    <w:name w:val="Footnote Text Char"/>
    <w:link w:val="FootnoteText"/>
    <w:uiPriority w:val="99"/>
    <w:semiHidden/>
    <w:rsid w:val="00424F6A"/>
    <w:rPr>
      <w:sz w:val="18"/>
    </w:rPr>
  </w:style>
  <w:style w:type="character" w:customStyle="1" w:styleId="BalloonTextChar">
    <w:name w:val="Balloon Text Char"/>
    <w:link w:val="BalloonText"/>
    <w:uiPriority w:val="99"/>
    <w:semiHidden/>
    <w:rsid w:val="00424F6A"/>
    <w:rPr>
      <w:rFonts w:ascii="Tahoma" w:hAnsi="Tahoma" w:cs="Tahoma"/>
      <w:sz w:val="16"/>
      <w:szCs w:val="16"/>
    </w:rPr>
  </w:style>
  <w:style w:type="character" w:customStyle="1" w:styleId="CommentSubjectChar">
    <w:name w:val="Comment Subject Char"/>
    <w:link w:val="CommentSubject"/>
    <w:uiPriority w:val="99"/>
    <w:semiHidden/>
    <w:rsid w:val="00424F6A"/>
    <w:rPr>
      <w:b/>
      <w:bCs/>
    </w:rPr>
  </w:style>
  <w:style w:type="character" w:styleId="UnresolvedMention">
    <w:name w:val="Unresolved Mention"/>
    <w:uiPriority w:val="99"/>
    <w:semiHidden/>
    <w:unhideWhenUsed/>
    <w:rsid w:val="00D24933"/>
    <w:rPr>
      <w:color w:val="605E5C"/>
      <w:shd w:val="clear" w:color="auto" w:fill="E1DFDD"/>
    </w:rPr>
  </w:style>
  <w:style w:type="paragraph" w:customStyle="1" w:styleId="msonormal0">
    <w:name w:val="msonormal"/>
    <w:basedOn w:val="Normal"/>
    <w:uiPriority w:val="99"/>
    <w:rsid w:val="00D24933"/>
    <w:pPr>
      <w:spacing w:before="100" w:beforeAutospacing="1" w:after="100" w:afterAutospacing="1"/>
    </w:pPr>
    <w:rPr>
      <w:szCs w:val="24"/>
    </w:rPr>
  </w:style>
  <w:style w:type="table" w:customStyle="1" w:styleId="FormulaVariableTable1">
    <w:name w:val="Formula Variable Table1"/>
    <w:basedOn w:val="TableNormal"/>
    <w:rsid w:val="00D24933"/>
    <w:tblPr>
      <w:tblInd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cs="Times New Roman" w:hint="default"/>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992">
      <w:bodyDiv w:val="1"/>
      <w:marLeft w:val="0"/>
      <w:marRight w:val="0"/>
      <w:marTop w:val="0"/>
      <w:marBottom w:val="0"/>
      <w:divBdr>
        <w:top w:val="none" w:sz="0" w:space="0" w:color="auto"/>
        <w:left w:val="none" w:sz="0" w:space="0" w:color="auto"/>
        <w:bottom w:val="none" w:sz="0" w:space="0" w:color="auto"/>
        <w:right w:val="none" w:sz="0" w:space="0" w:color="auto"/>
      </w:divBdr>
    </w:div>
    <w:div w:id="636960974">
      <w:bodyDiv w:val="1"/>
      <w:marLeft w:val="0"/>
      <w:marRight w:val="0"/>
      <w:marTop w:val="0"/>
      <w:marBottom w:val="0"/>
      <w:divBdr>
        <w:top w:val="none" w:sz="0" w:space="0" w:color="auto"/>
        <w:left w:val="none" w:sz="0" w:space="0" w:color="auto"/>
        <w:bottom w:val="none" w:sz="0" w:space="0" w:color="auto"/>
        <w:right w:val="none" w:sz="0" w:space="0" w:color="auto"/>
      </w:divBdr>
    </w:div>
    <w:div w:id="664673393">
      <w:bodyDiv w:val="1"/>
      <w:marLeft w:val="0"/>
      <w:marRight w:val="0"/>
      <w:marTop w:val="0"/>
      <w:marBottom w:val="0"/>
      <w:divBdr>
        <w:top w:val="none" w:sz="0" w:space="0" w:color="auto"/>
        <w:left w:val="none" w:sz="0" w:space="0" w:color="auto"/>
        <w:bottom w:val="none" w:sz="0" w:space="0" w:color="auto"/>
        <w:right w:val="none" w:sz="0" w:space="0" w:color="auto"/>
      </w:divBdr>
    </w:div>
    <w:div w:id="864828143">
      <w:bodyDiv w:val="1"/>
      <w:marLeft w:val="0"/>
      <w:marRight w:val="0"/>
      <w:marTop w:val="0"/>
      <w:marBottom w:val="0"/>
      <w:divBdr>
        <w:top w:val="none" w:sz="0" w:space="0" w:color="auto"/>
        <w:left w:val="none" w:sz="0" w:space="0" w:color="auto"/>
        <w:bottom w:val="none" w:sz="0" w:space="0" w:color="auto"/>
        <w:right w:val="none" w:sz="0" w:space="0" w:color="auto"/>
      </w:divBdr>
    </w:div>
    <w:div w:id="980690072">
      <w:bodyDiv w:val="1"/>
      <w:marLeft w:val="0"/>
      <w:marRight w:val="0"/>
      <w:marTop w:val="0"/>
      <w:marBottom w:val="0"/>
      <w:divBdr>
        <w:top w:val="none" w:sz="0" w:space="0" w:color="auto"/>
        <w:left w:val="none" w:sz="0" w:space="0" w:color="auto"/>
        <w:bottom w:val="none" w:sz="0" w:space="0" w:color="auto"/>
        <w:right w:val="none" w:sz="0" w:space="0" w:color="auto"/>
      </w:divBdr>
    </w:div>
    <w:div w:id="987514768">
      <w:bodyDiv w:val="1"/>
      <w:marLeft w:val="0"/>
      <w:marRight w:val="0"/>
      <w:marTop w:val="0"/>
      <w:marBottom w:val="0"/>
      <w:divBdr>
        <w:top w:val="none" w:sz="0" w:space="0" w:color="auto"/>
        <w:left w:val="none" w:sz="0" w:space="0" w:color="auto"/>
        <w:bottom w:val="none" w:sz="0" w:space="0" w:color="auto"/>
        <w:right w:val="none" w:sz="0" w:space="0" w:color="auto"/>
      </w:divBdr>
    </w:div>
    <w:div w:id="1203639302">
      <w:bodyDiv w:val="1"/>
      <w:marLeft w:val="0"/>
      <w:marRight w:val="0"/>
      <w:marTop w:val="0"/>
      <w:marBottom w:val="0"/>
      <w:divBdr>
        <w:top w:val="none" w:sz="0" w:space="0" w:color="auto"/>
        <w:left w:val="none" w:sz="0" w:space="0" w:color="auto"/>
        <w:bottom w:val="none" w:sz="0" w:space="0" w:color="auto"/>
        <w:right w:val="none" w:sz="0" w:space="0" w:color="auto"/>
      </w:divBdr>
    </w:div>
    <w:div w:id="1338381841">
      <w:bodyDiv w:val="1"/>
      <w:marLeft w:val="0"/>
      <w:marRight w:val="0"/>
      <w:marTop w:val="0"/>
      <w:marBottom w:val="0"/>
      <w:divBdr>
        <w:top w:val="none" w:sz="0" w:space="0" w:color="auto"/>
        <w:left w:val="none" w:sz="0" w:space="0" w:color="auto"/>
        <w:bottom w:val="none" w:sz="0" w:space="0" w:color="auto"/>
        <w:right w:val="none" w:sz="0" w:space="0" w:color="auto"/>
      </w:divBdr>
    </w:div>
    <w:div w:id="1379475329">
      <w:bodyDiv w:val="1"/>
      <w:marLeft w:val="0"/>
      <w:marRight w:val="0"/>
      <w:marTop w:val="0"/>
      <w:marBottom w:val="0"/>
      <w:divBdr>
        <w:top w:val="none" w:sz="0" w:space="0" w:color="auto"/>
        <w:left w:val="none" w:sz="0" w:space="0" w:color="auto"/>
        <w:bottom w:val="none" w:sz="0" w:space="0" w:color="auto"/>
        <w:right w:val="none" w:sz="0" w:space="0" w:color="auto"/>
      </w:divBdr>
    </w:div>
    <w:div w:id="1650865610">
      <w:bodyDiv w:val="1"/>
      <w:marLeft w:val="0"/>
      <w:marRight w:val="0"/>
      <w:marTop w:val="0"/>
      <w:marBottom w:val="0"/>
      <w:divBdr>
        <w:top w:val="none" w:sz="0" w:space="0" w:color="auto"/>
        <w:left w:val="none" w:sz="0" w:space="0" w:color="auto"/>
        <w:bottom w:val="none" w:sz="0" w:space="0" w:color="auto"/>
        <w:right w:val="none" w:sz="0" w:space="0" w:color="auto"/>
      </w:divBdr>
    </w:div>
    <w:div w:id="1680086970">
      <w:bodyDiv w:val="1"/>
      <w:marLeft w:val="0"/>
      <w:marRight w:val="0"/>
      <w:marTop w:val="0"/>
      <w:marBottom w:val="0"/>
      <w:divBdr>
        <w:top w:val="none" w:sz="0" w:space="0" w:color="auto"/>
        <w:left w:val="none" w:sz="0" w:space="0" w:color="auto"/>
        <w:bottom w:val="none" w:sz="0" w:space="0" w:color="auto"/>
        <w:right w:val="none" w:sz="0" w:space="0" w:color="auto"/>
      </w:divBdr>
    </w:div>
    <w:div w:id="1809781796">
      <w:bodyDiv w:val="1"/>
      <w:marLeft w:val="0"/>
      <w:marRight w:val="0"/>
      <w:marTop w:val="0"/>
      <w:marBottom w:val="0"/>
      <w:divBdr>
        <w:top w:val="none" w:sz="0" w:space="0" w:color="auto"/>
        <w:left w:val="none" w:sz="0" w:space="0" w:color="auto"/>
        <w:bottom w:val="none" w:sz="0" w:space="0" w:color="auto"/>
        <w:right w:val="none" w:sz="0" w:space="0" w:color="auto"/>
      </w:divBdr>
    </w:div>
    <w:div w:id="1992176344">
      <w:bodyDiv w:val="1"/>
      <w:marLeft w:val="0"/>
      <w:marRight w:val="0"/>
      <w:marTop w:val="0"/>
      <w:marBottom w:val="0"/>
      <w:divBdr>
        <w:top w:val="none" w:sz="0" w:space="0" w:color="auto"/>
        <w:left w:val="none" w:sz="0" w:space="0" w:color="auto"/>
        <w:bottom w:val="none" w:sz="0" w:space="0" w:color="auto"/>
        <w:right w:val="none" w:sz="0" w:space="0" w:color="auto"/>
      </w:divBdr>
    </w:div>
    <w:div w:id="20626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1C743-FB30-4103-AB2B-C03F65E8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3</TotalTime>
  <Pages>16</Pages>
  <Words>5624</Words>
  <Characters>31834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37384</CharactersWithSpaces>
  <SharedDoc>false</SharedDoc>
  <HLinks>
    <vt:vector size="96" baseType="variant">
      <vt:variant>
        <vt:i4>1572921</vt:i4>
      </vt:variant>
      <vt:variant>
        <vt:i4>92</vt:i4>
      </vt:variant>
      <vt:variant>
        <vt:i4>0</vt:i4>
      </vt:variant>
      <vt:variant>
        <vt:i4>5</vt:i4>
      </vt:variant>
      <vt:variant>
        <vt:lpwstr/>
      </vt:variant>
      <vt:variant>
        <vt:lpwstr>_Toc89333411</vt:lpwstr>
      </vt:variant>
      <vt:variant>
        <vt:i4>1638457</vt:i4>
      </vt:variant>
      <vt:variant>
        <vt:i4>86</vt:i4>
      </vt:variant>
      <vt:variant>
        <vt:i4>0</vt:i4>
      </vt:variant>
      <vt:variant>
        <vt:i4>5</vt:i4>
      </vt:variant>
      <vt:variant>
        <vt:lpwstr/>
      </vt:variant>
      <vt:variant>
        <vt:lpwstr>_Toc89333410</vt:lpwstr>
      </vt:variant>
      <vt:variant>
        <vt:i4>1048632</vt:i4>
      </vt:variant>
      <vt:variant>
        <vt:i4>80</vt:i4>
      </vt:variant>
      <vt:variant>
        <vt:i4>0</vt:i4>
      </vt:variant>
      <vt:variant>
        <vt:i4>5</vt:i4>
      </vt:variant>
      <vt:variant>
        <vt:lpwstr/>
      </vt:variant>
      <vt:variant>
        <vt:lpwstr>_Toc89333409</vt:lpwstr>
      </vt:variant>
      <vt:variant>
        <vt:i4>1114168</vt:i4>
      </vt:variant>
      <vt:variant>
        <vt:i4>74</vt:i4>
      </vt:variant>
      <vt:variant>
        <vt:i4>0</vt:i4>
      </vt:variant>
      <vt:variant>
        <vt:i4>5</vt:i4>
      </vt:variant>
      <vt:variant>
        <vt:lpwstr/>
      </vt:variant>
      <vt:variant>
        <vt:lpwstr>_Toc89333408</vt:lpwstr>
      </vt:variant>
      <vt:variant>
        <vt:i4>1966136</vt:i4>
      </vt:variant>
      <vt:variant>
        <vt:i4>68</vt:i4>
      </vt:variant>
      <vt:variant>
        <vt:i4>0</vt:i4>
      </vt:variant>
      <vt:variant>
        <vt:i4>5</vt:i4>
      </vt:variant>
      <vt:variant>
        <vt:lpwstr/>
      </vt:variant>
      <vt:variant>
        <vt:lpwstr>_Toc89333407</vt:lpwstr>
      </vt:variant>
      <vt:variant>
        <vt:i4>2031672</vt:i4>
      </vt:variant>
      <vt:variant>
        <vt:i4>62</vt:i4>
      </vt:variant>
      <vt:variant>
        <vt:i4>0</vt:i4>
      </vt:variant>
      <vt:variant>
        <vt:i4>5</vt:i4>
      </vt:variant>
      <vt:variant>
        <vt:lpwstr/>
      </vt:variant>
      <vt:variant>
        <vt:lpwstr>_Toc89333406</vt:lpwstr>
      </vt:variant>
      <vt:variant>
        <vt:i4>1835064</vt:i4>
      </vt:variant>
      <vt:variant>
        <vt:i4>56</vt:i4>
      </vt:variant>
      <vt:variant>
        <vt:i4>0</vt:i4>
      </vt:variant>
      <vt:variant>
        <vt:i4>5</vt:i4>
      </vt:variant>
      <vt:variant>
        <vt:lpwstr/>
      </vt:variant>
      <vt:variant>
        <vt:lpwstr>_Toc89333405</vt:lpwstr>
      </vt:variant>
      <vt:variant>
        <vt:i4>1900600</vt:i4>
      </vt:variant>
      <vt:variant>
        <vt:i4>50</vt:i4>
      </vt:variant>
      <vt:variant>
        <vt:i4>0</vt:i4>
      </vt:variant>
      <vt:variant>
        <vt:i4>5</vt:i4>
      </vt:variant>
      <vt:variant>
        <vt:lpwstr/>
      </vt:variant>
      <vt:variant>
        <vt:lpwstr>_Toc89333404</vt:lpwstr>
      </vt:variant>
      <vt:variant>
        <vt:i4>1769528</vt:i4>
      </vt:variant>
      <vt:variant>
        <vt:i4>44</vt:i4>
      </vt:variant>
      <vt:variant>
        <vt:i4>0</vt:i4>
      </vt:variant>
      <vt:variant>
        <vt:i4>5</vt:i4>
      </vt:variant>
      <vt:variant>
        <vt:lpwstr/>
      </vt:variant>
      <vt:variant>
        <vt:lpwstr>_Toc89333402</vt:lpwstr>
      </vt:variant>
      <vt:variant>
        <vt:i4>1638449</vt:i4>
      </vt:variant>
      <vt:variant>
        <vt:i4>38</vt:i4>
      </vt:variant>
      <vt:variant>
        <vt:i4>0</vt:i4>
      </vt:variant>
      <vt:variant>
        <vt:i4>5</vt:i4>
      </vt:variant>
      <vt:variant>
        <vt:lpwstr/>
      </vt:variant>
      <vt:variant>
        <vt:lpwstr>_Toc89333397</vt:lpwstr>
      </vt:variant>
      <vt:variant>
        <vt:i4>1572913</vt:i4>
      </vt:variant>
      <vt:variant>
        <vt:i4>32</vt:i4>
      </vt:variant>
      <vt:variant>
        <vt:i4>0</vt:i4>
      </vt:variant>
      <vt:variant>
        <vt:i4>5</vt:i4>
      </vt:variant>
      <vt:variant>
        <vt:lpwstr/>
      </vt:variant>
      <vt:variant>
        <vt:lpwstr>_Toc89333396</vt:lpwstr>
      </vt:variant>
      <vt:variant>
        <vt:i4>1769521</vt:i4>
      </vt:variant>
      <vt:variant>
        <vt:i4>26</vt:i4>
      </vt:variant>
      <vt:variant>
        <vt:i4>0</vt:i4>
      </vt:variant>
      <vt:variant>
        <vt:i4>5</vt:i4>
      </vt:variant>
      <vt:variant>
        <vt:lpwstr/>
      </vt:variant>
      <vt:variant>
        <vt:lpwstr>_Toc89333395</vt:lpwstr>
      </vt:variant>
      <vt:variant>
        <vt:i4>1703985</vt:i4>
      </vt:variant>
      <vt:variant>
        <vt:i4>20</vt:i4>
      </vt:variant>
      <vt:variant>
        <vt:i4>0</vt:i4>
      </vt:variant>
      <vt:variant>
        <vt:i4>5</vt:i4>
      </vt:variant>
      <vt:variant>
        <vt:lpwstr/>
      </vt:variant>
      <vt:variant>
        <vt:lpwstr>_Toc89333394</vt:lpwstr>
      </vt:variant>
      <vt:variant>
        <vt:i4>1900593</vt:i4>
      </vt:variant>
      <vt:variant>
        <vt:i4>14</vt:i4>
      </vt:variant>
      <vt:variant>
        <vt:i4>0</vt:i4>
      </vt:variant>
      <vt:variant>
        <vt:i4>5</vt:i4>
      </vt:variant>
      <vt:variant>
        <vt:lpwstr/>
      </vt:variant>
      <vt:variant>
        <vt:lpwstr>_Toc89333393</vt:lpwstr>
      </vt:variant>
      <vt:variant>
        <vt:i4>1835057</vt:i4>
      </vt:variant>
      <vt:variant>
        <vt:i4>8</vt:i4>
      </vt:variant>
      <vt:variant>
        <vt:i4>0</vt:i4>
      </vt:variant>
      <vt:variant>
        <vt:i4>5</vt:i4>
      </vt:variant>
      <vt:variant>
        <vt:lpwstr/>
      </vt:variant>
      <vt:variant>
        <vt:lpwstr>_Toc89333392</vt:lpwstr>
      </vt:variant>
      <vt:variant>
        <vt:i4>2031665</vt:i4>
      </vt:variant>
      <vt:variant>
        <vt:i4>2</vt:i4>
      </vt:variant>
      <vt:variant>
        <vt:i4>0</vt:i4>
      </vt:variant>
      <vt:variant>
        <vt:i4>5</vt:i4>
      </vt:variant>
      <vt:variant>
        <vt:lpwstr/>
      </vt:variant>
      <vt:variant>
        <vt:lpwstr>_Toc89333391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ERCOT 041724</cp:lastModifiedBy>
  <cp:revision>3</cp:revision>
  <cp:lastPrinted>2019-02-26T20:05:00Z</cp:lastPrinted>
  <dcterms:created xsi:type="dcterms:W3CDTF">2023-07-28T14:11:00Z</dcterms:created>
  <dcterms:modified xsi:type="dcterms:W3CDTF">2024-04-18T18:48:00Z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2023-07-27T15:26:02Z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893e3cc1-9ea8-4765-9b52-34e5b1f24ccd</vt:lpwstr>
  </property>
  <property fmtid="{D5CDD505-2E9C-101B-9397-08002B2CF9AE}" pid="8" name="MSIP_Label_7084cbda-52b8-46fb-a7b7-cb5bd465ed85_ContentBits">
    <vt:lpwstr>0</vt:lpwstr>
  </property>
</Properties>
</file>