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BFA5E6" w14:textId="77777777" w:rsidR="0025427A" w:rsidRDefault="0025427A" w:rsidP="0025427A">
      <w:pPr>
        <w:spacing w:before="2400"/>
        <w:jc w:val="center"/>
        <w:rPr>
          <w:b/>
          <w:sz w:val="36"/>
          <w:szCs w:val="36"/>
        </w:rPr>
      </w:pPr>
      <w:r>
        <w:rPr>
          <w:b/>
          <w:sz w:val="36"/>
          <w:szCs w:val="36"/>
        </w:rPr>
        <w:t>ERCOT Nodal Protocols</w:t>
      </w:r>
    </w:p>
    <w:p w14:paraId="214C2519" w14:textId="77777777" w:rsidR="0025427A" w:rsidRDefault="0025427A" w:rsidP="0025427A">
      <w:pPr>
        <w:jc w:val="center"/>
        <w:rPr>
          <w:b/>
          <w:sz w:val="36"/>
          <w:szCs w:val="36"/>
        </w:rPr>
      </w:pPr>
    </w:p>
    <w:p w14:paraId="013800EF" w14:textId="77777777" w:rsidR="0025427A" w:rsidRDefault="0025427A" w:rsidP="0025427A">
      <w:pPr>
        <w:spacing w:after="240"/>
        <w:jc w:val="center"/>
        <w:rPr>
          <w:b/>
          <w:sz w:val="22"/>
          <w:szCs w:val="22"/>
        </w:rPr>
      </w:pPr>
      <w:r>
        <w:rPr>
          <w:b/>
          <w:sz w:val="36"/>
          <w:szCs w:val="36"/>
        </w:rPr>
        <w:t xml:space="preserve">Section 27:  </w:t>
      </w:r>
      <w:r w:rsidRPr="00D24933">
        <w:rPr>
          <w:b/>
          <w:sz w:val="36"/>
          <w:szCs w:val="36"/>
        </w:rPr>
        <w:t xml:space="preserve">Securitization </w:t>
      </w:r>
      <w:r>
        <w:rPr>
          <w:b/>
          <w:sz w:val="36"/>
          <w:szCs w:val="36"/>
        </w:rPr>
        <w:t>Uplift</w:t>
      </w:r>
      <w:r w:rsidRPr="00D24933">
        <w:rPr>
          <w:b/>
          <w:sz w:val="36"/>
          <w:szCs w:val="36"/>
        </w:rPr>
        <w:t xml:space="preserve"> Charges</w:t>
      </w:r>
    </w:p>
    <w:p w14:paraId="5C8883ED" w14:textId="70125D84" w:rsidR="0025427A" w:rsidRDefault="00205E61" w:rsidP="0025427A">
      <w:pPr>
        <w:spacing w:before="360"/>
        <w:jc w:val="center"/>
        <w:rPr>
          <w:b/>
          <w:szCs w:val="24"/>
        </w:rPr>
      </w:pPr>
      <w:r>
        <w:rPr>
          <w:b/>
          <w:szCs w:val="24"/>
        </w:rPr>
        <w:t>August</w:t>
      </w:r>
      <w:r w:rsidR="0025427A">
        <w:rPr>
          <w:b/>
          <w:szCs w:val="24"/>
        </w:rPr>
        <w:t xml:space="preserve"> 1, 202</w:t>
      </w:r>
      <w:r>
        <w:rPr>
          <w:b/>
          <w:szCs w:val="24"/>
        </w:rPr>
        <w:t>3</w:t>
      </w:r>
    </w:p>
    <w:p w14:paraId="7C39F04A" w14:textId="77777777" w:rsidR="0025427A" w:rsidRDefault="0025427A" w:rsidP="0025427A">
      <w:pPr>
        <w:spacing w:before="360"/>
        <w:jc w:val="center"/>
        <w:rPr>
          <w:b/>
        </w:rPr>
      </w:pPr>
    </w:p>
    <w:p w14:paraId="55C44057" w14:textId="77777777" w:rsidR="0025427A" w:rsidRDefault="0025427A" w:rsidP="0025427A">
      <w:pPr>
        <w:pBdr>
          <w:top w:val="single" w:sz="4" w:space="1" w:color="auto"/>
        </w:pBdr>
        <w:rPr>
          <w:b/>
          <w:sz w:val="20"/>
        </w:rPr>
      </w:pPr>
    </w:p>
    <w:p w14:paraId="64E53460" w14:textId="77777777" w:rsidR="0025427A" w:rsidRDefault="0025427A" w:rsidP="0025427A">
      <w:pPr>
        <w:pStyle w:val="TOC1"/>
      </w:pPr>
    </w:p>
    <w:p w14:paraId="481740DC" w14:textId="77777777" w:rsidR="0025427A" w:rsidRDefault="0025427A" w:rsidP="0025427A">
      <w:pPr>
        <w:pStyle w:val="TOC1"/>
        <w:sectPr w:rsidR="0025427A">
          <w:headerReference w:type="default" r:id="rId8"/>
          <w:footerReference w:type="default" r:id="rId9"/>
          <w:headerReference w:type="first" r:id="rId10"/>
          <w:footerReference w:type="first" r:id="rId11"/>
          <w:pgSz w:w="12240" w:h="15840" w:code="1"/>
          <w:pgMar w:top="1440" w:right="1440" w:bottom="1440" w:left="1440" w:header="720" w:footer="720" w:gutter="0"/>
          <w:pgNumType w:start="1" w:chapStyle="1"/>
          <w:cols w:space="720"/>
          <w:titlePg/>
        </w:sectPr>
      </w:pPr>
    </w:p>
    <w:p w14:paraId="062ABED5" w14:textId="44E33B11" w:rsidR="00D64683" w:rsidRDefault="0025427A">
      <w:pPr>
        <w:pStyle w:val="TOC1"/>
        <w:rPr>
          <w:rFonts w:asciiTheme="minorHAnsi" w:eastAsiaTheme="minorEastAsia" w:hAnsiTheme="minorHAnsi" w:cstheme="minorBidi"/>
          <w:b w:val="0"/>
          <w:bCs w:val="0"/>
          <w:sz w:val="22"/>
          <w:szCs w:val="22"/>
        </w:rPr>
      </w:pPr>
      <w:r w:rsidRPr="00424F6A">
        <w:rPr>
          <w:iCs/>
        </w:rPr>
        <w:lastRenderedPageBreak/>
        <w:fldChar w:fldCharType="begin"/>
      </w:r>
      <w:r w:rsidRPr="00424F6A">
        <w:rPr>
          <w:iCs/>
        </w:rPr>
        <w:instrText xml:space="preserve"> TOC \o "1-5" \h \z \u </w:instrText>
      </w:r>
      <w:r w:rsidRPr="00424F6A">
        <w:rPr>
          <w:iCs/>
        </w:rPr>
        <w:fldChar w:fldCharType="separate"/>
      </w:r>
      <w:hyperlink w:anchor="_Toc141427994" w:history="1">
        <w:r w:rsidR="00D64683" w:rsidRPr="00CB7786">
          <w:rPr>
            <w:rStyle w:val="Hyperlink"/>
          </w:rPr>
          <w:t>27</w:t>
        </w:r>
        <w:r w:rsidR="00D64683">
          <w:rPr>
            <w:rFonts w:asciiTheme="minorHAnsi" w:eastAsiaTheme="minorEastAsia" w:hAnsiTheme="minorHAnsi" w:cstheme="minorBidi"/>
            <w:b w:val="0"/>
            <w:bCs w:val="0"/>
            <w:sz w:val="22"/>
            <w:szCs w:val="22"/>
          </w:rPr>
          <w:tab/>
        </w:r>
        <w:r w:rsidR="00D64683" w:rsidRPr="00CB7786">
          <w:rPr>
            <w:rStyle w:val="Hyperlink"/>
          </w:rPr>
          <w:t>Securitization Uplift Charges</w:t>
        </w:r>
        <w:r w:rsidR="00D64683">
          <w:rPr>
            <w:webHidden/>
          </w:rPr>
          <w:tab/>
        </w:r>
        <w:r w:rsidR="00D64683">
          <w:rPr>
            <w:webHidden/>
          </w:rPr>
          <w:fldChar w:fldCharType="begin"/>
        </w:r>
        <w:r w:rsidR="00D64683">
          <w:rPr>
            <w:webHidden/>
          </w:rPr>
          <w:instrText xml:space="preserve"> PAGEREF _Toc141427994 \h </w:instrText>
        </w:r>
        <w:r w:rsidR="00D64683">
          <w:rPr>
            <w:webHidden/>
          </w:rPr>
        </w:r>
        <w:r w:rsidR="00D64683">
          <w:rPr>
            <w:webHidden/>
          </w:rPr>
          <w:fldChar w:fldCharType="separate"/>
        </w:r>
        <w:r w:rsidR="00D64683">
          <w:rPr>
            <w:webHidden/>
          </w:rPr>
          <w:t>27-1</w:t>
        </w:r>
        <w:r w:rsidR="00D64683">
          <w:rPr>
            <w:webHidden/>
          </w:rPr>
          <w:fldChar w:fldCharType="end"/>
        </w:r>
      </w:hyperlink>
    </w:p>
    <w:p w14:paraId="30E7A11C" w14:textId="1D70834A" w:rsidR="00D64683" w:rsidRPr="00D64683" w:rsidRDefault="00D64683">
      <w:pPr>
        <w:pStyle w:val="TOC2"/>
        <w:rPr>
          <w:rFonts w:asciiTheme="minorHAnsi" w:eastAsiaTheme="minorEastAsia" w:hAnsiTheme="minorHAnsi" w:cstheme="minorBidi"/>
          <w:noProof/>
          <w:sz w:val="22"/>
          <w:szCs w:val="22"/>
        </w:rPr>
      </w:pPr>
      <w:hyperlink w:anchor="_Toc141427995" w:history="1">
        <w:r w:rsidRPr="00D64683">
          <w:rPr>
            <w:rStyle w:val="Hyperlink"/>
            <w:rFonts w:eastAsia="MS Mincho"/>
            <w:noProof/>
          </w:rPr>
          <w:t>27.1</w:t>
        </w:r>
        <w:r w:rsidRPr="00D64683">
          <w:rPr>
            <w:rFonts w:asciiTheme="minorHAnsi" w:eastAsiaTheme="minorEastAsia" w:hAnsiTheme="minorHAnsi" w:cstheme="minorBidi"/>
            <w:noProof/>
            <w:sz w:val="22"/>
            <w:szCs w:val="22"/>
          </w:rPr>
          <w:tab/>
        </w:r>
        <w:r w:rsidRPr="00D64683">
          <w:rPr>
            <w:rStyle w:val="Hyperlink"/>
            <w:noProof/>
          </w:rPr>
          <w:t>Overview</w:t>
        </w:r>
        <w:r w:rsidRPr="00D64683">
          <w:rPr>
            <w:noProof/>
            <w:webHidden/>
          </w:rPr>
          <w:tab/>
        </w:r>
        <w:r w:rsidRPr="00D64683">
          <w:rPr>
            <w:noProof/>
            <w:webHidden/>
          </w:rPr>
          <w:fldChar w:fldCharType="begin"/>
        </w:r>
        <w:r w:rsidRPr="00D64683">
          <w:rPr>
            <w:noProof/>
            <w:webHidden/>
          </w:rPr>
          <w:instrText xml:space="preserve"> PAGEREF _Toc141427995 \h </w:instrText>
        </w:r>
        <w:r w:rsidRPr="00D64683">
          <w:rPr>
            <w:noProof/>
            <w:webHidden/>
          </w:rPr>
        </w:r>
        <w:r w:rsidRPr="00D64683">
          <w:rPr>
            <w:noProof/>
            <w:webHidden/>
          </w:rPr>
          <w:fldChar w:fldCharType="separate"/>
        </w:r>
        <w:r w:rsidRPr="00D64683">
          <w:rPr>
            <w:noProof/>
            <w:webHidden/>
          </w:rPr>
          <w:t>27-1</w:t>
        </w:r>
        <w:r w:rsidRPr="00D64683">
          <w:rPr>
            <w:noProof/>
            <w:webHidden/>
          </w:rPr>
          <w:fldChar w:fldCharType="end"/>
        </w:r>
      </w:hyperlink>
    </w:p>
    <w:p w14:paraId="411C7DB2" w14:textId="740FD067" w:rsidR="00D64683" w:rsidRPr="00D64683" w:rsidRDefault="00D64683">
      <w:pPr>
        <w:pStyle w:val="TOC2"/>
        <w:rPr>
          <w:rFonts w:asciiTheme="minorHAnsi" w:eastAsiaTheme="minorEastAsia" w:hAnsiTheme="minorHAnsi" w:cstheme="minorBidi"/>
          <w:noProof/>
          <w:sz w:val="22"/>
          <w:szCs w:val="22"/>
        </w:rPr>
      </w:pPr>
      <w:hyperlink w:anchor="_Toc141427996" w:history="1">
        <w:r w:rsidRPr="00D64683">
          <w:rPr>
            <w:rStyle w:val="Hyperlink"/>
            <w:noProof/>
          </w:rPr>
          <w:t>27.2</w:t>
        </w:r>
        <w:r w:rsidRPr="00D64683">
          <w:rPr>
            <w:rFonts w:asciiTheme="minorHAnsi" w:eastAsiaTheme="minorEastAsia" w:hAnsiTheme="minorHAnsi" w:cstheme="minorBidi"/>
            <w:noProof/>
            <w:sz w:val="22"/>
            <w:szCs w:val="22"/>
          </w:rPr>
          <w:tab/>
        </w:r>
        <w:r w:rsidRPr="00D64683">
          <w:rPr>
            <w:rStyle w:val="Hyperlink"/>
            <w:noProof/>
          </w:rPr>
          <w:t>Changes Involving Securitization Uplift Charge Opt-Out Entities</w:t>
        </w:r>
        <w:r w:rsidRPr="00D64683">
          <w:rPr>
            <w:noProof/>
            <w:webHidden/>
          </w:rPr>
          <w:tab/>
        </w:r>
        <w:r w:rsidRPr="00D64683">
          <w:rPr>
            <w:noProof/>
            <w:webHidden/>
          </w:rPr>
          <w:fldChar w:fldCharType="begin"/>
        </w:r>
        <w:r w:rsidRPr="00D64683">
          <w:rPr>
            <w:noProof/>
            <w:webHidden/>
          </w:rPr>
          <w:instrText xml:space="preserve"> PAGEREF _Toc141427996 \h </w:instrText>
        </w:r>
        <w:r w:rsidRPr="00D64683">
          <w:rPr>
            <w:noProof/>
            <w:webHidden/>
          </w:rPr>
        </w:r>
        <w:r w:rsidRPr="00D64683">
          <w:rPr>
            <w:noProof/>
            <w:webHidden/>
          </w:rPr>
          <w:fldChar w:fldCharType="separate"/>
        </w:r>
        <w:r w:rsidRPr="00D64683">
          <w:rPr>
            <w:noProof/>
            <w:webHidden/>
          </w:rPr>
          <w:t>27-1</w:t>
        </w:r>
        <w:r w:rsidRPr="00D64683">
          <w:rPr>
            <w:noProof/>
            <w:webHidden/>
          </w:rPr>
          <w:fldChar w:fldCharType="end"/>
        </w:r>
      </w:hyperlink>
    </w:p>
    <w:p w14:paraId="7D0EFD49" w14:textId="16C110D2" w:rsidR="00D64683" w:rsidRPr="00D64683" w:rsidRDefault="00D64683">
      <w:pPr>
        <w:pStyle w:val="TOC3"/>
        <w:rPr>
          <w:rFonts w:asciiTheme="minorHAnsi" w:eastAsiaTheme="minorEastAsia" w:hAnsiTheme="minorHAnsi" w:cstheme="minorBidi"/>
          <w:i w:val="0"/>
          <w:iCs w:val="0"/>
          <w:noProof/>
          <w:sz w:val="22"/>
          <w:szCs w:val="22"/>
        </w:rPr>
      </w:pPr>
      <w:hyperlink w:anchor="_Toc141427997" w:history="1">
        <w:r w:rsidRPr="00D64683">
          <w:rPr>
            <w:rStyle w:val="Hyperlink"/>
            <w:i w:val="0"/>
            <w:iCs w:val="0"/>
            <w:noProof/>
          </w:rPr>
          <w:t>27.2.1</w:t>
        </w:r>
        <w:r w:rsidRPr="00D64683">
          <w:rPr>
            <w:rFonts w:asciiTheme="minorHAnsi" w:eastAsiaTheme="minorEastAsia" w:hAnsiTheme="minorHAnsi" w:cstheme="minorBidi"/>
            <w:i w:val="0"/>
            <w:iCs w:val="0"/>
            <w:noProof/>
            <w:sz w:val="22"/>
            <w:szCs w:val="22"/>
          </w:rPr>
          <w:tab/>
        </w:r>
        <w:r w:rsidRPr="00D64683">
          <w:rPr>
            <w:rStyle w:val="Hyperlink"/>
            <w:i w:val="0"/>
            <w:iCs w:val="0"/>
            <w:noProof/>
          </w:rPr>
          <w:t>Return of Securitization Proceeds</w:t>
        </w:r>
        <w:r w:rsidRPr="00D64683">
          <w:rPr>
            <w:i w:val="0"/>
            <w:iCs w:val="0"/>
            <w:noProof/>
            <w:webHidden/>
          </w:rPr>
          <w:tab/>
        </w:r>
        <w:r w:rsidRPr="00D64683">
          <w:rPr>
            <w:i w:val="0"/>
            <w:iCs w:val="0"/>
            <w:noProof/>
            <w:webHidden/>
          </w:rPr>
          <w:fldChar w:fldCharType="begin"/>
        </w:r>
        <w:r w:rsidRPr="00D64683">
          <w:rPr>
            <w:i w:val="0"/>
            <w:iCs w:val="0"/>
            <w:noProof/>
            <w:webHidden/>
          </w:rPr>
          <w:instrText xml:space="preserve"> PAGEREF _Toc141427997 \h </w:instrText>
        </w:r>
        <w:r w:rsidRPr="00D64683">
          <w:rPr>
            <w:i w:val="0"/>
            <w:iCs w:val="0"/>
            <w:noProof/>
            <w:webHidden/>
          </w:rPr>
        </w:r>
        <w:r w:rsidRPr="00D64683">
          <w:rPr>
            <w:i w:val="0"/>
            <w:iCs w:val="0"/>
            <w:noProof/>
            <w:webHidden/>
          </w:rPr>
          <w:fldChar w:fldCharType="separate"/>
        </w:r>
        <w:r w:rsidRPr="00D64683">
          <w:rPr>
            <w:i w:val="0"/>
            <w:iCs w:val="0"/>
            <w:noProof/>
            <w:webHidden/>
          </w:rPr>
          <w:t>27-2</w:t>
        </w:r>
        <w:r w:rsidRPr="00D64683">
          <w:rPr>
            <w:i w:val="0"/>
            <w:iCs w:val="0"/>
            <w:noProof/>
            <w:webHidden/>
          </w:rPr>
          <w:fldChar w:fldCharType="end"/>
        </w:r>
      </w:hyperlink>
    </w:p>
    <w:p w14:paraId="4317E1BD" w14:textId="3915B38D" w:rsidR="00D64683" w:rsidRPr="00D64683" w:rsidRDefault="00D64683">
      <w:pPr>
        <w:pStyle w:val="TOC2"/>
        <w:rPr>
          <w:rFonts w:asciiTheme="minorHAnsi" w:eastAsiaTheme="minorEastAsia" w:hAnsiTheme="minorHAnsi" w:cstheme="minorBidi"/>
          <w:noProof/>
          <w:sz w:val="22"/>
          <w:szCs w:val="22"/>
        </w:rPr>
      </w:pPr>
      <w:hyperlink w:anchor="_Toc141427998" w:history="1">
        <w:r w:rsidRPr="00D64683">
          <w:rPr>
            <w:rStyle w:val="Hyperlink"/>
            <w:noProof/>
          </w:rPr>
          <w:t>27.3</w:t>
        </w:r>
        <w:r w:rsidRPr="00D64683">
          <w:rPr>
            <w:rFonts w:asciiTheme="minorHAnsi" w:eastAsiaTheme="minorEastAsia" w:hAnsiTheme="minorHAnsi" w:cstheme="minorBidi"/>
            <w:noProof/>
            <w:sz w:val="22"/>
            <w:szCs w:val="22"/>
          </w:rPr>
          <w:tab/>
        </w:r>
        <w:r w:rsidRPr="00D64683">
          <w:rPr>
            <w:rStyle w:val="Hyperlink"/>
            <w:noProof/>
          </w:rPr>
          <w:t>Securitization Uplift Charge</w:t>
        </w:r>
        <w:r w:rsidRPr="00D64683">
          <w:rPr>
            <w:noProof/>
            <w:webHidden/>
          </w:rPr>
          <w:tab/>
        </w:r>
        <w:r w:rsidRPr="00D64683">
          <w:rPr>
            <w:noProof/>
            <w:webHidden/>
          </w:rPr>
          <w:fldChar w:fldCharType="begin"/>
        </w:r>
        <w:r w:rsidRPr="00D64683">
          <w:rPr>
            <w:noProof/>
            <w:webHidden/>
          </w:rPr>
          <w:instrText xml:space="preserve"> PAGEREF _Toc141427998 \h </w:instrText>
        </w:r>
        <w:r w:rsidRPr="00D64683">
          <w:rPr>
            <w:noProof/>
            <w:webHidden/>
          </w:rPr>
        </w:r>
        <w:r w:rsidRPr="00D64683">
          <w:rPr>
            <w:noProof/>
            <w:webHidden/>
          </w:rPr>
          <w:fldChar w:fldCharType="separate"/>
        </w:r>
        <w:r w:rsidRPr="00D64683">
          <w:rPr>
            <w:noProof/>
            <w:webHidden/>
          </w:rPr>
          <w:t>27-2</w:t>
        </w:r>
        <w:r w:rsidRPr="00D64683">
          <w:rPr>
            <w:noProof/>
            <w:webHidden/>
          </w:rPr>
          <w:fldChar w:fldCharType="end"/>
        </w:r>
      </w:hyperlink>
    </w:p>
    <w:p w14:paraId="063BF232" w14:textId="2264F34C" w:rsidR="00D64683" w:rsidRPr="00D64683" w:rsidRDefault="00D64683">
      <w:pPr>
        <w:pStyle w:val="TOC2"/>
        <w:rPr>
          <w:rFonts w:asciiTheme="minorHAnsi" w:eastAsiaTheme="minorEastAsia" w:hAnsiTheme="minorHAnsi" w:cstheme="minorBidi"/>
          <w:noProof/>
          <w:sz w:val="22"/>
          <w:szCs w:val="22"/>
        </w:rPr>
      </w:pPr>
      <w:hyperlink w:anchor="_Toc141427999" w:history="1">
        <w:r w:rsidRPr="00D64683">
          <w:rPr>
            <w:rStyle w:val="Hyperlink"/>
            <w:noProof/>
          </w:rPr>
          <w:t>27.4</w:t>
        </w:r>
        <w:r w:rsidRPr="00D64683">
          <w:rPr>
            <w:rFonts w:asciiTheme="minorHAnsi" w:eastAsiaTheme="minorEastAsia" w:hAnsiTheme="minorHAnsi" w:cstheme="minorBidi"/>
            <w:noProof/>
            <w:sz w:val="22"/>
            <w:szCs w:val="22"/>
          </w:rPr>
          <w:tab/>
        </w:r>
        <w:r w:rsidRPr="00D64683">
          <w:rPr>
            <w:rStyle w:val="Hyperlink"/>
            <w:noProof/>
          </w:rPr>
          <w:t>Securitization Uplift Charge Invoices</w:t>
        </w:r>
        <w:r w:rsidRPr="00D64683">
          <w:rPr>
            <w:noProof/>
            <w:webHidden/>
          </w:rPr>
          <w:tab/>
        </w:r>
        <w:r w:rsidRPr="00D64683">
          <w:rPr>
            <w:noProof/>
            <w:webHidden/>
          </w:rPr>
          <w:fldChar w:fldCharType="begin"/>
        </w:r>
        <w:r w:rsidRPr="00D64683">
          <w:rPr>
            <w:noProof/>
            <w:webHidden/>
          </w:rPr>
          <w:instrText xml:space="preserve"> PAGEREF _Toc141427999 \h </w:instrText>
        </w:r>
        <w:r w:rsidRPr="00D64683">
          <w:rPr>
            <w:noProof/>
            <w:webHidden/>
          </w:rPr>
        </w:r>
        <w:r w:rsidRPr="00D64683">
          <w:rPr>
            <w:noProof/>
            <w:webHidden/>
          </w:rPr>
          <w:fldChar w:fldCharType="separate"/>
        </w:r>
        <w:r w:rsidRPr="00D64683">
          <w:rPr>
            <w:noProof/>
            <w:webHidden/>
          </w:rPr>
          <w:t>27-4</w:t>
        </w:r>
        <w:r w:rsidRPr="00D64683">
          <w:rPr>
            <w:noProof/>
            <w:webHidden/>
          </w:rPr>
          <w:fldChar w:fldCharType="end"/>
        </w:r>
      </w:hyperlink>
    </w:p>
    <w:p w14:paraId="44C7162C" w14:textId="09D52C69" w:rsidR="00D64683" w:rsidRPr="00D64683" w:rsidRDefault="00D64683">
      <w:pPr>
        <w:pStyle w:val="TOC3"/>
        <w:rPr>
          <w:rFonts w:asciiTheme="minorHAnsi" w:eastAsiaTheme="minorEastAsia" w:hAnsiTheme="minorHAnsi" w:cstheme="minorBidi"/>
          <w:i w:val="0"/>
          <w:iCs w:val="0"/>
          <w:noProof/>
          <w:sz w:val="22"/>
          <w:szCs w:val="22"/>
        </w:rPr>
      </w:pPr>
      <w:hyperlink w:anchor="_Toc141428000" w:history="1">
        <w:r w:rsidRPr="00D64683">
          <w:rPr>
            <w:rStyle w:val="Hyperlink"/>
            <w:i w:val="0"/>
            <w:iCs w:val="0"/>
            <w:noProof/>
          </w:rPr>
          <w:t>27.4.1</w:t>
        </w:r>
        <w:r w:rsidRPr="00D64683">
          <w:rPr>
            <w:rFonts w:asciiTheme="minorHAnsi" w:eastAsiaTheme="minorEastAsia" w:hAnsiTheme="minorHAnsi" w:cstheme="minorBidi"/>
            <w:i w:val="0"/>
            <w:iCs w:val="0"/>
            <w:noProof/>
            <w:sz w:val="22"/>
            <w:szCs w:val="22"/>
          </w:rPr>
          <w:tab/>
        </w:r>
        <w:r w:rsidRPr="00D64683">
          <w:rPr>
            <w:rStyle w:val="Hyperlink"/>
            <w:i w:val="0"/>
            <w:iCs w:val="0"/>
            <w:noProof/>
          </w:rPr>
          <w:t>Securitization Uplift Charge Initial Invoices</w:t>
        </w:r>
        <w:r w:rsidRPr="00D64683">
          <w:rPr>
            <w:i w:val="0"/>
            <w:iCs w:val="0"/>
            <w:noProof/>
            <w:webHidden/>
          </w:rPr>
          <w:tab/>
        </w:r>
        <w:r w:rsidRPr="00D64683">
          <w:rPr>
            <w:i w:val="0"/>
            <w:iCs w:val="0"/>
            <w:noProof/>
            <w:webHidden/>
          </w:rPr>
          <w:fldChar w:fldCharType="begin"/>
        </w:r>
        <w:r w:rsidRPr="00D64683">
          <w:rPr>
            <w:i w:val="0"/>
            <w:iCs w:val="0"/>
            <w:noProof/>
            <w:webHidden/>
          </w:rPr>
          <w:instrText xml:space="preserve"> PAGEREF _Toc141428000 \h </w:instrText>
        </w:r>
        <w:r w:rsidRPr="00D64683">
          <w:rPr>
            <w:i w:val="0"/>
            <w:iCs w:val="0"/>
            <w:noProof/>
            <w:webHidden/>
          </w:rPr>
        </w:r>
        <w:r w:rsidRPr="00D64683">
          <w:rPr>
            <w:i w:val="0"/>
            <w:iCs w:val="0"/>
            <w:noProof/>
            <w:webHidden/>
          </w:rPr>
          <w:fldChar w:fldCharType="separate"/>
        </w:r>
        <w:r w:rsidRPr="00D64683">
          <w:rPr>
            <w:i w:val="0"/>
            <w:iCs w:val="0"/>
            <w:noProof/>
            <w:webHidden/>
          </w:rPr>
          <w:t>27-4</w:t>
        </w:r>
        <w:r w:rsidRPr="00D64683">
          <w:rPr>
            <w:i w:val="0"/>
            <w:iCs w:val="0"/>
            <w:noProof/>
            <w:webHidden/>
          </w:rPr>
          <w:fldChar w:fldCharType="end"/>
        </w:r>
      </w:hyperlink>
    </w:p>
    <w:p w14:paraId="24AA5DB1" w14:textId="77844DEC" w:rsidR="00D64683" w:rsidRPr="00D64683" w:rsidRDefault="00D64683">
      <w:pPr>
        <w:pStyle w:val="TOC3"/>
        <w:rPr>
          <w:rFonts w:asciiTheme="minorHAnsi" w:eastAsiaTheme="minorEastAsia" w:hAnsiTheme="minorHAnsi" w:cstheme="minorBidi"/>
          <w:i w:val="0"/>
          <w:iCs w:val="0"/>
          <w:noProof/>
          <w:sz w:val="22"/>
          <w:szCs w:val="22"/>
        </w:rPr>
      </w:pPr>
      <w:hyperlink w:anchor="_Toc141428001" w:history="1">
        <w:r w:rsidRPr="00D64683">
          <w:rPr>
            <w:rStyle w:val="Hyperlink"/>
            <w:i w:val="0"/>
            <w:iCs w:val="0"/>
            <w:noProof/>
          </w:rPr>
          <w:t>27.4.2</w:t>
        </w:r>
        <w:r w:rsidRPr="00D64683">
          <w:rPr>
            <w:rFonts w:asciiTheme="minorHAnsi" w:eastAsiaTheme="minorEastAsia" w:hAnsiTheme="minorHAnsi" w:cstheme="minorBidi"/>
            <w:i w:val="0"/>
            <w:iCs w:val="0"/>
            <w:noProof/>
            <w:sz w:val="22"/>
            <w:szCs w:val="22"/>
          </w:rPr>
          <w:tab/>
        </w:r>
        <w:r w:rsidRPr="00D64683">
          <w:rPr>
            <w:rStyle w:val="Hyperlink"/>
            <w:i w:val="0"/>
            <w:iCs w:val="0"/>
            <w:noProof/>
          </w:rPr>
          <w:t>Securitization Uplift Charge Reallocation Invoices</w:t>
        </w:r>
        <w:r w:rsidRPr="00D64683">
          <w:rPr>
            <w:i w:val="0"/>
            <w:iCs w:val="0"/>
            <w:noProof/>
            <w:webHidden/>
          </w:rPr>
          <w:tab/>
        </w:r>
        <w:r w:rsidRPr="00D64683">
          <w:rPr>
            <w:i w:val="0"/>
            <w:iCs w:val="0"/>
            <w:noProof/>
            <w:webHidden/>
          </w:rPr>
          <w:fldChar w:fldCharType="begin"/>
        </w:r>
        <w:r w:rsidRPr="00D64683">
          <w:rPr>
            <w:i w:val="0"/>
            <w:iCs w:val="0"/>
            <w:noProof/>
            <w:webHidden/>
          </w:rPr>
          <w:instrText xml:space="preserve"> PAGEREF _Toc141428001 \h </w:instrText>
        </w:r>
        <w:r w:rsidRPr="00D64683">
          <w:rPr>
            <w:i w:val="0"/>
            <w:iCs w:val="0"/>
            <w:noProof/>
            <w:webHidden/>
          </w:rPr>
        </w:r>
        <w:r w:rsidRPr="00D64683">
          <w:rPr>
            <w:i w:val="0"/>
            <w:iCs w:val="0"/>
            <w:noProof/>
            <w:webHidden/>
          </w:rPr>
          <w:fldChar w:fldCharType="separate"/>
        </w:r>
        <w:r w:rsidRPr="00D64683">
          <w:rPr>
            <w:i w:val="0"/>
            <w:iCs w:val="0"/>
            <w:noProof/>
            <w:webHidden/>
          </w:rPr>
          <w:t>27-5</w:t>
        </w:r>
        <w:r w:rsidRPr="00D64683">
          <w:rPr>
            <w:i w:val="0"/>
            <w:iCs w:val="0"/>
            <w:noProof/>
            <w:webHidden/>
          </w:rPr>
          <w:fldChar w:fldCharType="end"/>
        </w:r>
      </w:hyperlink>
    </w:p>
    <w:p w14:paraId="36D9229F" w14:textId="4B9B8924" w:rsidR="00D64683" w:rsidRPr="00D64683" w:rsidRDefault="00D64683">
      <w:pPr>
        <w:pStyle w:val="TOC3"/>
        <w:rPr>
          <w:rFonts w:asciiTheme="minorHAnsi" w:eastAsiaTheme="minorEastAsia" w:hAnsiTheme="minorHAnsi" w:cstheme="minorBidi"/>
          <w:i w:val="0"/>
          <w:iCs w:val="0"/>
          <w:noProof/>
          <w:sz w:val="22"/>
          <w:szCs w:val="22"/>
        </w:rPr>
      </w:pPr>
      <w:hyperlink w:anchor="_Toc141428002" w:history="1">
        <w:r w:rsidRPr="00D64683">
          <w:rPr>
            <w:rStyle w:val="Hyperlink"/>
            <w:i w:val="0"/>
            <w:iCs w:val="0"/>
            <w:noProof/>
          </w:rPr>
          <w:t>27.4.3</w:t>
        </w:r>
        <w:r w:rsidRPr="00D64683">
          <w:rPr>
            <w:rFonts w:asciiTheme="minorHAnsi" w:eastAsiaTheme="minorEastAsia" w:hAnsiTheme="minorHAnsi" w:cstheme="minorBidi"/>
            <w:i w:val="0"/>
            <w:iCs w:val="0"/>
            <w:noProof/>
            <w:sz w:val="22"/>
            <w:szCs w:val="22"/>
          </w:rPr>
          <w:tab/>
        </w:r>
        <w:r w:rsidRPr="00D64683">
          <w:rPr>
            <w:rStyle w:val="Hyperlink"/>
            <w:i w:val="0"/>
            <w:iCs w:val="0"/>
            <w:noProof/>
          </w:rPr>
          <w:t>Payment Process for Securitization Uplift Charge Initial Invoices</w:t>
        </w:r>
        <w:r w:rsidRPr="00D64683">
          <w:rPr>
            <w:i w:val="0"/>
            <w:iCs w:val="0"/>
            <w:noProof/>
            <w:webHidden/>
          </w:rPr>
          <w:tab/>
        </w:r>
        <w:r w:rsidRPr="00D64683">
          <w:rPr>
            <w:i w:val="0"/>
            <w:iCs w:val="0"/>
            <w:noProof/>
            <w:webHidden/>
          </w:rPr>
          <w:fldChar w:fldCharType="begin"/>
        </w:r>
        <w:r w:rsidRPr="00D64683">
          <w:rPr>
            <w:i w:val="0"/>
            <w:iCs w:val="0"/>
            <w:noProof/>
            <w:webHidden/>
          </w:rPr>
          <w:instrText xml:space="preserve"> PAGEREF _Toc141428002 \h </w:instrText>
        </w:r>
        <w:r w:rsidRPr="00D64683">
          <w:rPr>
            <w:i w:val="0"/>
            <w:iCs w:val="0"/>
            <w:noProof/>
            <w:webHidden/>
          </w:rPr>
        </w:r>
        <w:r w:rsidRPr="00D64683">
          <w:rPr>
            <w:i w:val="0"/>
            <w:iCs w:val="0"/>
            <w:noProof/>
            <w:webHidden/>
          </w:rPr>
          <w:fldChar w:fldCharType="separate"/>
        </w:r>
        <w:r w:rsidRPr="00D64683">
          <w:rPr>
            <w:i w:val="0"/>
            <w:iCs w:val="0"/>
            <w:noProof/>
            <w:webHidden/>
          </w:rPr>
          <w:t>27-7</w:t>
        </w:r>
        <w:r w:rsidRPr="00D64683">
          <w:rPr>
            <w:i w:val="0"/>
            <w:iCs w:val="0"/>
            <w:noProof/>
            <w:webHidden/>
          </w:rPr>
          <w:fldChar w:fldCharType="end"/>
        </w:r>
      </w:hyperlink>
    </w:p>
    <w:p w14:paraId="43120700" w14:textId="0BE7EC33" w:rsidR="00D64683" w:rsidRPr="00D64683" w:rsidRDefault="00D64683">
      <w:pPr>
        <w:pStyle w:val="TOC4"/>
        <w:rPr>
          <w:rFonts w:asciiTheme="minorHAnsi" w:eastAsiaTheme="minorEastAsia" w:hAnsiTheme="minorHAnsi" w:cstheme="minorBidi"/>
          <w:noProof/>
          <w:sz w:val="22"/>
          <w:szCs w:val="22"/>
        </w:rPr>
      </w:pPr>
      <w:hyperlink w:anchor="_Toc141428003" w:history="1">
        <w:r w:rsidRPr="00D64683">
          <w:rPr>
            <w:rStyle w:val="Hyperlink"/>
            <w:noProof/>
            <w:snapToGrid w:val="0"/>
          </w:rPr>
          <w:t>27.4.3.1</w:t>
        </w:r>
        <w:r w:rsidRPr="00D64683">
          <w:rPr>
            <w:rFonts w:asciiTheme="minorHAnsi" w:eastAsiaTheme="minorEastAsia" w:hAnsiTheme="minorHAnsi" w:cstheme="minorBidi"/>
            <w:noProof/>
            <w:sz w:val="22"/>
            <w:szCs w:val="22"/>
          </w:rPr>
          <w:tab/>
        </w:r>
        <w:r w:rsidRPr="00D64683">
          <w:rPr>
            <w:rStyle w:val="Hyperlink"/>
            <w:noProof/>
            <w:snapToGrid w:val="0"/>
          </w:rPr>
          <w:t>Invoice Recipient Payment to ERCOT for Securitization Uplift Charge Initial Invoices</w:t>
        </w:r>
        <w:r w:rsidRPr="00D64683">
          <w:rPr>
            <w:noProof/>
            <w:webHidden/>
          </w:rPr>
          <w:tab/>
        </w:r>
        <w:r w:rsidRPr="00D64683">
          <w:rPr>
            <w:noProof/>
            <w:webHidden/>
          </w:rPr>
          <w:fldChar w:fldCharType="begin"/>
        </w:r>
        <w:r w:rsidRPr="00D64683">
          <w:rPr>
            <w:noProof/>
            <w:webHidden/>
          </w:rPr>
          <w:instrText xml:space="preserve"> PAGEREF _Toc141428003 \h </w:instrText>
        </w:r>
        <w:r w:rsidRPr="00D64683">
          <w:rPr>
            <w:noProof/>
            <w:webHidden/>
          </w:rPr>
        </w:r>
        <w:r w:rsidRPr="00D64683">
          <w:rPr>
            <w:noProof/>
            <w:webHidden/>
          </w:rPr>
          <w:fldChar w:fldCharType="separate"/>
        </w:r>
        <w:r w:rsidRPr="00D64683">
          <w:rPr>
            <w:noProof/>
            <w:webHidden/>
          </w:rPr>
          <w:t>27-7</w:t>
        </w:r>
        <w:r w:rsidRPr="00D64683">
          <w:rPr>
            <w:noProof/>
            <w:webHidden/>
          </w:rPr>
          <w:fldChar w:fldCharType="end"/>
        </w:r>
      </w:hyperlink>
    </w:p>
    <w:p w14:paraId="25A371A7" w14:textId="3F1BA9AE" w:rsidR="00D64683" w:rsidRPr="00D64683" w:rsidRDefault="00D64683">
      <w:pPr>
        <w:pStyle w:val="TOC3"/>
        <w:rPr>
          <w:rFonts w:asciiTheme="minorHAnsi" w:eastAsiaTheme="minorEastAsia" w:hAnsiTheme="minorHAnsi" w:cstheme="minorBidi"/>
          <w:i w:val="0"/>
          <w:iCs w:val="0"/>
          <w:noProof/>
          <w:sz w:val="22"/>
          <w:szCs w:val="22"/>
        </w:rPr>
      </w:pPr>
      <w:hyperlink w:anchor="_Toc141428004" w:history="1">
        <w:r w:rsidRPr="00D64683">
          <w:rPr>
            <w:rStyle w:val="Hyperlink"/>
            <w:i w:val="0"/>
            <w:iCs w:val="0"/>
            <w:noProof/>
          </w:rPr>
          <w:t>27.4.4</w:t>
        </w:r>
        <w:r w:rsidRPr="00D64683">
          <w:rPr>
            <w:rFonts w:asciiTheme="minorHAnsi" w:eastAsiaTheme="minorEastAsia" w:hAnsiTheme="minorHAnsi" w:cstheme="minorBidi"/>
            <w:i w:val="0"/>
            <w:iCs w:val="0"/>
            <w:noProof/>
            <w:sz w:val="22"/>
            <w:szCs w:val="22"/>
          </w:rPr>
          <w:tab/>
        </w:r>
        <w:r w:rsidRPr="00D64683">
          <w:rPr>
            <w:rStyle w:val="Hyperlink"/>
            <w:i w:val="0"/>
            <w:iCs w:val="0"/>
            <w:noProof/>
          </w:rPr>
          <w:t>Insufficient Payments by Invoice Recipients for Securitization Uplift Charge Initial Invoices</w:t>
        </w:r>
        <w:r w:rsidRPr="00D64683">
          <w:rPr>
            <w:i w:val="0"/>
            <w:iCs w:val="0"/>
            <w:noProof/>
            <w:webHidden/>
          </w:rPr>
          <w:tab/>
        </w:r>
        <w:r w:rsidRPr="00D64683">
          <w:rPr>
            <w:i w:val="0"/>
            <w:iCs w:val="0"/>
            <w:noProof/>
            <w:webHidden/>
          </w:rPr>
          <w:fldChar w:fldCharType="begin"/>
        </w:r>
        <w:r w:rsidRPr="00D64683">
          <w:rPr>
            <w:i w:val="0"/>
            <w:iCs w:val="0"/>
            <w:noProof/>
            <w:webHidden/>
          </w:rPr>
          <w:instrText xml:space="preserve"> PAGEREF _Toc141428004 \h </w:instrText>
        </w:r>
        <w:r w:rsidRPr="00D64683">
          <w:rPr>
            <w:i w:val="0"/>
            <w:iCs w:val="0"/>
            <w:noProof/>
            <w:webHidden/>
          </w:rPr>
        </w:r>
        <w:r w:rsidRPr="00D64683">
          <w:rPr>
            <w:i w:val="0"/>
            <w:iCs w:val="0"/>
            <w:noProof/>
            <w:webHidden/>
          </w:rPr>
          <w:fldChar w:fldCharType="separate"/>
        </w:r>
        <w:r w:rsidRPr="00D64683">
          <w:rPr>
            <w:i w:val="0"/>
            <w:iCs w:val="0"/>
            <w:noProof/>
            <w:webHidden/>
          </w:rPr>
          <w:t>27-7</w:t>
        </w:r>
        <w:r w:rsidRPr="00D64683">
          <w:rPr>
            <w:i w:val="0"/>
            <w:iCs w:val="0"/>
            <w:noProof/>
            <w:webHidden/>
          </w:rPr>
          <w:fldChar w:fldCharType="end"/>
        </w:r>
      </w:hyperlink>
    </w:p>
    <w:p w14:paraId="0A4BE7AB" w14:textId="65A0041C" w:rsidR="00D64683" w:rsidRPr="00D64683" w:rsidRDefault="00D64683">
      <w:pPr>
        <w:pStyle w:val="TOC3"/>
        <w:rPr>
          <w:rFonts w:asciiTheme="minorHAnsi" w:eastAsiaTheme="minorEastAsia" w:hAnsiTheme="minorHAnsi" w:cstheme="minorBidi"/>
          <w:i w:val="0"/>
          <w:iCs w:val="0"/>
          <w:noProof/>
          <w:sz w:val="22"/>
          <w:szCs w:val="22"/>
        </w:rPr>
      </w:pPr>
      <w:hyperlink w:anchor="_Toc141428005" w:history="1">
        <w:r w:rsidRPr="00D64683">
          <w:rPr>
            <w:rStyle w:val="Hyperlink"/>
            <w:i w:val="0"/>
            <w:iCs w:val="0"/>
            <w:noProof/>
          </w:rPr>
          <w:t>27.4.5</w:t>
        </w:r>
        <w:r w:rsidRPr="00D64683">
          <w:rPr>
            <w:rFonts w:asciiTheme="minorHAnsi" w:eastAsiaTheme="minorEastAsia" w:hAnsiTheme="minorHAnsi" w:cstheme="minorBidi"/>
            <w:i w:val="0"/>
            <w:iCs w:val="0"/>
            <w:noProof/>
            <w:sz w:val="22"/>
            <w:szCs w:val="22"/>
          </w:rPr>
          <w:tab/>
        </w:r>
        <w:r w:rsidRPr="00D64683">
          <w:rPr>
            <w:rStyle w:val="Hyperlink"/>
            <w:i w:val="0"/>
            <w:iCs w:val="0"/>
            <w:noProof/>
          </w:rPr>
          <w:t>Payment Process for Securitization Uplift Charge Reallocation Invoices</w:t>
        </w:r>
        <w:r w:rsidRPr="00D64683">
          <w:rPr>
            <w:i w:val="0"/>
            <w:iCs w:val="0"/>
            <w:noProof/>
            <w:webHidden/>
          </w:rPr>
          <w:tab/>
        </w:r>
        <w:r w:rsidRPr="00D64683">
          <w:rPr>
            <w:i w:val="0"/>
            <w:iCs w:val="0"/>
            <w:noProof/>
            <w:webHidden/>
          </w:rPr>
          <w:fldChar w:fldCharType="begin"/>
        </w:r>
        <w:r w:rsidRPr="00D64683">
          <w:rPr>
            <w:i w:val="0"/>
            <w:iCs w:val="0"/>
            <w:noProof/>
            <w:webHidden/>
          </w:rPr>
          <w:instrText xml:space="preserve"> PAGEREF _Toc141428005 \h </w:instrText>
        </w:r>
        <w:r w:rsidRPr="00D64683">
          <w:rPr>
            <w:i w:val="0"/>
            <w:iCs w:val="0"/>
            <w:noProof/>
            <w:webHidden/>
          </w:rPr>
        </w:r>
        <w:r w:rsidRPr="00D64683">
          <w:rPr>
            <w:i w:val="0"/>
            <w:iCs w:val="0"/>
            <w:noProof/>
            <w:webHidden/>
          </w:rPr>
          <w:fldChar w:fldCharType="separate"/>
        </w:r>
        <w:r w:rsidRPr="00D64683">
          <w:rPr>
            <w:i w:val="0"/>
            <w:iCs w:val="0"/>
            <w:noProof/>
            <w:webHidden/>
          </w:rPr>
          <w:t>27-8</w:t>
        </w:r>
        <w:r w:rsidRPr="00D64683">
          <w:rPr>
            <w:i w:val="0"/>
            <w:iCs w:val="0"/>
            <w:noProof/>
            <w:webHidden/>
          </w:rPr>
          <w:fldChar w:fldCharType="end"/>
        </w:r>
      </w:hyperlink>
    </w:p>
    <w:p w14:paraId="1D032FFD" w14:textId="09852B5C" w:rsidR="00D64683" w:rsidRPr="00D64683" w:rsidRDefault="00D64683">
      <w:pPr>
        <w:pStyle w:val="TOC4"/>
        <w:rPr>
          <w:rFonts w:asciiTheme="minorHAnsi" w:eastAsiaTheme="minorEastAsia" w:hAnsiTheme="minorHAnsi" w:cstheme="minorBidi"/>
          <w:noProof/>
          <w:sz w:val="22"/>
          <w:szCs w:val="22"/>
        </w:rPr>
      </w:pPr>
      <w:hyperlink w:anchor="_Toc141428006" w:history="1">
        <w:r w:rsidRPr="00D64683">
          <w:rPr>
            <w:rStyle w:val="Hyperlink"/>
            <w:noProof/>
            <w:snapToGrid w:val="0"/>
          </w:rPr>
          <w:t>27.4.5.1</w:t>
        </w:r>
        <w:r w:rsidRPr="00D64683">
          <w:rPr>
            <w:rFonts w:asciiTheme="minorHAnsi" w:eastAsiaTheme="minorEastAsia" w:hAnsiTheme="minorHAnsi" w:cstheme="minorBidi"/>
            <w:noProof/>
            <w:sz w:val="22"/>
            <w:szCs w:val="22"/>
          </w:rPr>
          <w:tab/>
        </w:r>
        <w:r w:rsidRPr="00D64683">
          <w:rPr>
            <w:rStyle w:val="Hyperlink"/>
            <w:noProof/>
            <w:snapToGrid w:val="0"/>
          </w:rPr>
          <w:t>Invoice Recipient Payment to ERCOT for Securitization Uplift Charge Reallocation Invoices</w:t>
        </w:r>
        <w:r w:rsidRPr="00D64683">
          <w:rPr>
            <w:noProof/>
            <w:webHidden/>
          </w:rPr>
          <w:tab/>
        </w:r>
        <w:r w:rsidRPr="00D64683">
          <w:rPr>
            <w:noProof/>
            <w:webHidden/>
          </w:rPr>
          <w:fldChar w:fldCharType="begin"/>
        </w:r>
        <w:r w:rsidRPr="00D64683">
          <w:rPr>
            <w:noProof/>
            <w:webHidden/>
          </w:rPr>
          <w:instrText xml:space="preserve"> PAGEREF _Toc141428006 \h </w:instrText>
        </w:r>
        <w:r w:rsidRPr="00D64683">
          <w:rPr>
            <w:noProof/>
            <w:webHidden/>
          </w:rPr>
        </w:r>
        <w:r w:rsidRPr="00D64683">
          <w:rPr>
            <w:noProof/>
            <w:webHidden/>
          </w:rPr>
          <w:fldChar w:fldCharType="separate"/>
        </w:r>
        <w:r w:rsidRPr="00D64683">
          <w:rPr>
            <w:noProof/>
            <w:webHidden/>
          </w:rPr>
          <w:t>27-8</w:t>
        </w:r>
        <w:r w:rsidRPr="00D64683">
          <w:rPr>
            <w:noProof/>
            <w:webHidden/>
          </w:rPr>
          <w:fldChar w:fldCharType="end"/>
        </w:r>
      </w:hyperlink>
    </w:p>
    <w:p w14:paraId="1E54BE7A" w14:textId="4C6F7EF6" w:rsidR="00D64683" w:rsidRPr="00D64683" w:rsidRDefault="00D64683">
      <w:pPr>
        <w:pStyle w:val="TOC4"/>
        <w:rPr>
          <w:rFonts w:asciiTheme="minorHAnsi" w:eastAsiaTheme="minorEastAsia" w:hAnsiTheme="minorHAnsi" w:cstheme="minorBidi"/>
          <w:noProof/>
          <w:sz w:val="22"/>
          <w:szCs w:val="22"/>
        </w:rPr>
      </w:pPr>
      <w:hyperlink w:anchor="_Toc141428007" w:history="1">
        <w:r w:rsidRPr="00D64683">
          <w:rPr>
            <w:rStyle w:val="Hyperlink"/>
            <w:noProof/>
            <w:snapToGrid w:val="0"/>
          </w:rPr>
          <w:t>27.4.5.2</w:t>
        </w:r>
        <w:r w:rsidRPr="00D64683">
          <w:rPr>
            <w:rFonts w:asciiTheme="minorHAnsi" w:eastAsiaTheme="minorEastAsia" w:hAnsiTheme="minorHAnsi" w:cstheme="minorBidi"/>
            <w:noProof/>
            <w:sz w:val="22"/>
            <w:szCs w:val="22"/>
          </w:rPr>
          <w:tab/>
        </w:r>
        <w:r w:rsidRPr="00D64683">
          <w:rPr>
            <w:rStyle w:val="Hyperlink"/>
            <w:noProof/>
            <w:snapToGrid w:val="0"/>
          </w:rPr>
          <w:t>ERCOT Payment to Invoice Recipients for Securitization Uplift Charge Reallocation Invoices</w:t>
        </w:r>
        <w:r w:rsidRPr="00D64683">
          <w:rPr>
            <w:noProof/>
            <w:webHidden/>
          </w:rPr>
          <w:tab/>
        </w:r>
        <w:r w:rsidRPr="00D64683">
          <w:rPr>
            <w:noProof/>
            <w:webHidden/>
          </w:rPr>
          <w:fldChar w:fldCharType="begin"/>
        </w:r>
        <w:r w:rsidRPr="00D64683">
          <w:rPr>
            <w:noProof/>
            <w:webHidden/>
          </w:rPr>
          <w:instrText xml:space="preserve"> PAGEREF _Toc141428007 \h </w:instrText>
        </w:r>
        <w:r w:rsidRPr="00D64683">
          <w:rPr>
            <w:noProof/>
            <w:webHidden/>
          </w:rPr>
        </w:r>
        <w:r w:rsidRPr="00D64683">
          <w:rPr>
            <w:noProof/>
            <w:webHidden/>
          </w:rPr>
          <w:fldChar w:fldCharType="separate"/>
        </w:r>
        <w:r w:rsidRPr="00D64683">
          <w:rPr>
            <w:noProof/>
            <w:webHidden/>
          </w:rPr>
          <w:t>27-9</w:t>
        </w:r>
        <w:r w:rsidRPr="00D64683">
          <w:rPr>
            <w:noProof/>
            <w:webHidden/>
          </w:rPr>
          <w:fldChar w:fldCharType="end"/>
        </w:r>
      </w:hyperlink>
    </w:p>
    <w:p w14:paraId="341BFF53" w14:textId="37A80E04" w:rsidR="00D64683" w:rsidRPr="00D64683" w:rsidRDefault="00D64683">
      <w:pPr>
        <w:pStyle w:val="TOC3"/>
        <w:rPr>
          <w:rFonts w:asciiTheme="minorHAnsi" w:eastAsiaTheme="minorEastAsia" w:hAnsiTheme="minorHAnsi" w:cstheme="minorBidi"/>
          <w:i w:val="0"/>
          <w:iCs w:val="0"/>
          <w:noProof/>
          <w:sz w:val="22"/>
          <w:szCs w:val="22"/>
        </w:rPr>
      </w:pPr>
      <w:hyperlink w:anchor="_Toc141428008" w:history="1">
        <w:r w:rsidRPr="00D64683">
          <w:rPr>
            <w:rStyle w:val="Hyperlink"/>
            <w:i w:val="0"/>
            <w:iCs w:val="0"/>
            <w:noProof/>
          </w:rPr>
          <w:t>27.4.6</w:t>
        </w:r>
        <w:r w:rsidRPr="00D64683">
          <w:rPr>
            <w:rFonts w:asciiTheme="minorHAnsi" w:eastAsiaTheme="minorEastAsia" w:hAnsiTheme="minorHAnsi" w:cstheme="minorBidi"/>
            <w:i w:val="0"/>
            <w:iCs w:val="0"/>
            <w:noProof/>
            <w:sz w:val="22"/>
            <w:szCs w:val="22"/>
          </w:rPr>
          <w:tab/>
        </w:r>
        <w:r w:rsidRPr="00D64683">
          <w:rPr>
            <w:rStyle w:val="Hyperlink"/>
            <w:i w:val="0"/>
            <w:iCs w:val="0"/>
            <w:noProof/>
          </w:rPr>
          <w:t>Insufficient Payments by Invoice Recipients for Securitization Uplift Charge Reallocation Invoices</w:t>
        </w:r>
        <w:r w:rsidRPr="00D64683">
          <w:rPr>
            <w:i w:val="0"/>
            <w:iCs w:val="0"/>
            <w:noProof/>
            <w:webHidden/>
          </w:rPr>
          <w:tab/>
        </w:r>
        <w:r w:rsidRPr="00D64683">
          <w:rPr>
            <w:i w:val="0"/>
            <w:iCs w:val="0"/>
            <w:noProof/>
            <w:webHidden/>
          </w:rPr>
          <w:fldChar w:fldCharType="begin"/>
        </w:r>
        <w:r w:rsidRPr="00D64683">
          <w:rPr>
            <w:i w:val="0"/>
            <w:iCs w:val="0"/>
            <w:noProof/>
            <w:webHidden/>
          </w:rPr>
          <w:instrText xml:space="preserve"> PAGEREF _Toc141428008 \h </w:instrText>
        </w:r>
        <w:r w:rsidRPr="00D64683">
          <w:rPr>
            <w:i w:val="0"/>
            <w:iCs w:val="0"/>
            <w:noProof/>
            <w:webHidden/>
          </w:rPr>
        </w:r>
        <w:r w:rsidRPr="00D64683">
          <w:rPr>
            <w:i w:val="0"/>
            <w:iCs w:val="0"/>
            <w:noProof/>
            <w:webHidden/>
          </w:rPr>
          <w:fldChar w:fldCharType="separate"/>
        </w:r>
        <w:r w:rsidRPr="00D64683">
          <w:rPr>
            <w:i w:val="0"/>
            <w:iCs w:val="0"/>
            <w:noProof/>
            <w:webHidden/>
          </w:rPr>
          <w:t>27-10</w:t>
        </w:r>
        <w:r w:rsidRPr="00D64683">
          <w:rPr>
            <w:i w:val="0"/>
            <w:iCs w:val="0"/>
            <w:noProof/>
            <w:webHidden/>
          </w:rPr>
          <w:fldChar w:fldCharType="end"/>
        </w:r>
      </w:hyperlink>
    </w:p>
    <w:p w14:paraId="311EE50D" w14:textId="788269CE" w:rsidR="00D64683" w:rsidRPr="00D64683" w:rsidRDefault="00D64683">
      <w:pPr>
        <w:pStyle w:val="TOC3"/>
        <w:rPr>
          <w:rFonts w:asciiTheme="minorHAnsi" w:eastAsiaTheme="minorEastAsia" w:hAnsiTheme="minorHAnsi" w:cstheme="minorBidi"/>
          <w:i w:val="0"/>
          <w:iCs w:val="0"/>
          <w:noProof/>
          <w:sz w:val="22"/>
          <w:szCs w:val="22"/>
        </w:rPr>
      </w:pPr>
      <w:hyperlink w:anchor="_Toc141428009" w:history="1">
        <w:r w:rsidRPr="00D64683">
          <w:rPr>
            <w:rStyle w:val="Hyperlink"/>
            <w:i w:val="0"/>
            <w:iCs w:val="0"/>
            <w:noProof/>
          </w:rPr>
          <w:t>27.4.7</w:t>
        </w:r>
        <w:r w:rsidRPr="00D64683">
          <w:rPr>
            <w:rFonts w:asciiTheme="minorHAnsi" w:eastAsiaTheme="minorEastAsia" w:hAnsiTheme="minorHAnsi" w:cstheme="minorBidi"/>
            <w:i w:val="0"/>
            <w:iCs w:val="0"/>
            <w:noProof/>
            <w:sz w:val="22"/>
            <w:szCs w:val="22"/>
          </w:rPr>
          <w:tab/>
        </w:r>
        <w:r w:rsidRPr="00D64683">
          <w:rPr>
            <w:rStyle w:val="Hyperlink"/>
            <w:i w:val="0"/>
            <w:iCs w:val="0"/>
            <w:noProof/>
          </w:rPr>
          <w:t>Enforcing the Financial Security of a Short-Paying Reallocation Invoice Recipient</w:t>
        </w:r>
        <w:r w:rsidRPr="00D64683">
          <w:rPr>
            <w:i w:val="0"/>
            <w:iCs w:val="0"/>
            <w:noProof/>
            <w:webHidden/>
          </w:rPr>
          <w:tab/>
        </w:r>
        <w:r w:rsidRPr="00D64683">
          <w:rPr>
            <w:i w:val="0"/>
            <w:iCs w:val="0"/>
            <w:noProof/>
            <w:webHidden/>
          </w:rPr>
          <w:fldChar w:fldCharType="begin"/>
        </w:r>
        <w:r w:rsidRPr="00D64683">
          <w:rPr>
            <w:i w:val="0"/>
            <w:iCs w:val="0"/>
            <w:noProof/>
            <w:webHidden/>
          </w:rPr>
          <w:instrText xml:space="preserve"> PAGEREF _Toc141428009 \h </w:instrText>
        </w:r>
        <w:r w:rsidRPr="00D64683">
          <w:rPr>
            <w:i w:val="0"/>
            <w:iCs w:val="0"/>
            <w:noProof/>
            <w:webHidden/>
          </w:rPr>
        </w:r>
        <w:r w:rsidRPr="00D64683">
          <w:rPr>
            <w:i w:val="0"/>
            <w:iCs w:val="0"/>
            <w:noProof/>
            <w:webHidden/>
          </w:rPr>
          <w:fldChar w:fldCharType="separate"/>
        </w:r>
        <w:r w:rsidRPr="00D64683">
          <w:rPr>
            <w:i w:val="0"/>
            <w:iCs w:val="0"/>
            <w:noProof/>
            <w:webHidden/>
          </w:rPr>
          <w:t>27-11</w:t>
        </w:r>
        <w:r w:rsidRPr="00D64683">
          <w:rPr>
            <w:i w:val="0"/>
            <w:iCs w:val="0"/>
            <w:noProof/>
            <w:webHidden/>
          </w:rPr>
          <w:fldChar w:fldCharType="end"/>
        </w:r>
      </w:hyperlink>
    </w:p>
    <w:p w14:paraId="0945EBA8" w14:textId="7B7957C4" w:rsidR="00D64683" w:rsidRPr="00D64683" w:rsidRDefault="00D64683">
      <w:pPr>
        <w:pStyle w:val="TOC2"/>
        <w:rPr>
          <w:rFonts w:asciiTheme="minorHAnsi" w:eastAsiaTheme="minorEastAsia" w:hAnsiTheme="minorHAnsi" w:cstheme="minorBidi"/>
          <w:noProof/>
          <w:sz w:val="22"/>
          <w:szCs w:val="22"/>
        </w:rPr>
      </w:pPr>
      <w:hyperlink w:anchor="_Toc141428010" w:history="1">
        <w:r w:rsidRPr="00D64683">
          <w:rPr>
            <w:rStyle w:val="Hyperlink"/>
            <w:noProof/>
          </w:rPr>
          <w:t>27.5</w:t>
        </w:r>
        <w:r w:rsidRPr="00D64683">
          <w:rPr>
            <w:rFonts w:asciiTheme="minorHAnsi" w:eastAsiaTheme="minorEastAsia" w:hAnsiTheme="minorHAnsi" w:cstheme="minorBidi"/>
            <w:noProof/>
            <w:sz w:val="22"/>
            <w:szCs w:val="22"/>
          </w:rPr>
          <w:tab/>
        </w:r>
        <w:r w:rsidRPr="00D64683">
          <w:rPr>
            <w:rStyle w:val="Hyperlink"/>
            <w:noProof/>
          </w:rPr>
          <w:t>Securitization Uplift Charge Initial Invoice Escrow Deposit Requirements</w:t>
        </w:r>
        <w:r w:rsidRPr="00D64683">
          <w:rPr>
            <w:noProof/>
            <w:webHidden/>
          </w:rPr>
          <w:tab/>
        </w:r>
        <w:r w:rsidRPr="00D64683">
          <w:rPr>
            <w:noProof/>
            <w:webHidden/>
          </w:rPr>
          <w:fldChar w:fldCharType="begin"/>
        </w:r>
        <w:r w:rsidRPr="00D64683">
          <w:rPr>
            <w:noProof/>
            <w:webHidden/>
          </w:rPr>
          <w:instrText xml:space="preserve"> PAGEREF _Toc141428010 \h </w:instrText>
        </w:r>
        <w:r w:rsidRPr="00D64683">
          <w:rPr>
            <w:noProof/>
            <w:webHidden/>
          </w:rPr>
        </w:r>
        <w:r w:rsidRPr="00D64683">
          <w:rPr>
            <w:noProof/>
            <w:webHidden/>
          </w:rPr>
          <w:fldChar w:fldCharType="separate"/>
        </w:r>
        <w:r w:rsidRPr="00D64683">
          <w:rPr>
            <w:noProof/>
            <w:webHidden/>
          </w:rPr>
          <w:t>27-11</w:t>
        </w:r>
        <w:r w:rsidRPr="00D64683">
          <w:rPr>
            <w:noProof/>
            <w:webHidden/>
          </w:rPr>
          <w:fldChar w:fldCharType="end"/>
        </w:r>
      </w:hyperlink>
    </w:p>
    <w:p w14:paraId="5A6E4DE4" w14:textId="056FE564" w:rsidR="00D64683" w:rsidRPr="00D64683" w:rsidRDefault="00D64683">
      <w:pPr>
        <w:pStyle w:val="TOC3"/>
        <w:rPr>
          <w:rFonts w:asciiTheme="minorHAnsi" w:eastAsiaTheme="minorEastAsia" w:hAnsiTheme="minorHAnsi" w:cstheme="minorBidi"/>
          <w:i w:val="0"/>
          <w:iCs w:val="0"/>
          <w:noProof/>
          <w:sz w:val="22"/>
          <w:szCs w:val="22"/>
        </w:rPr>
      </w:pPr>
      <w:hyperlink w:anchor="_Toc141428011" w:history="1">
        <w:r w:rsidRPr="00D64683">
          <w:rPr>
            <w:rStyle w:val="Hyperlink"/>
            <w:i w:val="0"/>
            <w:iCs w:val="0"/>
            <w:noProof/>
          </w:rPr>
          <w:t>27.5.1</w:t>
        </w:r>
        <w:r w:rsidRPr="00D64683">
          <w:rPr>
            <w:rFonts w:asciiTheme="minorHAnsi" w:eastAsiaTheme="minorEastAsia" w:hAnsiTheme="minorHAnsi" w:cstheme="minorBidi"/>
            <w:i w:val="0"/>
            <w:iCs w:val="0"/>
            <w:noProof/>
            <w:sz w:val="22"/>
            <w:szCs w:val="22"/>
          </w:rPr>
          <w:tab/>
        </w:r>
        <w:r w:rsidRPr="00D64683">
          <w:rPr>
            <w:rStyle w:val="Hyperlink"/>
            <w:i w:val="0"/>
            <w:iCs w:val="0"/>
            <w:noProof/>
          </w:rPr>
          <w:t>Securitization Uplift Charge Initial Invoice Escrow Deposits</w:t>
        </w:r>
        <w:r w:rsidRPr="00D64683">
          <w:rPr>
            <w:i w:val="0"/>
            <w:iCs w:val="0"/>
            <w:noProof/>
            <w:webHidden/>
          </w:rPr>
          <w:tab/>
        </w:r>
        <w:r w:rsidRPr="00D64683">
          <w:rPr>
            <w:i w:val="0"/>
            <w:iCs w:val="0"/>
            <w:noProof/>
            <w:webHidden/>
          </w:rPr>
          <w:fldChar w:fldCharType="begin"/>
        </w:r>
        <w:r w:rsidRPr="00D64683">
          <w:rPr>
            <w:i w:val="0"/>
            <w:iCs w:val="0"/>
            <w:noProof/>
            <w:webHidden/>
          </w:rPr>
          <w:instrText xml:space="preserve"> PAGEREF _Toc141428011 \h </w:instrText>
        </w:r>
        <w:r w:rsidRPr="00D64683">
          <w:rPr>
            <w:i w:val="0"/>
            <w:iCs w:val="0"/>
            <w:noProof/>
            <w:webHidden/>
          </w:rPr>
        </w:r>
        <w:r w:rsidRPr="00D64683">
          <w:rPr>
            <w:i w:val="0"/>
            <w:iCs w:val="0"/>
            <w:noProof/>
            <w:webHidden/>
          </w:rPr>
          <w:fldChar w:fldCharType="separate"/>
        </w:r>
        <w:r w:rsidRPr="00D64683">
          <w:rPr>
            <w:i w:val="0"/>
            <w:iCs w:val="0"/>
            <w:noProof/>
            <w:webHidden/>
          </w:rPr>
          <w:t>27-11</w:t>
        </w:r>
        <w:r w:rsidRPr="00D64683">
          <w:rPr>
            <w:i w:val="0"/>
            <w:iCs w:val="0"/>
            <w:noProof/>
            <w:webHidden/>
          </w:rPr>
          <w:fldChar w:fldCharType="end"/>
        </w:r>
      </w:hyperlink>
    </w:p>
    <w:p w14:paraId="54AF1711" w14:textId="4BED5FF2" w:rsidR="00D64683" w:rsidRPr="00D64683" w:rsidRDefault="00D64683">
      <w:pPr>
        <w:pStyle w:val="TOC3"/>
        <w:rPr>
          <w:rFonts w:asciiTheme="minorHAnsi" w:eastAsiaTheme="minorEastAsia" w:hAnsiTheme="minorHAnsi" w:cstheme="minorBidi"/>
          <w:i w:val="0"/>
          <w:iCs w:val="0"/>
          <w:noProof/>
          <w:sz w:val="22"/>
          <w:szCs w:val="22"/>
        </w:rPr>
      </w:pPr>
      <w:hyperlink w:anchor="_Toc141428012" w:history="1">
        <w:r w:rsidRPr="00D64683">
          <w:rPr>
            <w:rStyle w:val="Hyperlink"/>
            <w:i w:val="0"/>
            <w:iCs w:val="0"/>
            <w:noProof/>
          </w:rPr>
          <w:t>27.5.2</w:t>
        </w:r>
        <w:r w:rsidRPr="00D64683">
          <w:rPr>
            <w:rFonts w:asciiTheme="minorHAnsi" w:eastAsiaTheme="minorEastAsia" w:hAnsiTheme="minorHAnsi" w:cstheme="minorBidi"/>
            <w:i w:val="0"/>
            <w:iCs w:val="0"/>
            <w:noProof/>
            <w:sz w:val="22"/>
            <w:szCs w:val="22"/>
          </w:rPr>
          <w:tab/>
        </w:r>
        <w:r w:rsidRPr="00D64683">
          <w:rPr>
            <w:rStyle w:val="Hyperlink"/>
            <w:i w:val="0"/>
            <w:iCs w:val="0"/>
            <w:noProof/>
          </w:rPr>
          <w:t>ERCOT Securitization Uplift Charge Initial Invoice Credit Requirements for Counter-Parties</w:t>
        </w:r>
        <w:r w:rsidRPr="00D64683">
          <w:rPr>
            <w:i w:val="0"/>
            <w:iCs w:val="0"/>
            <w:noProof/>
            <w:webHidden/>
          </w:rPr>
          <w:tab/>
        </w:r>
        <w:r w:rsidRPr="00D64683">
          <w:rPr>
            <w:i w:val="0"/>
            <w:iCs w:val="0"/>
            <w:noProof/>
            <w:webHidden/>
          </w:rPr>
          <w:fldChar w:fldCharType="begin"/>
        </w:r>
        <w:r w:rsidRPr="00D64683">
          <w:rPr>
            <w:i w:val="0"/>
            <w:iCs w:val="0"/>
            <w:noProof/>
            <w:webHidden/>
          </w:rPr>
          <w:instrText xml:space="preserve"> PAGEREF _Toc141428012 \h </w:instrText>
        </w:r>
        <w:r w:rsidRPr="00D64683">
          <w:rPr>
            <w:i w:val="0"/>
            <w:iCs w:val="0"/>
            <w:noProof/>
            <w:webHidden/>
          </w:rPr>
        </w:r>
        <w:r w:rsidRPr="00D64683">
          <w:rPr>
            <w:i w:val="0"/>
            <w:iCs w:val="0"/>
            <w:noProof/>
            <w:webHidden/>
          </w:rPr>
          <w:fldChar w:fldCharType="separate"/>
        </w:r>
        <w:r w:rsidRPr="00D64683">
          <w:rPr>
            <w:i w:val="0"/>
            <w:iCs w:val="0"/>
            <w:noProof/>
            <w:webHidden/>
          </w:rPr>
          <w:t>27-11</w:t>
        </w:r>
        <w:r w:rsidRPr="00D64683">
          <w:rPr>
            <w:i w:val="0"/>
            <w:iCs w:val="0"/>
            <w:noProof/>
            <w:webHidden/>
          </w:rPr>
          <w:fldChar w:fldCharType="end"/>
        </w:r>
      </w:hyperlink>
    </w:p>
    <w:p w14:paraId="5C14CEF3" w14:textId="42784D02" w:rsidR="00D64683" w:rsidRPr="00D64683" w:rsidRDefault="00D64683">
      <w:pPr>
        <w:pStyle w:val="TOC3"/>
        <w:rPr>
          <w:rFonts w:asciiTheme="minorHAnsi" w:eastAsiaTheme="minorEastAsia" w:hAnsiTheme="minorHAnsi" w:cstheme="minorBidi"/>
          <w:i w:val="0"/>
          <w:iCs w:val="0"/>
          <w:noProof/>
          <w:sz w:val="22"/>
          <w:szCs w:val="22"/>
        </w:rPr>
      </w:pPr>
      <w:hyperlink w:anchor="_Toc141428013" w:history="1">
        <w:r w:rsidRPr="00D64683">
          <w:rPr>
            <w:rStyle w:val="Hyperlink"/>
            <w:i w:val="0"/>
            <w:iCs w:val="0"/>
            <w:noProof/>
          </w:rPr>
          <w:t>27.5.3</w:t>
        </w:r>
        <w:r w:rsidRPr="00D64683">
          <w:rPr>
            <w:rFonts w:asciiTheme="minorHAnsi" w:eastAsiaTheme="minorEastAsia" w:hAnsiTheme="minorHAnsi" w:cstheme="minorBidi"/>
            <w:i w:val="0"/>
            <w:iCs w:val="0"/>
            <w:noProof/>
            <w:sz w:val="22"/>
            <w:szCs w:val="22"/>
          </w:rPr>
          <w:tab/>
        </w:r>
        <w:r w:rsidRPr="00D64683">
          <w:rPr>
            <w:rStyle w:val="Hyperlink"/>
            <w:i w:val="0"/>
            <w:iCs w:val="0"/>
            <w:noProof/>
          </w:rPr>
          <w:t>Means of Satisfying Securitization Uplift Charge Initial Invoice Credit Requirements</w:t>
        </w:r>
        <w:r w:rsidRPr="00D64683">
          <w:rPr>
            <w:i w:val="0"/>
            <w:iCs w:val="0"/>
            <w:noProof/>
            <w:webHidden/>
          </w:rPr>
          <w:tab/>
        </w:r>
        <w:r w:rsidRPr="00D64683">
          <w:rPr>
            <w:i w:val="0"/>
            <w:iCs w:val="0"/>
            <w:noProof/>
            <w:webHidden/>
          </w:rPr>
          <w:fldChar w:fldCharType="begin"/>
        </w:r>
        <w:r w:rsidRPr="00D64683">
          <w:rPr>
            <w:i w:val="0"/>
            <w:iCs w:val="0"/>
            <w:noProof/>
            <w:webHidden/>
          </w:rPr>
          <w:instrText xml:space="preserve"> PAGEREF _Toc141428013 \h </w:instrText>
        </w:r>
        <w:r w:rsidRPr="00D64683">
          <w:rPr>
            <w:i w:val="0"/>
            <w:iCs w:val="0"/>
            <w:noProof/>
            <w:webHidden/>
          </w:rPr>
        </w:r>
        <w:r w:rsidRPr="00D64683">
          <w:rPr>
            <w:i w:val="0"/>
            <w:iCs w:val="0"/>
            <w:noProof/>
            <w:webHidden/>
          </w:rPr>
          <w:fldChar w:fldCharType="separate"/>
        </w:r>
        <w:r w:rsidRPr="00D64683">
          <w:rPr>
            <w:i w:val="0"/>
            <w:iCs w:val="0"/>
            <w:noProof/>
            <w:webHidden/>
          </w:rPr>
          <w:t>27-12</w:t>
        </w:r>
        <w:r w:rsidRPr="00D64683">
          <w:rPr>
            <w:i w:val="0"/>
            <w:iCs w:val="0"/>
            <w:noProof/>
            <w:webHidden/>
          </w:rPr>
          <w:fldChar w:fldCharType="end"/>
        </w:r>
      </w:hyperlink>
    </w:p>
    <w:p w14:paraId="25543013" w14:textId="6425B7A5" w:rsidR="00D64683" w:rsidRPr="00D64683" w:rsidRDefault="00D64683">
      <w:pPr>
        <w:pStyle w:val="TOC3"/>
        <w:rPr>
          <w:rFonts w:asciiTheme="minorHAnsi" w:eastAsiaTheme="minorEastAsia" w:hAnsiTheme="minorHAnsi" w:cstheme="minorBidi"/>
          <w:i w:val="0"/>
          <w:iCs w:val="0"/>
          <w:noProof/>
          <w:sz w:val="22"/>
          <w:szCs w:val="22"/>
        </w:rPr>
      </w:pPr>
      <w:hyperlink w:anchor="_Toc141428014" w:history="1">
        <w:r w:rsidRPr="00D64683">
          <w:rPr>
            <w:rStyle w:val="Hyperlink"/>
            <w:i w:val="0"/>
            <w:iCs w:val="0"/>
            <w:noProof/>
          </w:rPr>
          <w:t>27.5.4</w:t>
        </w:r>
        <w:r w:rsidRPr="00D64683">
          <w:rPr>
            <w:rFonts w:asciiTheme="minorHAnsi" w:eastAsiaTheme="minorEastAsia" w:hAnsiTheme="minorHAnsi" w:cstheme="minorBidi"/>
            <w:i w:val="0"/>
            <w:iCs w:val="0"/>
            <w:noProof/>
            <w:sz w:val="22"/>
            <w:szCs w:val="22"/>
          </w:rPr>
          <w:tab/>
        </w:r>
        <w:r w:rsidRPr="00D64683">
          <w:rPr>
            <w:rStyle w:val="Hyperlink"/>
            <w:i w:val="0"/>
            <w:iCs w:val="0"/>
            <w:noProof/>
          </w:rPr>
          <w:t>Determination of Securitization Uplift Charge Credit Exposure for a Counter-Party</w:t>
        </w:r>
        <w:r w:rsidRPr="00D64683">
          <w:rPr>
            <w:i w:val="0"/>
            <w:iCs w:val="0"/>
            <w:noProof/>
            <w:webHidden/>
          </w:rPr>
          <w:tab/>
        </w:r>
        <w:r w:rsidRPr="00D64683">
          <w:rPr>
            <w:i w:val="0"/>
            <w:iCs w:val="0"/>
            <w:noProof/>
            <w:webHidden/>
          </w:rPr>
          <w:fldChar w:fldCharType="begin"/>
        </w:r>
        <w:r w:rsidRPr="00D64683">
          <w:rPr>
            <w:i w:val="0"/>
            <w:iCs w:val="0"/>
            <w:noProof/>
            <w:webHidden/>
          </w:rPr>
          <w:instrText xml:space="preserve"> PAGEREF _Toc141428014 \h </w:instrText>
        </w:r>
        <w:r w:rsidRPr="00D64683">
          <w:rPr>
            <w:i w:val="0"/>
            <w:iCs w:val="0"/>
            <w:noProof/>
            <w:webHidden/>
          </w:rPr>
        </w:r>
        <w:r w:rsidRPr="00D64683">
          <w:rPr>
            <w:i w:val="0"/>
            <w:iCs w:val="0"/>
            <w:noProof/>
            <w:webHidden/>
          </w:rPr>
          <w:fldChar w:fldCharType="separate"/>
        </w:r>
        <w:r w:rsidRPr="00D64683">
          <w:rPr>
            <w:i w:val="0"/>
            <w:iCs w:val="0"/>
            <w:noProof/>
            <w:webHidden/>
          </w:rPr>
          <w:t>27-14</w:t>
        </w:r>
        <w:r w:rsidRPr="00D64683">
          <w:rPr>
            <w:i w:val="0"/>
            <w:iCs w:val="0"/>
            <w:noProof/>
            <w:webHidden/>
          </w:rPr>
          <w:fldChar w:fldCharType="end"/>
        </w:r>
      </w:hyperlink>
    </w:p>
    <w:p w14:paraId="29C4FCAE" w14:textId="4EE05B7A" w:rsidR="00D64683" w:rsidRPr="00D64683" w:rsidRDefault="00D64683">
      <w:pPr>
        <w:pStyle w:val="TOC3"/>
        <w:rPr>
          <w:rFonts w:asciiTheme="minorHAnsi" w:eastAsiaTheme="minorEastAsia" w:hAnsiTheme="minorHAnsi" w:cstheme="minorBidi"/>
          <w:i w:val="0"/>
          <w:iCs w:val="0"/>
          <w:noProof/>
          <w:sz w:val="22"/>
          <w:szCs w:val="22"/>
        </w:rPr>
      </w:pPr>
      <w:hyperlink w:anchor="_Toc141428015" w:history="1">
        <w:r w:rsidRPr="00D64683">
          <w:rPr>
            <w:rStyle w:val="Hyperlink"/>
            <w:i w:val="0"/>
            <w:iCs w:val="0"/>
            <w:noProof/>
          </w:rPr>
          <w:t>27.5.5</w:t>
        </w:r>
        <w:r w:rsidRPr="00D64683">
          <w:rPr>
            <w:rFonts w:asciiTheme="minorHAnsi" w:eastAsiaTheme="minorEastAsia" w:hAnsiTheme="minorHAnsi" w:cstheme="minorBidi"/>
            <w:i w:val="0"/>
            <w:iCs w:val="0"/>
            <w:noProof/>
            <w:sz w:val="22"/>
            <w:szCs w:val="22"/>
          </w:rPr>
          <w:tab/>
        </w:r>
        <w:r w:rsidRPr="00D64683">
          <w:rPr>
            <w:rStyle w:val="Hyperlink"/>
            <w:i w:val="0"/>
            <w:iCs w:val="0"/>
            <w:noProof/>
          </w:rPr>
          <w:t>Monitoring of a Counter-Party’s Securitization Uplift Charge Credit Exposure by ERCOT</w:t>
        </w:r>
        <w:r w:rsidRPr="00D64683">
          <w:rPr>
            <w:i w:val="0"/>
            <w:iCs w:val="0"/>
            <w:noProof/>
            <w:webHidden/>
          </w:rPr>
          <w:tab/>
        </w:r>
        <w:r w:rsidRPr="00D64683">
          <w:rPr>
            <w:i w:val="0"/>
            <w:iCs w:val="0"/>
            <w:noProof/>
            <w:webHidden/>
          </w:rPr>
          <w:fldChar w:fldCharType="begin"/>
        </w:r>
        <w:r w:rsidRPr="00D64683">
          <w:rPr>
            <w:i w:val="0"/>
            <w:iCs w:val="0"/>
            <w:noProof/>
            <w:webHidden/>
          </w:rPr>
          <w:instrText xml:space="preserve"> PAGEREF _Toc141428015 \h </w:instrText>
        </w:r>
        <w:r w:rsidRPr="00D64683">
          <w:rPr>
            <w:i w:val="0"/>
            <w:iCs w:val="0"/>
            <w:noProof/>
            <w:webHidden/>
          </w:rPr>
        </w:r>
        <w:r w:rsidRPr="00D64683">
          <w:rPr>
            <w:i w:val="0"/>
            <w:iCs w:val="0"/>
            <w:noProof/>
            <w:webHidden/>
          </w:rPr>
          <w:fldChar w:fldCharType="separate"/>
        </w:r>
        <w:r w:rsidRPr="00D64683">
          <w:rPr>
            <w:i w:val="0"/>
            <w:iCs w:val="0"/>
            <w:noProof/>
            <w:webHidden/>
          </w:rPr>
          <w:t>27-15</w:t>
        </w:r>
        <w:r w:rsidRPr="00D64683">
          <w:rPr>
            <w:i w:val="0"/>
            <w:iCs w:val="0"/>
            <w:noProof/>
            <w:webHidden/>
          </w:rPr>
          <w:fldChar w:fldCharType="end"/>
        </w:r>
      </w:hyperlink>
    </w:p>
    <w:p w14:paraId="051E6666" w14:textId="58D777D6" w:rsidR="00D64683" w:rsidRPr="00D64683" w:rsidRDefault="00D64683">
      <w:pPr>
        <w:pStyle w:val="TOC3"/>
        <w:rPr>
          <w:rFonts w:asciiTheme="minorHAnsi" w:eastAsiaTheme="minorEastAsia" w:hAnsiTheme="minorHAnsi" w:cstheme="minorBidi"/>
          <w:i w:val="0"/>
          <w:iCs w:val="0"/>
          <w:noProof/>
          <w:sz w:val="22"/>
          <w:szCs w:val="22"/>
        </w:rPr>
      </w:pPr>
      <w:hyperlink w:anchor="_Toc141428016" w:history="1">
        <w:r w:rsidRPr="00D64683">
          <w:rPr>
            <w:rStyle w:val="Hyperlink"/>
            <w:i w:val="0"/>
            <w:iCs w:val="0"/>
            <w:noProof/>
          </w:rPr>
          <w:t>27.5.6</w:t>
        </w:r>
        <w:r w:rsidRPr="00D64683">
          <w:rPr>
            <w:rFonts w:asciiTheme="minorHAnsi" w:eastAsiaTheme="minorEastAsia" w:hAnsiTheme="minorHAnsi" w:cstheme="minorBidi"/>
            <w:i w:val="0"/>
            <w:iCs w:val="0"/>
            <w:noProof/>
            <w:sz w:val="22"/>
            <w:szCs w:val="22"/>
          </w:rPr>
          <w:tab/>
        </w:r>
        <w:r w:rsidRPr="00D64683">
          <w:rPr>
            <w:rStyle w:val="Hyperlink"/>
            <w:i w:val="0"/>
            <w:iCs w:val="0"/>
            <w:noProof/>
          </w:rPr>
          <w:t>Payment Breach and Late Payments by Market Participants</w:t>
        </w:r>
        <w:r w:rsidRPr="00D64683">
          <w:rPr>
            <w:i w:val="0"/>
            <w:iCs w:val="0"/>
            <w:noProof/>
            <w:webHidden/>
          </w:rPr>
          <w:tab/>
        </w:r>
        <w:r w:rsidRPr="00D64683">
          <w:rPr>
            <w:i w:val="0"/>
            <w:iCs w:val="0"/>
            <w:noProof/>
            <w:webHidden/>
          </w:rPr>
          <w:fldChar w:fldCharType="begin"/>
        </w:r>
        <w:r w:rsidRPr="00D64683">
          <w:rPr>
            <w:i w:val="0"/>
            <w:iCs w:val="0"/>
            <w:noProof/>
            <w:webHidden/>
          </w:rPr>
          <w:instrText xml:space="preserve"> PAGEREF _Toc141428016 \h </w:instrText>
        </w:r>
        <w:r w:rsidRPr="00D64683">
          <w:rPr>
            <w:i w:val="0"/>
            <w:iCs w:val="0"/>
            <w:noProof/>
            <w:webHidden/>
          </w:rPr>
        </w:r>
        <w:r w:rsidRPr="00D64683">
          <w:rPr>
            <w:i w:val="0"/>
            <w:iCs w:val="0"/>
            <w:noProof/>
            <w:webHidden/>
          </w:rPr>
          <w:fldChar w:fldCharType="separate"/>
        </w:r>
        <w:r w:rsidRPr="00D64683">
          <w:rPr>
            <w:i w:val="0"/>
            <w:iCs w:val="0"/>
            <w:noProof/>
            <w:webHidden/>
          </w:rPr>
          <w:t>27-17</w:t>
        </w:r>
        <w:r w:rsidRPr="00D64683">
          <w:rPr>
            <w:i w:val="0"/>
            <w:iCs w:val="0"/>
            <w:noProof/>
            <w:webHidden/>
          </w:rPr>
          <w:fldChar w:fldCharType="end"/>
        </w:r>
      </w:hyperlink>
    </w:p>
    <w:p w14:paraId="7A4AF998" w14:textId="745133A3" w:rsidR="00D64683" w:rsidRPr="00D64683" w:rsidRDefault="00D64683">
      <w:pPr>
        <w:pStyle w:val="TOC3"/>
        <w:rPr>
          <w:rFonts w:asciiTheme="minorHAnsi" w:eastAsiaTheme="minorEastAsia" w:hAnsiTheme="minorHAnsi" w:cstheme="minorBidi"/>
          <w:i w:val="0"/>
          <w:iCs w:val="0"/>
          <w:noProof/>
          <w:sz w:val="22"/>
          <w:szCs w:val="22"/>
        </w:rPr>
      </w:pPr>
      <w:hyperlink w:anchor="_Toc141428017" w:history="1">
        <w:r w:rsidRPr="00D64683">
          <w:rPr>
            <w:rStyle w:val="Hyperlink"/>
            <w:i w:val="0"/>
            <w:iCs w:val="0"/>
            <w:noProof/>
          </w:rPr>
          <w:t>27.5.7</w:t>
        </w:r>
        <w:r w:rsidRPr="00D64683">
          <w:rPr>
            <w:rFonts w:asciiTheme="minorHAnsi" w:eastAsiaTheme="minorEastAsia" w:hAnsiTheme="minorHAnsi" w:cstheme="minorBidi"/>
            <w:i w:val="0"/>
            <w:iCs w:val="0"/>
            <w:noProof/>
            <w:sz w:val="22"/>
            <w:szCs w:val="22"/>
          </w:rPr>
          <w:tab/>
        </w:r>
        <w:r w:rsidRPr="00D64683">
          <w:rPr>
            <w:rStyle w:val="Hyperlink"/>
            <w:i w:val="0"/>
            <w:iCs w:val="0"/>
            <w:noProof/>
          </w:rPr>
          <w:t>Release of a Market Participant’s Securitization Uplift Charge Escrow Deposit Requirement</w:t>
        </w:r>
        <w:r w:rsidRPr="00D64683">
          <w:rPr>
            <w:i w:val="0"/>
            <w:iCs w:val="0"/>
            <w:noProof/>
            <w:webHidden/>
          </w:rPr>
          <w:tab/>
        </w:r>
        <w:r w:rsidRPr="00D64683">
          <w:rPr>
            <w:i w:val="0"/>
            <w:iCs w:val="0"/>
            <w:noProof/>
            <w:webHidden/>
          </w:rPr>
          <w:fldChar w:fldCharType="begin"/>
        </w:r>
        <w:r w:rsidRPr="00D64683">
          <w:rPr>
            <w:i w:val="0"/>
            <w:iCs w:val="0"/>
            <w:noProof/>
            <w:webHidden/>
          </w:rPr>
          <w:instrText xml:space="preserve"> PAGEREF _Toc141428017 \h </w:instrText>
        </w:r>
        <w:r w:rsidRPr="00D64683">
          <w:rPr>
            <w:i w:val="0"/>
            <w:iCs w:val="0"/>
            <w:noProof/>
            <w:webHidden/>
          </w:rPr>
        </w:r>
        <w:r w:rsidRPr="00D64683">
          <w:rPr>
            <w:i w:val="0"/>
            <w:iCs w:val="0"/>
            <w:noProof/>
            <w:webHidden/>
          </w:rPr>
          <w:fldChar w:fldCharType="separate"/>
        </w:r>
        <w:r w:rsidRPr="00D64683">
          <w:rPr>
            <w:i w:val="0"/>
            <w:iCs w:val="0"/>
            <w:noProof/>
            <w:webHidden/>
          </w:rPr>
          <w:t>27-17</w:t>
        </w:r>
        <w:r w:rsidRPr="00D64683">
          <w:rPr>
            <w:i w:val="0"/>
            <w:iCs w:val="0"/>
            <w:noProof/>
            <w:webHidden/>
          </w:rPr>
          <w:fldChar w:fldCharType="end"/>
        </w:r>
      </w:hyperlink>
    </w:p>
    <w:p w14:paraId="011F9987" w14:textId="2956324F" w:rsidR="0025427A" w:rsidRDefault="0025427A" w:rsidP="0025427A">
      <w:pPr>
        <w:rPr>
          <w:b/>
          <w:bCs/>
          <w:szCs w:val="24"/>
        </w:rPr>
      </w:pPr>
      <w:r w:rsidRPr="00424F6A">
        <w:rPr>
          <w:bCs/>
          <w:iCs/>
          <w:sz w:val="20"/>
        </w:rPr>
        <w:fldChar w:fldCharType="end"/>
      </w:r>
    </w:p>
    <w:p w14:paraId="34517D4D" w14:textId="77777777" w:rsidR="0025427A" w:rsidRDefault="0025427A" w:rsidP="0025427A">
      <w:pPr>
        <w:sectPr w:rsidR="0025427A">
          <w:headerReference w:type="first" r:id="rId12"/>
          <w:footerReference w:type="first" r:id="rId13"/>
          <w:pgSz w:w="12240" w:h="15840" w:code="1"/>
          <w:pgMar w:top="1440" w:right="1440" w:bottom="1440" w:left="1440" w:header="720" w:footer="510" w:gutter="0"/>
          <w:pgNumType w:start="1" w:chapStyle="1"/>
          <w:cols w:space="720"/>
          <w:titlePg/>
        </w:sectPr>
      </w:pPr>
    </w:p>
    <w:p w14:paraId="3540C1B9" w14:textId="405405C9" w:rsidR="0025427A" w:rsidRDefault="0025427A" w:rsidP="0025427A">
      <w:pPr>
        <w:pStyle w:val="Heading1"/>
      </w:pPr>
      <w:bookmarkStart w:id="0" w:name="_Toc141427994"/>
      <w:r>
        <w:lastRenderedPageBreak/>
        <w:t xml:space="preserve">Securitization Uplift </w:t>
      </w:r>
      <w:r w:rsidR="0082763E">
        <w:t>C</w:t>
      </w:r>
      <w:r>
        <w:t>harges</w:t>
      </w:r>
      <w:bookmarkEnd w:id="0"/>
    </w:p>
    <w:p w14:paraId="1054B7E1" w14:textId="77777777" w:rsidR="0025427A" w:rsidRPr="0025427A" w:rsidRDefault="0025427A" w:rsidP="0025427A">
      <w:pPr>
        <w:keepNext/>
        <w:tabs>
          <w:tab w:val="left" w:pos="900"/>
        </w:tabs>
        <w:spacing w:before="240" w:after="240"/>
        <w:ind w:left="900" w:hanging="900"/>
        <w:outlineLvl w:val="1"/>
        <w:rPr>
          <w:rFonts w:eastAsia="MS Mincho"/>
          <w:bCs/>
        </w:rPr>
      </w:pPr>
      <w:bookmarkStart w:id="1" w:name="_Toc141427995"/>
      <w:r w:rsidRPr="0025427A">
        <w:rPr>
          <w:rFonts w:eastAsia="MS Mincho"/>
          <w:b/>
        </w:rPr>
        <w:t>27.1</w:t>
      </w:r>
      <w:r w:rsidRPr="0025427A">
        <w:rPr>
          <w:rFonts w:eastAsia="MS Mincho"/>
          <w:bCs/>
        </w:rPr>
        <w:tab/>
      </w:r>
      <w:r w:rsidRPr="0025427A">
        <w:rPr>
          <w:b/>
        </w:rPr>
        <w:t>Overview</w:t>
      </w:r>
      <w:bookmarkEnd w:id="1"/>
    </w:p>
    <w:p w14:paraId="1D1EF085" w14:textId="1FF226B5" w:rsidR="0025427A" w:rsidRPr="0025427A" w:rsidRDefault="0025427A" w:rsidP="0025427A">
      <w:pPr>
        <w:spacing w:after="240"/>
        <w:ind w:left="720" w:hanging="720"/>
        <w:rPr>
          <w:rFonts w:eastAsia="MS Mincho"/>
          <w:szCs w:val="24"/>
        </w:rPr>
      </w:pPr>
      <w:r w:rsidRPr="0025427A">
        <w:rPr>
          <w:rFonts w:eastAsia="MS Mincho"/>
          <w:szCs w:val="24"/>
        </w:rPr>
        <w:t>(1)</w:t>
      </w:r>
      <w:r w:rsidRPr="0025427A">
        <w:rPr>
          <w:rFonts w:eastAsia="MS Mincho"/>
          <w:szCs w:val="24"/>
        </w:rPr>
        <w:tab/>
        <w:t xml:space="preserve">This </w:t>
      </w:r>
      <w:r w:rsidR="0082763E">
        <w:rPr>
          <w:rFonts w:eastAsia="MS Mincho"/>
          <w:szCs w:val="24"/>
        </w:rPr>
        <w:t>S</w:t>
      </w:r>
      <w:r w:rsidRPr="0025427A">
        <w:rPr>
          <w:rFonts w:eastAsia="MS Mincho"/>
          <w:szCs w:val="24"/>
        </w:rPr>
        <w:t xml:space="preserve">ection establishes processes for the assessment of Securitization Uplift Charges and Securitization Uplift Charge credit requirements. </w:t>
      </w:r>
    </w:p>
    <w:p w14:paraId="46FDDBDF" w14:textId="77777777" w:rsidR="0025427A" w:rsidRPr="0025427A" w:rsidRDefault="0025427A" w:rsidP="0025427A">
      <w:pPr>
        <w:keepNext/>
        <w:tabs>
          <w:tab w:val="left" w:pos="900"/>
        </w:tabs>
        <w:spacing w:before="240" w:after="240"/>
        <w:ind w:left="900" w:hanging="900"/>
        <w:outlineLvl w:val="1"/>
        <w:rPr>
          <w:b/>
        </w:rPr>
      </w:pPr>
      <w:bookmarkStart w:id="2" w:name="_Toc141427996"/>
      <w:r w:rsidRPr="0025427A">
        <w:rPr>
          <w:b/>
        </w:rPr>
        <w:t>27.2</w:t>
      </w:r>
      <w:r w:rsidRPr="0025427A">
        <w:rPr>
          <w:b/>
        </w:rPr>
        <w:tab/>
        <w:t>Changes Involving Securitization Uplift Charge Opt-Out Entities</w:t>
      </w:r>
      <w:bookmarkEnd w:id="2"/>
    </w:p>
    <w:p w14:paraId="13E8C907" w14:textId="77777777" w:rsidR="0025427A" w:rsidRPr="0025427A" w:rsidRDefault="0025427A" w:rsidP="0025427A">
      <w:pPr>
        <w:spacing w:after="240"/>
        <w:ind w:left="720" w:hanging="720"/>
        <w:rPr>
          <w:rFonts w:eastAsia="MS Mincho"/>
          <w:szCs w:val="24"/>
        </w:rPr>
      </w:pPr>
      <w:r w:rsidRPr="0025427A">
        <w:rPr>
          <w:rFonts w:eastAsia="MS Mincho"/>
          <w:szCs w:val="24"/>
        </w:rPr>
        <w:t>(1)</w:t>
      </w:r>
      <w:r w:rsidRPr="0025427A">
        <w:rPr>
          <w:rFonts w:eastAsia="MS Mincho"/>
          <w:szCs w:val="24"/>
        </w:rPr>
        <w:tab/>
        <w:t>For purposes of the calculation of Securitization Uplift Charges pursuant to Section 27.3,</w:t>
      </w:r>
      <w:r w:rsidRPr="0025427A">
        <w:rPr>
          <w:szCs w:val="24"/>
        </w:rPr>
        <w:t xml:space="preserve"> Securitization Uplift Charge,</w:t>
      </w:r>
      <w:r w:rsidRPr="0025427A">
        <w:rPr>
          <w:rFonts w:eastAsia="MS Mincho"/>
          <w:szCs w:val="24"/>
        </w:rPr>
        <w:t xml:space="preserve"> a change to the Retail Electric Provider (REP) of a Securitization Uplift Charge Opt-Out Entity that is a transmission-voltage Customer of a REP will be reflected upon completion of the Switch Request for that transmission-voltage Customer.  A REP is responsible for maintaining current records of transmission-voltage Customers that are Securitization Uplift Charge Opt-Out Entities.  </w:t>
      </w:r>
    </w:p>
    <w:p w14:paraId="6474C697" w14:textId="77777777" w:rsidR="0025427A" w:rsidRPr="0025427A" w:rsidRDefault="0025427A" w:rsidP="0025427A">
      <w:pPr>
        <w:spacing w:after="240"/>
        <w:ind w:left="720" w:hanging="720"/>
        <w:rPr>
          <w:rFonts w:eastAsia="MS Mincho"/>
          <w:szCs w:val="24"/>
        </w:rPr>
      </w:pPr>
      <w:r w:rsidRPr="0025427A">
        <w:rPr>
          <w:rFonts w:eastAsia="MS Mincho"/>
          <w:szCs w:val="24"/>
        </w:rPr>
        <w:t>(2)</w:t>
      </w:r>
      <w:r w:rsidRPr="0025427A">
        <w:rPr>
          <w:rFonts w:eastAsia="MS Mincho"/>
          <w:szCs w:val="24"/>
        </w:rPr>
        <w:tab/>
        <w:t>ERCOT, in its discretion, may seek information from a REP or Transmission and/or Distribution Service Provider (TDSP) regarding a Securitization Uplift Charge Opt-Out Entity that is a transmission-voltage Customer of a REP if ERCOT has reason to believe that there has been a change of transmission-voltage Customer at an Electric Service Identifier (ESI ID) associated with the Securitization Uplift Charge Opt-Out Entity.  ERCOT may seek relief from the Public Utility Commission of Texas (PUCT) if ERCOT has reason to believe that there has been a change that disqualifies an ESI ID or the transmission-voltage Customer from continued treatment as a Securitization Uplift Charge Opt-Out Entity.</w:t>
      </w:r>
    </w:p>
    <w:p w14:paraId="6EF37FC5" w14:textId="77777777" w:rsidR="0025427A" w:rsidRPr="0025427A" w:rsidRDefault="0025427A" w:rsidP="0025427A">
      <w:pPr>
        <w:spacing w:after="240"/>
        <w:ind w:left="720" w:hanging="720"/>
        <w:rPr>
          <w:rFonts w:eastAsia="MS Mincho"/>
          <w:szCs w:val="24"/>
        </w:rPr>
      </w:pPr>
      <w:r w:rsidRPr="0025427A">
        <w:rPr>
          <w:rFonts w:eastAsia="MS Mincho"/>
          <w:szCs w:val="24"/>
        </w:rPr>
        <w:t>(3)</w:t>
      </w:r>
      <w:r w:rsidRPr="0025427A">
        <w:rPr>
          <w:rFonts w:eastAsia="MS Mincho"/>
          <w:szCs w:val="24"/>
        </w:rPr>
        <w:tab/>
        <w:t>If a Securitization Uplift Charge Opt-Out Entity is an Electric Cooperative (EC), Municipally Owned Utility (MOU), or river authority, but is not registered with ERCOT as a Load Serving Entity (LSE), and registers with ERCOT as an LSE or changes its LSE, then ERCOT may, as part of the LSE registration process, request that the Market Participant notify ERCOT of the Market Participant’s status as a Securitization Uplift Charge Opt-Out Entity.  The failure of an EC, MOU, or river authority to notify ERCOT of its Securitization Uplift Charge Opt-Out Entity status in the LSE registration process will not impact the Market Participant’s status as a Securitization Uplift Charge Opt-Out Entity.</w:t>
      </w:r>
    </w:p>
    <w:p w14:paraId="0E799E82" w14:textId="77777777" w:rsidR="0025427A" w:rsidRPr="0025427A" w:rsidRDefault="0025427A" w:rsidP="0025427A">
      <w:pPr>
        <w:spacing w:after="240"/>
        <w:ind w:left="720" w:hanging="720"/>
        <w:rPr>
          <w:szCs w:val="24"/>
        </w:rPr>
      </w:pPr>
      <w:r w:rsidRPr="0025427A">
        <w:rPr>
          <w:rFonts w:eastAsia="MS Mincho"/>
          <w:szCs w:val="24"/>
        </w:rPr>
        <w:t>(4)</w:t>
      </w:r>
      <w:r w:rsidRPr="0025427A">
        <w:rPr>
          <w:rFonts w:eastAsia="MS Mincho"/>
          <w:szCs w:val="24"/>
        </w:rPr>
        <w:tab/>
        <w:t xml:space="preserve">A </w:t>
      </w:r>
      <w:r w:rsidRPr="0025427A">
        <w:rPr>
          <w:szCs w:val="24"/>
        </w:rPr>
        <w:t xml:space="preserve">Securitization Uplift Charge Opt-Out Entity that is a REP must notify ERCOT within five Business Days </w:t>
      </w:r>
      <w:r w:rsidRPr="0025427A">
        <w:rPr>
          <w:rFonts w:eastAsia="MS Mincho"/>
          <w:szCs w:val="24"/>
        </w:rPr>
        <w:t>of filing an application to amend</w:t>
      </w:r>
      <w:r w:rsidRPr="0025427A">
        <w:rPr>
          <w:szCs w:val="24"/>
        </w:rPr>
        <w:t xml:space="preserve"> its REP certification status </w:t>
      </w:r>
      <w:r w:rsidRPr="0025427A">
        <w:rPr>
          <w:rFonts w:eastAsia="MS Mincho"/>
          <w:szCs w:val="24"/>
        </w:rPr>
        <w:t xml:space="preserve">or option type </w:t>
      </w:r>
      <w:r w:rsidRPr="0025427A">
        <w:rPr>
          <w:szCs w:val="24"/>
        </w:rPr>
        <w:t>with the PUCT.</w:t>
      </w:r>
    </w:p>
    <w:p w14:paraId="6AC2911A" w14:textId="77777777" w:rsidR="0025427A" w:rsidRPr="0025427A" w:rsidRDefault="0025427A" w:rsidP="0025427A">
      <w:pPr>
        <w:spacing w:after="240"/>
        <w:ind w:left="720" w:hanging="720"/>
        <w:rPr>
          <w:rFonts w:eastAsia="MS Mincho"/>
          <w:szCs w:val="24"/>
        </w:rPr>
      </w:pPr>
      <w:r w:rsidRPr="0025427A">
        <w:rPr>
          <w:rFonts w:eastAsia="MS Mincho"/>
          <w:szCs w:val="24"/>
        </w:rPr>
        <w:t>(5)</w:t>
      </w:r>
      <w:r w:rsidRPr="0025427A">
        <w:rPr>
          <w:rFonts w:eastAsia="MS Mincho"/>
          <w:szCs w:val="24"/>
        </w:rPr>
        <w:tab/>
        <w:t>A Securitization Uplift Charge Opt-Out Entity that is a REP must notify ERCOT within five Business Days of the REP becoming the Competitive Retailer (CR) of Record for a Customer that is not an affiliate of the REP or that does not have the same corporate parent of the REP.</w:t>
      </w:r>
    </w:p>
    <w:p w14:paraId="45459545" w14:textId="20B49986" w:rsidR="0025427A" w:rsidRPr="0025427A" w:rsidRDefault="0025427A" w:rsidP="0025427A">
      <w:pPr>
        <w:spacing w:after="240"/>
        <w:ind w:left="720" w:hanging="720"/>
        <w:rPr>
          <w:rFonts w:eastAsia="MS Mincho"/>
          <w:szCs w:val="24"/>
        </w:rPr>
      </w:pPr>
      <w:r w:rsidRPr="0025427A">
        <w:rPr>
          <w:rFonts w:eastAsia="MS Mincho"/>
          <w:szCs w:val="24"/>
        </w:rPr>
        <w:lastRenderedPageBreak/>
        <w:t>(6)</w:t>
      </w:r>
      <w:r w:rsidRPr="0025427A">
        <w:rPr>
          <w:rFonts w:eastAsia="MS Mincho"/>
          <w:szCs w:val="24"/>
        </w:rPr>
        <w:tab/>
        <w:t xml:space="preserve">Subject to paragraph (2) above, if a transmission-voltage Customer of a REP is a Securitization Uplift Charge Opt-Out Entity, the only ESI IDs associated with the transmission-voltage Customer that will be included in the Adjusted Metered Load </w:t>
      </w:r>
      <w:r w:rsidR="0082763E">
        <w:rPr>
          <w:rFonts w:eastAsia="MS Mincho"/>
          <w:szCs w:val="24"/>
        </w:rPr>
        <w:t xml:space="preserve">(AML) </w:t>
      </w:r>
      <w:r w:rsidRPr="0025427A">
        <w:rPr>
          <w:rFonts w:eastAsia="MS Mincho"/>
          <w:szCs w:val="24"/>
        </w:rPr>
        <w:t xml:space="preserve">adjustments for Securitization Uplift Charge Opt-Out Entities made under Section 27.3 are the specific ESI IDs included in opt-out notifications filed by the opt-out deadline in PUCT Project No. 52364, Proceeding for Eligible Entities to File an </w:t>
      </w:r>
      <w:proofErr w:type="spellStart"/>
      <w:r w:rsidRPr="0025427A">
        <w:rPr>
          <w:rFonts w:eastAsia="MS Mincho"/>
          <w:szCs w:val="24"/>
        </w:rPr>
        <w:t>Opt</w:t>
      </w:r>
      <w:proofErr w:type="spellEnd"/>
      <w:r w:rsidRPr="0025427A">
        <w:rPr>
          <w:rFonts w:eastAsia="MS Mincho"/>
          <w:szCs w:val="24"/>
        </w:rPr>
        <w:t xml:space="preserve"> Out Pursuant to PURA § 39.653(d) and for Load-Serving Entities to File </w:t>
      </w:r>
      <w:r w:rsidR="0082763E">
        <w:rPr>
          <w:rFonts w:eastAsia="MS Mincho"/>
          <w:szCs w:val="24"/>
        </w:rPr>
        <w:t>D</w:t>
      </w:r>
      <w:r w:rsidRPr="0025427A">
        <w:rPr>
          <w:rFonts w:eastAsia="MS Mincho"/>
          <w:szCs w:val="24"/>
        </w:rPr>
        <w:t xml:space="preserve">ocumentation of Exposure to Costs Pursuant to the Debt Obligation Order in Docket No. 52322.  </w:t>
      </w:r>
    </w:p>
    <w:p w14:paraId="3D2DC9FB" w14:textId="66CF9E52" w:rsidR="000C35B5" w:rsidRPr="000C35B5" w:rsidRDefault="000C35B5" w:rsidP="000C35B5">
      <w:pPr>
        <w:keepNext/>
        <w:tabs>
          <w:tab w:val="left" w:pos="1080"/>
        </w:tabs>
        <w:spacing w:before="240" w:after="240"/>
        <w:ind w:left="1080" w:hanging="1080"/>
        <w:outlineLvl w:val="2"/>
        <w:rPr>
          <w:b/>
          <w:bCs/>
          <w:i/>
        </w:rPr>
      </w:pPr>
      <w:bookmarkStart w:id="3" w:name="_Toc141427997"/>
      <w:r w:rsidRPr="000C35B5">
        <w:rPr>
          <w:b/>
          <w:bCs/>
          <w:i/>
        </w:rPr>
        <w:t>27.2.1</w:t>
      </w:r>
      <w:r w:rsidRPr="000C35B5">
        <w:rPr>
          <w:b/>
          <w:bCs/>
          <w:i/>
        </w:rPr>
        <w:tab/>
        <w:t>Return of Securitization Proceeds</w:t>
      </w:r>
      <w:bookmarkEnd w:id="3"/>
      <w:r w:rsidRPr="000C35B5">
        <w:rPr>
          <w:b/>
          <w:bCs/>
          <w:i/>
        </w:rPr>
        <w:t xml:space="preserve"> </w:t>
      </w:r>
    </w:p>
    <w:p w14:paraId="70E961FF" w14:textId="0E6D0A6D" w:rsidR="000C35B5" w:rsidRPr="000C35B5" w:rsidRDefault="000C35B5" w:rsidP="000C35B5">
      <w:pPr>
        <w:spacing w:after="240"/>
        <w:ind w:left="720" w:hanging="720"/>
        <w:rPr>
          <w:bCs/>
        </w:rPr>
      </w:pPr>
      <w:r w:rsidRPr="000C35B5">
        <w:rPr>
          <w:bCs/>
        </w:rPr>
        <w:t>(1)</w:t>
      </w:r>
      <w:r w:rsidRPr="000C35B5">
        <w:rPr>
          <w:bCs/>
        </w:rPr>
        <w:tab/>
        <w:t>If an LSE is required under PURA § 39.664 or the Debt Obligation Order in Docket No. 52322 to return securitization proceeds, then the LSE must remit the proceeds to its</w:t>
      </w:r>
      <w:r w:rsidR="00763B23" w:rsidRPr="000C35B5">
        <w:rPr>
          <w:bCs/>
        </w:rPr>
        <w:t xml:space="preserve"> </w:t>
      </w:r>
      <w:r w:rsidR="00763B23">
        <w:rPr>
          <w:bCs/>
        </w:rPr>
        <w:t>Qualified Scheduling Entity (</w:t>
      </w:r>
      <w:r w:rsidR="00763B23" w:rsidRPr="000C35B5">
        <w:rPr>
          <w:bCs/>
        </w:rPr>
        <w:t>QSE</w:t>
      </w:r>
      <w:r w:rsidR="00763B23">
        <w:rPr>
          <w:bCs/>
        </w:rPr>
        <w:t>)</w:t>
      </w:r>
      <w:r w:rsidRPr="000C35B5">
        <w:rPr>
          <w:bCs/>
        </w:rPr>
        <w:t xml:space="preserve">, and the QSE shall remit those funds to ERCOT within two Business Days of the QSE receiving the funds from the LSE.  The funds must be paid by the QSE to the account designated for payment of Securitization Uplift Charge Invoices. </w:t>
      </w:r>
    </w:p>
    <w:p w14:paraId="197C5774" w14:textId="09287A52" w:rsidR="0025427A" w:rsidRPr="0025427A" w:rsidRDefault="0025427A" w:rsidP="000C35B5">
      <w:pPr>
        <w:keepNext/>
        <w:tabs>
          <w:tab w:val="left" w:pos="900"/>
        </w:tabs>
        <w:spacing w:before="240" w:after="240"/>
        <w:ind w:left="900" w:hanging="900"/>
        <w:outlineLvl w:val="1"/>
        <w:rPr>
          <w:b/>
        </w:rPr>
      </w:pPr>
      <w:bookmarkStart w:id="4" w:name="_Toc141427998"/>
      <w:r w:rsidRPr="0025427A">
        <w:rPr>
          <w:b/>
        </w:rPr>
        <w:t>27.3</w:t>
      </w:r>
      <w:r w:rsidRPr="0025427A">
        <w:rPr>
          <w:b/>
        </w:rPr>
        <w:tab/>
        <w:t>Securitization Uplift Charge</w:t>
      </w:r>
      <w:bookmarkEnd w:id="4"/>
      <w:r w:rsidRPr="0025427A">
        <w:rPr>
          <w:b/>
        </w:rPr>
        <w:t xml:space="preserve"> </w:t>
      </w:r>
    </w:p>
    <w:p w14:paraId="5233B962" w14:textId="77777777" w:rsidR="0025427A" w:rsidRPr="0025427A" w:rsidRDefault="0025427A" w:rsidP="0025427A">
      <w:pPr>
        <w:spacing w:after="240"/>
        <w:ind w:left="720" w:hanging="720"/>
        <w:rPr>
          <w:rFonts w:eastAsia="MS Mincho"/>
        </w:rPr>
      </w:pPr>
      <w:bookmarkStart w:id="5" w:name="_Hlk81389961"/>
      <w:r w:rsidRPr="0025427A">
        <w:rPr>
          <w:rFonts w:eastAsia="MS Mincho"/>
        </w:rPr>
        <w:t>(1)</w:t>
      </w:r>
      <w:r w:rsidRPr="0025427A">
        <w:rPr>
          <w:rFonts w:eastAsia="MS Mincho"/>
        </w:rPr>
        <w:tab/>
        <w:t>ERCOT shall allocate to Qualified Scheduling Entities (QSEs) representing obligated Load Serving Entities (LSEs), the Securitization Uplift Charge that is to be collected for the Operating Day.  The resulting charge to each QSE for the Operating Day is calculated as follows:</w:t>
      </w:r>
    </w:p>
    <w:p w14:paraId="255BBFF1" w14:textId="77777777" w:rsidR="0025427A" w:rsidRPr="0025427A" w:rsidRDefault="0025427A" w:rsidP="0025427A">
      <w:pPr>
        <w:tabs>
          <w:tab w:val="left" w:pos="2340"/>
          <w:tab w:val="left" w:pos="2610"/>
          <w:tab w:val="left" w:pos="3420"/>
        </w:tabs>
        <w:spacing w:after="240"/>
        <w:ind w:left="3420" w:hanging="2700"/>
        <w:rPr>
          <w:rFonts w:eastAsia="MS Mincho"/>
          <w:b/>
          <w:bCs/>
          <w:i/>
          <w:szCs w:val="24"/>
          <w:vertAlign w:val="subscript"/>
        </w:rPr>
      </w:pPr>
      <w:r w:rsidRPr="0025427A">
        <w:rPr>
          <w:rFonts w:eastAsia="MS Mincho"/>
          <w:b/>
          <w:bCs/>
          <w:szCs w:val="24"/>
        </w:rPr>
        <w:t xml:space="preserve">LASUCAMT </w:t>
      </w:r>
      <w:r w:rsidRPr="0025427A">
        <w:rPr>
          <w:rFonts w:eastAsia="MS Mincho"/>
          <w:b/>
          <w:bCs/>
          <w:i/>
          <w:szCs w:val="24"/>
          <w:vertAlign w:val="subscript"/>
        </w:rPr>
        <w:t>q, d</w:t>
      </w:r>
      <w:r w:rsidRPr="0025427A">
        <w:rPr>
          <w:rFonts w:eastAsia="MS Mincho"/>
          <w:b/>
          <w:bCs/>
          <w:szCs w:val="24"/>
        </w:rPr>
        <w:tab/>
        <w:t>=</w:t>
      </w:r>
      <w:r w:rsidRPr="0025427A">
        <w:rPr>
          <w:rFonts w:eastAsia="MS Mincho"/>
          <w:b/>
          <w:bCs/>
          <w:szCs w:val="24"/>
        </w:rPr>
        <w:tab/>
        <w:t>SUCDA</w:t>
      </w:r>
      <w:r w:rsidRPr="0025427A">
        <w:rPr>
          <w:rFonts w:eastAsia="MS Mincho"/>
          <w:b/>
          <w:bCs/>
          <w:i/>
          <w:szCs w:val="24"/>
          <w:vertAlign w:val="subscript"/>
        </w:rPr>
        <w:t xml:space="preserve"> d</w:t>
      </w:r>
      <w:r w:rsidRPr="0025427A">
        <w:rPr>
          <w:rFonts w:eastAsia="MS Mincho"/>
          <w:b/>
          <w:bCs/>
          <w:szCs w:val="24"/>
        </w:rPr>
        <w:t xml:space="preserve"> * DQSELSELRS </w:t>
      </w:r>
      <w:r w:rsidRPr="0025427A">
        <w:rPr>
          <w:rFonts w:eastAsia="MS Mincho"/>
          <w:b/>
          <w:bCs/>
          <w:i/>
          <w:szCs w:val="24"/>
          <w:vertAlign w:val="subscript"/>
        </w:rPr>
        <w:t>q, d</w:t>
      </w:r>
    </w:p>
    <w:p w14:paraId="4BDF4423" w14:textId="77777777" w:rsidR="0025427A" w:rsidRPr="0025427A" w:rsidRDefault="0025427A" w:rsidP="0025427A">
      <w:pPr>
        <w:spacing w:after="240"/>
        <w:ind w:firstLine="720"/>
        <w:rPr>
          <w:rFonts w:eastAsia="MS Mincho"/>
          <w:iCs/>
          <w:szCs w:val="24"/>
          <w:lang w:val="sv-SE"/>
        </w:rPr>
      </w:pPr>
      <w:r w:rsidRPr="0025427A">
        <w:rPr>
          <w:rFonts w:eastAsia="MS Mincho"/>
          <w:iCs/>
          <w:szCs w:val="24"/>
          <w:lang w:val="sv-SE"/>
        </w:rPr>
        <w:t>Where:</w:t>
      </w:r>
    </w:p>
    <w:p w14:paraId="4F45C669" w14:textId="4BE553F2" w:rsidR="0025427A" w:rsidRPr="0025427A" w:rsidRDefault="0025427A" w:rsidP="0025427A">
      <w:pPr>
        <w:spacing w:after="240"/>
        <w:ind w:left="720" w:firstLine="720"/>
        <w:rPr>
          <w:rFonts w:eastAsia="MS Mincho"/>
          <w:i/>
          <w:szCs w:val="24"/>
          <w:vertAlign w:val="subscript"/>
        </w:rPr>
      </w:pPr>
      <w:r w:rsidRPr="0025427A">
        <w:rPr>
          <w:rFonts w:eastAsia="MS Mincho"/>
          <w:szCs w:val="24"/>
        </w:rPr>
        <w:t xml:space="preserve">DQSELSELRS </w:t>
      </w:r>
      <w:r w:rsidRPr="0025427A">
        <w:rPr>
          <w:rFonts w:eastAsia="MS Mincho"/>
          <w:i/>
          <w:szCs w:val="24"/>
          <w:vertAlign w:val="subscript"/>
        </w:rPr>
        <w:t>q, d</w:t>
      </w:r>
      <w:r w:rsidRPr="0025427A">
        <w:rPr>
          <w:rFonts w:eastAsia="MS Mincho"/>
          <w:iCs/>
          <w:szCs w:val="24"/>
          <w:lang w:val="sv-SE"/>
        </w:rPr>
        <w:t xml:space="preserve"> = </w:t>
      </w:r>
      <w:r w:rsidRPr="0025427A">
        <w:rPr>
          <w:rFonts w:eastAsia="MS Mincho"/>
          <w:szCs w:val="24"/>
        </w:rPr>
        <w:t xml:space="preserve">DQSELSERTAML </w:t>
      </w:r>
      <w:r w:rsidRPr="0025427A">
        <w:rPr>
          <w:rFonts w:eastAsia="MS Mincho"/>
          <w:i/>
          <w:szCs w:val="24"/>
          <w:vertAlign w:val="subscript"/>
        </w:rPr>
        <w:t>q, d</w:t>
      </w:r>
      <w:r w:rsidR="0082763E" w:rsidRPr="0025427A">
        <w:rPr>
          <w:rFonts w:eastAsia="MS Mincho"/>
          <w:i/>
          <w:szCs w:val="24"/>
        </w:rPr>
        <w:t xml:space="preserve"> </w:t>
      </w:r>
      <w:r w:rsidRPr="0025427A">
        <w:rPr>
          <w:rFonts w:eastAsia="MS Mincho"/>
          <w:i/>
          <w:szCs w:val="24"/>
        </w:rPr>
        <w:t xml:space="preserve">/ </w:t>
      </w:r>
      <w:r w:rsidRPr="0025427A">
        <w:rPr>
          <w:rFonts w:eastAsia="MS Mincho"/>
          <w:szCs w:val="24"/>
        </w:rPr>
        <w:t xml:space="preserve">DERCOTQSELSERTAML </w:t>
      </w:r>
      <w:r w:rsidRPr="0025427A">
        <w:rPr>
          <w:rFonts w:eastAsia="MS Mincho"/>
          <w:i/>
          <w:szCs w:val="24"/>
          <w:vertAlign w:val="subscript"/>
        </w:rPr>
        <w:t>d</w:t>
      </w:r>
    </w:p>
    <w:p w14:paraId="42D97FDD" w14:textId="12E97AA3" w:rsidR="0025427A" w:rsidRPr="0025427A" w:rsidRDefault="0025427A" w:rsidP="0025427A">
      <w:pPr>
        <w:spacing w:after="240"/>
        <w:ind w:left="720" w:firstLine="720"/>
        <w:rPr>
          <w:rFonts w:eastAsia="MS Mincho"/>
          <w:iCs/>
          <w:szCs w:val="24"/>
        </w:rPr>
      </w:pPr>
      <w:r w:rsidRPr="0025427A">
        <w:rPr>
          <w:rFonts w:eastAsia="MS Mincho"/>
          <w:szCs w:val="24"/>
        </w:rPr>
        <w:t xml:space="preserve">DQSELSERTAML </w:t>
      </w:r>
      <w:r w:rsidRPr="0025427A">
        <w:rPr>
          <w:rFonts w:eastAsia="MS Mincho"/>
          <w:i/>
          <w:szCs w:val="24"/>
          <w:vertAlign w:val="subscript"/>
        </w:rPr>
        <w:t>q, d</w:t>
      </w:r>
      <w:r w:rsidRPr="0025427A">
        <w:rPr>
          <w:rFonts w:eastAsia="MS Mincho"/>
          <w:i/>
          <w:szCs w:val="24"/>
        </w:rPr>
        <w:t xml:space="preserve"> </w:t>
      </w:r>
      <w:r w:rsidRPr="0025427A">
        <w:rPr>
          <w:rFonts w:eastAsia="MS Mincho"/>
          <w:iCs/>
          <w:szCs w:val="24"/>
          <w:lang w:val="sv-SE"/>
        </w:rPr>
        <w:t xml:space="preserve">= max(0, </w:t>
      </w:r>
      <m:oMath>
        <m:nary>
          <m:naryPr>
            <m:chr m:val="∑"/>
            <m:grow m:val="1"/>
            <m:ctrlPr>
              <w:rPr>
                <w:rFonts w:ascii="Cambria Math" w:eastAsia="MS Mincho" w:hAnsi="Cambria Math"/>
                <w:iCs/>
                <w:szCs w:val="24"/>
                <w:lang w:val="sv-SE"/>
              </w:rPr>
            </m:ctrlPr>
          </m:naryPr>
          <m:sub>
            <m:r>
              <w:rPr>
                <w:rFonts w:ascii="Cambria Math" w:eastAsia="Cambria Math" w:hAnsi="Cambria Math" w:cs="Cambria Math"/>
                <w:szCs w:val="24"/>
                <w:lang w:val="sv-SE"/>
              </w:rPr>
              <m:t>i,l</m:t>
            </m:r>
          </m:sub>
          <m:sup>
            <m:r>
              <w:rPr>
                <w:rFonts w:ascii="Cambria Math" w:eastAsia="MS Mincho" w:hAnsi="Cambria Math"/>
                <w:szCs w:val="24"/>
                <w:lang w:val="sv-SE"/>
              </w:rPr>
              <m:t xml:space="preserve"> </m:t>
            </m:r>
          </m:sup>
          <m:e>
            <m:r>
              <w:rPr>
                <w:rFonts w:ascii="Cambria Math" w:eastAsia="MS Mincho" w:hAnsi="Cambria Math"/>
                <w:szCs w:val="24"/>
                <w:lang w:val="sv-SE"/>
              </w:rPr>
              <m:t>(</m:t>
            </m:r>
          </m:e>
        </m:nary>
      </m:oMath>
      <w:r w:rsidRPr="0025427A">
        <w:rPr>
          <w:rFonts w:eastAsia="MS Mincho"/>
          <w:szCs w:val="24"/>
        </w:rPr>
        <w:t xml:space="preserve">LSERTAML </w:t>
      </w:r>
      <w:r w:rsidRPr="0025427A">
        <w:rPr>
          <w:rFonts w:eastAsia="MS Mincho"/>
          <w:i/>
          <w:szCs w:val="24"/>
          <w:vertAlign w:val="subscript"/>
        </w:rPr>
        <w:t>l</w:t>
      </w:r>
      <w:r w:rsidRPr="0025427A">
        <w:rPr>
          <w:rFonts w:eastAsia="MS Mincho"/>
          <w:szCs w:val="24"/>
          <w:vertAlign w:val="subscript"/>
        </w:rPr>
        <w:t>,</w:t>
      </w:r>
      <w:r w:rsidRPr="0025427A">
        <w:rPr>
          <w:rFonts w:eastAsia="MS Mincho"/>
          <w:szCs w:val="24"/>
        </w:rPr>
        <w:t xml:space="preserve"> </w:t>
      </w:r>
      <w:r w:rsidRPr="0025427A">
        <w:rPr>
          <w:rFonts w:eastAsia="MS Mincho"/>
          <w:i/>
          <w:szCs w:val="24"/>
          <w:vertAlign w:val="subscript"/>
        </w:rPr>
        <w:t>q, i</w:t>
      </w:r>
      <w:r w:rsidRPr="0025427A">
        <w:rPr>
          <w:rFonts w:eastAsia="MS Mincho"/>
          <w:iCs/>
          <w:szCs w:val="24"/>
        </w:rPr>
        <w:t xml:space="preserve">)) </w:t>
      </w:r>
    </w:p>
    <w:p w14:paraId="2D0B1355" w14:textId="194A4B05" w:rsidR="0025427A" w:rsidRPr="0025427A" w:rsidRDefault="0025427A" w:rsidP="0025427A">
      <w:pPr>
        <w:spacing w:after="240"/>
        <w:ind w:left="720" w:firstLine="720"/>
        <w:rPr>
          <w:rFonts w:eastAsia="MS Mincho"/>
          <w:iCs/>
          <w:szCs w:val="24"/>
        </w:rPr>
      </w:pPr>
      <w:r w:rsidRPr="0025427A">
        <w:rPr>
          <w:rFonts w:eastAsia="MS Mincho"/>
          <w:szCs w:val="24"/>
        </w:rPr>
        <w:t xml:space="preserve">DERCOTQSELSERTAML </w:t>
      </w:r>
      <w:r w:rsidRPr="0025427A">
        <w:rPr>
          <w:rFonts w:eastAsia="MS Mincho"/>
          <w:i/>
          <w:szCs w:val="24"/>
          <w:vertAlign w:val="subscript"/>
        </w:rPr>
        <w:t>d</w:t>
      </w:r>
      <w:r w:rsidRPr="0025427A">
        <w:rPr>
          <w:rFonts w:eastAsia="MS Mincho"/>
          <w:i/>
          <w:szCs w:val="24"/>
        </w:rPr>
        <w:t xml:space="preserve"> =</w:t>
      </w:r>
      <m:oMath>
        <m:nary>
          <m:naryPr>
            <m:chr m:val="∑"/>
            <m:grow m:val="1"/>
            <m:ctrlPr>
              <w:rPr>
                <w:rFonts w:ascii="Cambria Math" w:eastAsia="MS Mincho" w:hAnsi="Cambria Math"/>
                <w:iCs/>
                <w:szCs w:val="24"/>
                <w:lang w:val="sv-SE"/>
              </w:rPr>
            </m:ctrlPr>
          </m:naryPr>
          <m:sub>
            <m:r>
              <w:rPr>
                <w:rFonts w:ascii="Cambria Math" w:eastAsia="Cambria Math" w:hAnsi="Cambria Math" w:cs="Cambria Math"/>
                <w:szCs w:val="24"/>
                <w:lang w:val="sv-SE"/>
              </w:rPr>
              <m:t>q</m:t>
            </m:r>
          </m:sub>
          <m:sup>
            <m:r>
              <w:rPr>
                <w:rFonts w:ascii="Cambria Math" w:eastAsia="MS Mincho" w:hAnsi="Cambria Math"/>
                <w:szCs w:val="24"/>
                <w:lang w:val="sv-SE"/>
              </w:rPr>
              <m:t xml:space="preserve"> </m:t>
            </m:r>
          </m:sup>
          <m:e>
            <m:r>
              <w:rPr>
                <w:rFonts w:ascii="Cambria Math" w:eastAsia="MS Mincho" w:hAnsi="Cambria Math"/>
                <w:szCs w:val="24"/>
                <w:lang w:val="sv-SE"/>
              </w:rPr>
              <m:t>(</m:t>
            </m:r>
          </m:e>
        </m:nary>
      </m:oMath>
      <w:r w:rsidRPr="0025427A">
        <w:rPr>
          <w:rFonts w:eastAsia="MS Mincho"/>
          <w:iCs/>
          <w:szCs w:val="24"/>
          <w:lang w:val="sv-SE"/>
        </w:rPr>
        <w:t>DQSE</w:t>
      </w:r>
      <w:r w:rsidRPr="0025427A">
        <w:rPr>
          <w:rFonts w:eastAsia="MS Mincho"/>
          <w:szCs w:val="24"/>
        </w:rPr>
        <w:t xml:space="preserve">LSERTAML </w:t>
      </w:r>
      <w:r w:rsidRPr="0025427A">
        <w:rPr>
          <w:rFonts w:eastAsia="MS Mincho"/>
          <w:i/>
          <w:szCs w:val="24"/>
          <w:vertAlign w:val="subscript"/>
        </w:rPr>
        <w:t>q, d</w:t>
      </w:r>
      <w:r w:rsidRPr="0025427A">
        <w:rPr>
          <w:rFonts w:eastAsia="MS Mincho"/>
          <w:iCs/>
          <w:szCs w:val="24"/>
        </w:rPr>
        <w:t>)</w:t>
      </w:r>
    </w:p>
    <w:p w14:paraId="1CF179C0" w14:textId="77777777" w:rsidR="0025427A" w:rsidRPr="0025427A" w:rsidRDefault="0025427A" w:rsidP="0025427A">
      <w:pPr>
        <w:spacing w:after="240"/>
        <w:ind w:left="1440"/>
        <w:rPr>
          <w:rFonts w:eastAsia="MS Mincho"/>
          <w:iCs/>
          <w:szCs w:val="24"/>
          <w:lang w:val="sv-SE"/>
        </w:rPr>
      </w:pPr>
      <w:r w:rsidRPr="0025427A">
        <w:rPr>
          <w:rFonts w:eastAsia="MS Mincho"/>
          <w:szCs w:val="24"/>
        </w:rPr>
        <w:t xml:space="preserve">LSERTAML </w:t>
      </w:r>
      <w:r w:rsidRPr="0025427A">
        <w:rPr>
          <w:rFonts w:eastAsia="MS Mincho"/>
          <w:i/>
          <w:szCs w:val="24"/>
          <w:vertAlign w:val="subscript"/>
        </w:rPr>
        <w:t>l</w:t>
      </w:r>
      <w:r w:rsidRPr="0025427A">
        <w:rPr>
          <w:rFonts w:eastAsia="MS Mincho"/>
          <w:szCs w:val="24"/>
          <w:vertAlign w:val="subscript"/>
        </w:rPr>
        <w:t>,</w:t>
      </w:r>
      <w:r w:rsidRPr="0025427A">
        <w:rPr>
          <w:rFonts w:eastAsia="MS Mincho"/>
          <w:szCs w:val="24"/>
        </w:rPr>
        <w:t xml:space="preserve"> </w:t>
      </w:r>
      <w:r w:rsidRPr="0025427A">
        <w:rPr>
          <w:rFonts w:eastAsia="MS Mincho"/>
          <w:i/>
          <w:szCs w:val="24"/>
          <w:vertAlign w:val="subscript"/>
        </w:rPr>
        <w:t>q, i</w:t>
      </w:r>
      <w:r w:rsidRPr="0025427A">
        <w:rPr>
          <w:rFonts w:eastAsia="MS Mincho"/>
          <w:iCs/>
          <w:szCs w:val="24"/>
        </w:rPr>
        <w:t xml:space="preserve"> = </w:t>
      </w:r>
      <w:r w:rsidRPr="0025427A">
        <w:rPr>
          <w:rFonts w:eastAsia="MS Mincho"/>
          <w:szCs w:val="24"/>
        </w:rPr>
        <w:t xml:space="preserve">PRELIMLSERTAML </w:t>
      </w:r>
      <w:r w:rsidRPr="0025427A">
        <w:rPr>
          <w:rFonts w:eastAsia="MS Mincho"/>
          <w:i/>
          <w:szCs w:val="24"/>
          <w:vertAlign w:val="subscript"/>
        </w:rPr>
        <w:t>l</w:t>
      </w:r>
      <w:r w:rsidRPr="0025427A">
        <w:rPr>
          <w:rFonts w:eastAsia="MS Mincho"/>
          <w:szCs w:val="24"/>
          <w:vertAlign w:val="subscript"/>
        </w:rPr>
        <w:t>,</w:t>
      </w:r>
      <w:r w:rsidRPr="0025427A">
        <w:rPr>
          <w:rFonts w:eastAsia="MS Mincho"/>
          <w:szCs w:val="24"/>
        </w:rPr>
        <w:t xml:space="preserve"> </w:t>
      </w:r>
      <w:r w:rsidRPr="0025427A">
        <w:rPr>
          <w:rFonts w:eastAsia="MS Mincho"/>
          <w:i/>
          <w:szCs w:val="24"/>
          <w:vertAlign w:val="subscript"/>
        </w:rPr>
        <w:t>q, i</w:t>
      </w:r>
      <w:r w:rsidRPr="0025427A">
        <w:rPr>
          <w:rFonts w:eastAsia="MS Mincho"/>
          <w:iCs/>
          <w:szCs w:val="24"/>
        </w:rPr>
        <w:t xml:space="preserve"> – </w:t>
      </w:r>
      <w:r w:rsidRPr="0025427A">
        <w:rPr>
          <w:rFonts w:eastAsia="MS Mincho"/>
          <w:szCs w:val="24"/>
        </w:rPr>
        <w:t xml:space="preserve">OPTOUTLSERTAML </w:t>
      </w:r>
      <w:r w:rsidRPr="0025427A">
        <w:rPr>
          <w:rFonts w:eastAsia="MS Mincho"/>
          <w:i/>
          <w:iCs/>
          <w:szCs w:val="24"/>
          <w:vertAlign w:val="subscript"/>
        </w:rPr>
        <w:t>l</w:t>
      </w:r>
      <w:r w:rsidRPr="0025427A">
        <w:rPr>
          <w:rFonts w:eastAsia="MS Mincho"/>
          <w:szCs w:val="24"/>
          <w:vertAlign w:val="subscript"/>
        </w:rPr>
        <w:t>,</w:t>
      </w:r>
      <w:r w:rsidRPr="0025427A">
        <w:rPr>
          <w:rFonts w:eastAsia="MS Mincho"/>
          <w:szCs w:val="24"/>
        </w:rPr>
        <w:t xml:space="preserve"> </w:t>
      </w:r>
      <w:r w:rsidRPr="0025427A">
        <w:rPr>
          <w:rFonts w:eastAsia="MS Mincho"/>
          <w:i/>
          <w:iCs/>
          <w:szCs w:val="24"/>
          <w:vertAlign w:val="subscript"/>
        </w:rPr>
        <w:t>q, i</w:t>
      </w:r>
      <w:r w:rsidRPr="0025427A">
        <w:rPr>
          <w:rFonts w:eastAsia="MS Mincho"/>
          <w:iCs/>
          <w:szCs w:val="24"/>
        </w:rPr>
        <w:t xml:space="preserve"> </w:t>
      </w:r>
    </w:p>
    <w:p w14:paraId="76D8745E" w14:textId="77777777" w:rsidR="0025427A" w:rsidRPr="0025427A" w:rsidRDefault="0025427A" w:rsidP="0025427A">
      <w:pPr>
        <w:rPr>
          <w:rFonts w:eastAsia="MS Mincho"/>
          <w:szCs w:val="24"/>
        </w:rPr>
      </w:pPr>
      <w:r w:rsidRPr="0025427A">
        <w:rPr>
          <w:rFonts w:eastAsia="MS Mincho"/>
          <w:szCs w:val="24"/>
        </w:rPr>
        <w:t>The above variables are defined as follows:</w:t>
      </w:r>
    </w:p>
    <w:tbl>
      <w:tblPr>
        <w:tblW w:w="97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50"/>
        <w:gridCol w:w="683"/>
        <w:gridCol w:w="6583"/>
      </w:tblGrid>
      <w:tr w:rsidR="0025427A" w:rsidRPr="0025427A" w14:paraId="2F249E4F" w14:textId="77777777" w:rsidTr="009822AF">
        <w:tc>
          <w:tcPr>
            <w:tcW w:w="2450" w:type="dxa"/>
          </w:tcPr>
          <w:p w14:paraId="68F52E23" w14:textId="77777777" w:rsidR="0025427A" w:rsidRPr="0025427A" w:rsidRDefault="0025427A" w:rsidP="009822AF">
            <w:pPr>
              <w:spacing w:after="240"/>
              <w:rPr>
                <w:rFonts w:eastAsia="MS Mincho"/>
                <w:b/>
                <w:iCs/>
                <w:sz w:val="20"/>
              </w:rPr>
            </w:pPr>
            <w:r w:rsidRPr="0025427A">
              <w:rPr>
                <w:rFonts w:eastAsia="MS Mincho"/>
                <w:b/>
                <w:iCs/>
                <w:sz w:val="20"/>
              </w:rPr>
              <w:t>Variable</w:t>
            </w:r>
          </w:p>
        </w:tc>
        <w:tc>
          <w:tcPr>
            <w:tcW w:w="0" w:type="auto"/>
          </w:tcPr>
          <w:p w14:paraId="20F7D573" w14:textId="77777777" w:rsidR="0025427A" w:rsidRPr="0025427A" w:rsidRDefault="0025427A" w:rsidP="009822AF">
            <w:pPr>
              <w:spacing w:after="240"/>
              <w:rPr>
                <w:rFonts w:eastAsia="MS Mincho"/>
                <w:b/>
                <w:iCs/>
                <w:sz w:val="20"/>
              </w:rPr>
            </w:pPr>
            <w:r w:rsidRPr="0025427A">
              <w:rPr>
                <w:rFonts w:eastAsia="MS Mincho"/>
                <w:b/>
                <w:iCs/>
                <w:sz w:val="20"/>
              </w:rPr>
              <w:t>Unit</w:t>
            </w:r>
          </w:p>
        </w:tc>
        <w:tc>
          <w:tcPr>
            <w:tcW w:w="0" w:type="auto"/>
          </w:tcPr>
          <w:p w14:paraId="5EC4635C" w14:textId="77777777" w:rsidR="0025427A" w:rsidRPr="0025427A" w:rsidRDefault="0025427A" w:rsidP="009822AF">
            <w:pPr>
              <w:spacing w:after="240"/>
              <w:rPr>
                <w:rFonts w:eastAsia="MS Mincho"/>
                <w:b/>
                <w:iCs/>
                <w:sz w:val="20"/>
              </w:rPr>
            </w:pPr>
            <w:r w:rsidRPr="0025427A">
              <w:rPr>
                <w:rFonts w:eastAsia="MS Mincho"/>
                <w:b/>
                <w:iCs/>
                <w:sz w:val="20"/>
              </w:rPr>
              <w:t>Definition</w:t>
            </w:r>
          </w:p>
        </w:tc>
      </w:tr>
      <w:tr w:rsidR="0025427A" w:rsidRPr="0025427A" w14:paraId="6F14A252" w14:textId="77777777" w:rsidTr="009822AF">
        <w:trPr>
          <w:cantSplit/>
        </w:trPr>
        <w:tc>
          <w:tcPr>
            <w:tcW w:w="2450" w:type="dxa"/>
          </w:tcPr>
          <w:p w14:paraId="2ADA0708" w14:textId="77777777" w:rsidR="0025427A" w:rsidRPr="0025427A" w:rsidRDefault="0025427A" w:rsidP="009822AF">
            <w:pPr>
              <w:spacing w:after="60"/>
              <w:rPr>
                <w:rFonts w:eastAsia="MS Mincho"/>
                <w:iCs/>
                <w:sz w:val="20"/>
              </w:rPr>
            </w:pPr>
            <w:r w:rsidRPr="0025427A">
              <w:rPr>
                <w:rFonts w:eastAsia="MS Mincho"/>
                <w:iCs/>
                <w:sz w:val="20"/>
              </w:rPr>
              <w:t xml:space="preserve">LASUCAMT </w:t>
            </w:r>
            <w:r w:rsidRPr="0025427A">
              <w:rPr>
                <w:rFonts w:eastAsia="MS Mincho"/>
                <w:i/>
                <w:iCs/>
                <w:sz w:val="20"/>
                <w:vertAlign w:val="subscript"/>
              </w:rPr>
              <w:t>q, d</w:t>
            </w:r>
          </w:p>
        </w:tc>
        <w:tc>
          <w:tcPr>
            <w:tcW w:w="0" w:type="auto"/>
          </w:tcPr>
          <w:p w14:paraId="094C7894" w14:textId="77777777" w:rsidR="0025427A" w:rsidRPr="0025427A" w:rsidRDefault="0025427A" w:rsidP="009822AF">
            <w:pPr>
              <w:spacing w:after="60"/>
              <w:rPr>
                <w:rFonts w:eastAsia="MS Mincho"/>
                <w:iCs/>
                <w:sz w:val="20"/>
              </w:rPr>
            </w:pPr>
            <w:r w:rsidRPr="0025427A">
              <w:rPr>
                <w:rFonts w:eastAsia="MS Mincho"/>
                <w:iCs/>
                <w:sz w:val="20"/>
              </w:rPr>
              <w:t>$</w:t>
            </w:r>
          </w:p>
        </w:tc>
        <w:tc>
          <w:tcPr>
            <w:tcW w:w="0" w:type="auto"/>
          </w:tcPr>
          <w:p w14:paraId="55BA81DB" w14:textId="77777777" w:rsidR="0025427A" w:rsidRPr="0025427A" w:rsidRDefault="0025427A" w:rsidP="009822AF">
            <w:pPr>
              <w:spacing w:after="60"/>
              <w:rPr>
                <w:rFonts w:eastAsia="MS Mincho"/>
                <w:iCs/>
                <w:sz w:val="20"/>
              </w:rPr>
            </w:pPr>
            <w:r w:rsidRPr="0025427A">
              <w:rPr>
                <w:rFonts w:eastAsia="MS Mincho"/>
                <w:i/>
                <w:iCs/>
                <w:sz w:val="20"/>
              </w:rPr>
              <w:t xml:space="preserve">Load-Allocated Securitization Uplift Charge Amount per QSE — </w:t>
            </w:r>
            <w:r w:rsidRPr="0025427A">
              <w:rPr>
                <w:rFonts w:eastAsia="MS Mincho"/>
                <w:iCs/>
                <w:sz w:val="20"/>
              </w:rPr>
              <w:t xml:space="preserve">The charge allocated to QSE </w:t>
            </w:r>
            <w:r w:rsidRPr="0025427A">
              <w:rPr>
                <w:rFonts w:eastAsia="MS Mincho"/>
                <w:i/>
                <w:iCs/>
                <w:sz w:val="20"/>
              </w:rPr>
              <w:t>q</w:t>
            </w:r>
            <w:r w:rsidRPr="0025427A">
              <w:rPr>
                <w:rFonts w:eastAsia="MS Mincho"/>
                <w:iCs/>
                <w:sz w:val="20"/>
              </w:rPr>
              <w:t xml:space="preserve">, for the QSE’s share of the total amount of Securitization Uplift Charges assessed for Operating Day </w:t>
            </w:r>
            <w:r w:rsidRPr="0025427A">
              <w:rPr>
                <w:rFonts w:eastAsia="MS Mincho"/>
                <w:i/>
                <w:sz w:val="20"/>
              </w:rPr>
              <w:t>d</w:t>
            </w:r>
            <w:r w:rsidRPr="0025427A">
              <w:rPr>
                <w:rFonts w:eastAsia="MS Mincho"/>
                <w:iCs/>
                <w:sz w:val="20"/>
              </w:rPr>
              <w:t>.</w:t>
            </w:r>
          </w:p>
        </w:tc>
      </w:tr>
      <w:tr w:rsidR="0025427A" w:rsidRPr="0025427A" w14:paraId="581BC9A5" w14:textId="77777777" w:rsidTr="009822AF">
        <w:trPr>
          <w:cantSplit/>
        </w:trPr>
        <w:tc>
          <w:tcPr>
            <w:tcW w:w="2450" w:type="dxa"/>
          </w:tcPr>
          <w:p w14:paraId="05A415FC" w14:textId="77777777" w:rsidR="0025427A" w:rsidRPr="0025427A" w:rsidRDefault="0025427A" w:rsidP="009822AF">
            <w:pPr>
              <w:spacing w:after="60"/>
              <w:rPr>
                <w:rFonts w:eastAsia="MS Mincho"/>
                <w:iCs/>
                <w:sz w:val="20"/>
              </w:rPr>
            </w:pPr>
            <w:r w:rsidRPr="0025427A">
              <w:rPr>
                <w:rFonts w:eastAsia="MS Mincho"/>
                <w:iCs/>
                <w:sz w:val="20"/>
              </w:rPr>
              <w:t>SUCDA</w:t>
            </w:r>
            <w:r w:rsidRPr="0025427A">
              <w:rPr>
                <w:rFonts w:eastAsia="MS Mincho"/>
                <w:i/>
                <w:iCs/>
                <w:sz w:val="20"/>
                <w:vertAlign w:val="subscript"/>
              </w:rPr>
              <w:t xml:space="preserve"> d</w:t>
            </w:r>
          </w:p>
        </w:tc>
        <w:tc>
          <w:tcPr>
            <w:tcW w:w="0" w:type="auto"/>
          </w:tcPr>
          <w:p w14:paraId="02EC1122" w14:textId="77777777" w:rsidR="0025427A" w:rsidRPr="0025427A" w:rsidRDefault="0025427A" w:rsidP="009822AF">
            <w:pPr>
              <w:spacing w:after="60"/>
              <w:rPr>
                <w:rFonts w:eastAsia="MS Mincho"/>
                <w:iCs/>
                <w:sz w:val="20"/>
              </w:rPr>
            </w:pPr>
            <w:r w:rsidRPr="0025427A">
              <w:rPr>
                <w:rFonts w:eastAsia="MS Mincho"/>
                <w:iCs/>
                <w:sz w:val="20"/>
              </w:rPr>
              <w:t>$</w:t>
            </w:r>
          </w:p>
        </w:tc>
        <w:tc>
          <w:tcPr>
            <w:tcW w:w="0" w:type="auto"/>
          </w:tcPr>
          <w:p w14:paraId="3559FBC0" w14:textId="77777777" w:rsidR="0025427A" w:rsidRPr="0025427A" w:rsidRDefault="0025427A" w:rsidP="009822AF">
            <w:pPr>
              <w:spacing w:after="60"/>
              <w:rPr>
                <w:rFonts w:eastAsia="MS Mincho"/>
                <w:iCs/>
                <w:sz w:val="20"/>
              </w:rPr>
            </w:pPr>
            <w:r w:rsidRPr="0025427A">
              <w:rPr>
                <w:rFonts w:eastAsia="MS Mincho"/>
                <w:i/>
                <w:iCs/>
                <w:sz w:val="20"/>
              </w:rPr>
              <w:t xml:space="preserve">Securitization Uplift Charge Daily Amount — </w:t>
            </w:r>
            <w:r w:rsidRPr="0025427A">
              <w:rPr>
                <w:rFonts w:eastAsia="MS Mincho"/>
                <w:iCs/>
                <w:sz w:val="20"/>
              </w:rPr>
              <w:t xml:space="preserve">The total amount of Securitization Uplift Charges assessed for Operating Day </w:t>
            </w:r>
            <w:r w:rsidRPr="0025427A">
              <w:rPr>
                <w:rFonts w:eastAsia="MS Mincho"/>
                <w:i/>
                <w:sz w:val="20"/>
              </w:rPr>
              <w:t>d</w:t>
            </w:r>
            <w:r w:rsidRPr="0025427A">
              <w:rPr>
                <w:rFonts w:eastAsia="MS Mincho"/>
                <w:iCs/>
                <w:sz w:val="20"/>
              </w:rPr>
              <w:t>.</w:t>
            </w:r>
          </w:p>
        </w:tc>
      </w:tr>
      <w:tr w:rsidR="0025427A" w:rsidRPr="0025427A" w14:paraId="449360DF" w14:textId="77777777" w:rsidTr="009822AF">
        <w:trPr>
          <w:cantSplit/>
          <w:trHeight w:val="719"/>
        </w:trPr>
        <w:tc>
          <w:tcPr>
            <w:tcW w:w="2450" w:type="dxa"/>
          </w:tcPr>
          <w:p w14:paraId="3D13A811" w14:textId="77777777" w:rsidR="0025427A" w:rsidRPr="0025427A" w:rsidRDefault="0025427A" w:rsidP="009822AF">
            <w:pPr>
              <w:spacing w:after="60"/>
              <w:rPr>
                <w:rFonts w:eastAsia="MS Mincho"/>
                <w:iCs/>
                <w:sz w:val="20"/>
              </w:rPr>
            </w:pPr>
            <w:r w:rsidRPr="0025427A">
              <w:rPr>
                <w:rFonts w:eastAsia="MS Mincho"/>
                <w:iCs/>
                <w:sz w:val="20"/>
              </w:rPr>
              <w:lastRenderedPageBreak/>
              <w:t xml:space="preserve">DQSELSELRS </w:t>
            </w:r>
            <w:r w:rsidRPr="0025427A">
              <w:rPr>
                <w:rFonts w:eastAsia="MS Mincho"/>
                <w:i/>
                <w:iCs/>
                <w:sz w:val="20"/>
                <w:vertAlign w:val="subscript"/>
              </w:rPr>
              <w:t>q, d</w:t>
            </w:r>
          </w:p>
        </w:tc>
        <w:tc>
          <w:tcPr>
            <w:tcW w:w="0" w:type="auto"/>
          </w:tcPr>
          <w:p w14:paraId="362367F2" w14:textId="77777777" w:rsidR="0025427A" w:rsidRPr="0025427A" w:rsidRDefault="0025427A" w:rsidP="009822AF">
            <w:pPr>
              <w:spacing w:after="60"/>
              <w:rPr>
                <w:rFonts w:eastAsia="MS Mincho"/>
                <w:iCs/>
                <w:sz w:val="20"/>
              </w:rPr>
            </w:pPr>
            <w:r w:rsidRPr="0025427A">
              <w:rPr>
                <w:rFonts w:eastAsia="MS Mincho"/>
                <w:iCs/>
                <w:sz w:val="20"/>
              </w:rPr>
              <w:t>none</w:t>
            </w:r>
          </w:p>
        </w:tc>
        <w:tc>
          <w:tcPr>
            <w:tcW w:w="0" w:type="auto"/>
          </w:tcPr>
          <w:p w14:paraId="07578B9B" w14:textId="2533C6C5" w:rsidR="0025427A" w:rsidRPr="0025427A" w:rsidRDefault="0025427A" w:rsidP="009822AF">
            <w:pPr>
              <w:spacing w:after="60"/>
              <w:rPr>
                <w:rFonts w:eastAsia="MS Mincho"/>
                <w:iCs/>
                <w:sz w:val="20"/>
              </w:rPr>
            </w:pPr>
            <w:r w:rsidRPr="0025427A">
              <w:rPr>
                <w:rFonts w:eastAsia="MS Mincho"/>
                <w:i/>
                <w:sz w:val="20"/>
              </w:rPr>
              <w:t>Daily QSE Non-Opted-Out LSE Load Ratio Share</w:t>
            </w:r>
            <w:r w:rsidRPr="0025427A">
              <w:rPr>
                <w:rFonts w:eastAsia="MS Mincho"/>
                <w:i/>
                <w:iCs/>
                <w:sz w:val="20"/>
              </w:rPr>
              <w:t xml:space="preserve"> — </w:t>
            </w:r>
            <w:r w:rsidRPr="0025427A">
              <w:rPr>
                <w:rFonts w:eastAsia="MS Mincho"/>
                <w:iCs/>
                <w:sz w:val="20"/>
              </w:rPr>
              <w:t xml:space="preserve">The ratio of Daily QSE Non-Opted-Out LSE Real-Time Adjusted Metered Load to Daily ERCOT QSE Non-Opted-Out LSE Real-Time Adjusted Metered Load, for a QSE </w:t>
            </w:r>
            <w:r w:rsidRPr="0025427A">
              <w:rPr>
                <w:rFonts w:eastAsia="MS Mincho"/>
                <w:i/>
                <w:sz w:val="20"/>
              </w:rPr>
              <w:t>q</w:t>
            </w:r>
            <w:r w:rsidRPr="0025427A">
              <w:rPr>
                <w:rFonts w:eastAsia="MS Mincho"/>
                <w:iCs/>
                <w:sz w:val="20"/>
              </w:rPr>
              <w:t xml:space="preserve">, for the Operating Day </w:t>
            </w:r>
            <w:r w:rsidRPr="0025427A">
              <w:rPr>
                <w:rFonts w:eastAsia="MS Mincho"/>
                <w:i/>
                <w:sz w:val="20"/>
              </w:rPr>
              <w:t>d</w:t>
            </w:r>
            <w:r w:rsidRPr="0025427A">
              <w:rPr>
                <w:rFonts w:eastAsia="MS Mincho"/>
                <w:iCs/>
                <w:sz w:val="20"/>
              </w:rPr>
              <w:t xml:space="preserve">.  </w:t>
            </w:r>
          </w:p>
        </w:tc>
      </w:tr>
      <w:tr w:rsidR="0025427A" w:rsidRPr="0025427A" w14:paraId="252F3A21" w14:textId="77777777" w:rsidTr="009822AF">
        <w:trPr>
          <w:cantSplit/>
        </w:trPr>
        <w:tc>
          <w:tcPr>
            <w:tcW w:w="2450" w:type="dxa"/>
            <w:tcBorders>
              <w:top w:val="single" w:sz="4" w:space="0" w:color="auto"/>
              <w:left w:val="single" w:sz="4" w:space="0" w:color="auto"/>
              <w:bottom w:val="single" w:sz="4" w:space="0" w:color="auto"/>
              <w:right w:val="single" w:sz="4" w:space="0" w:color="auto"/>
            </w:tcBorders>
          </w:tcPr>
          <w:p w14:paraId="64F82141" w14:textId="77777777" w:rsidR="0025427A" w:rsidRPr="0025427A" w:rsidRDefault="0025427A" w:rsidP="009822AF">
            <w:pPr>
              <w:spacing w:after="60"/>
              <w:rPr>
                <w:rFonts w:eastAsia="MS Mincho"/>
                <w:i/>
                <w:iCs/>
                <w:sz w:val="20"/>
              </w:rPr>
            </w:pPr>
            <w:r w:rsidRPr="0025427A">
              <w:rPr>
                <w:rFonts w:eastAsia="MS Mincho"/>
                <w:iCs/>
                <w:sz w:val="20"/>
              </w:rPr>
              <w:t xml:space="preserve">PRELIMLSERTAML </w:t>
            </w:r>
            <w:bookmarkStart w:id="6" w:name="_Hlk84415962"/>
            <w:r w:rsidRPr="0025427A">
              <w:rPr>
                <w:rFonts w:eastAsia="MS Mincho"/>
                <w:i/>
                <w:sz w:val="20"/>
                <w:vertAlign w:val="subscript"/>
              </w:rPr>
              <w:t>l</w:t>
            </w:r>
            <w:bookmarkEnd w:id="6"/>
            <w:r w:rsidRPr="0025427A">
              <w:rPr>
                <w:rFonts w:eastAsia="MS Mincho"/>
                <w:iCs/>
                <w:sz w:val="20"/>
                <w:vertAlign w:val="subscript"/>
              </w:rPr>
              <w:t>,</w:t>
            </w:r>
            <w:r w:rsidRPr="0025427A">
              <w:rPr>
                <w:rFonts w:eastAsia="MS Mincho"/>
                <w:iCs/>
                <w:sz w:val="20"/>
              </w:rPr>
              <w:t xml:space="preserve"> </w:t>
            </w:r>
            <w:r w:rsidRPr="0025427A">
              <w:rPr>
                <w:rFonts w:eastAsia="MS Mincho"/>
                <w:i/>
                <w:iCs/>
                <w:sz w:val="20"/>
                <w:vertAlign w:val="subscript"/>
              </w:rPr>
              <w:t>q, i</w:t>
            </w:r>
          </w:p>
        </w:tc>
        <w:tc>
          <w:tcPr>
            <w:tcW w:w="0" w:type="auto"/>
            <w:tcBorders>
              <w:top w:val="single" w:sz="4" w:space="0" w:color="auto"/>
              <w:left w:val="single" w:sz="4" w:space="0" w:color="auto"/>
              <w:bottom w:val="single" w:sz="4" w:space="0" w:color="auto"/>
              <w:right w:val="single" w:sz="4" w:space="0" w:color="auto"/>
            </w:tcBorders>
          </w:tcPr>
          <w:p w14:paraId="1E209714" w14:textId="77777777" w:rsidR="0025427A" w:rsidRPr="0025427A" w:rsidRDefault="0025427A" w:rsidP="009822AF">
            <w:pPr>
              <w:spacing w:after="60"/>
              <w:rPr>
                <w:rFonts w:eastAsia="MS Mincho"/>
                <w:iCs/>
                <w:sz w:val="20"/>
              </w:rPr>
            </w:pPr>
            <w:r w:rsidRPr="0025427A">
              <w:rPr>
                <w:rFonts w:eastAsia="MS Mincho"/>
                <w:iCs/>
                <w:sz w:val="20"/>
              </w:rPr>
              <w:t>MWh</w:t>
            </w:r>
          </w:p>
        </w:tc>
        <w:tc>
          <w:tcPr>
            <w:tcW w:w="0" w:type="auto"/>
            <w:tcBorders>
              <w:top w:val="single" w:sz="4" w:space="0" w:color="auto"/>
              <w:left w:val="single" w:sz="4" w:space="0" w:color="auto"/>
              <w:bottom w:val="single" w:sz="4" w:space="0" w:color="auto"/>
              <w:right w:val="single" w:sz="4" w:space="0" w:color="auto"/>
            </w:tcBorders>
          </w:tcPr>
          <w:p w14:paraId="63509349" w14:textId="4E5D3ECB" w:rsidR="0025427A" w:rsidRPr="0025427A" w:rsidRDefault="0025427A" w:rsidP="009822AF">
            <w:pPr>
              <w:spacing w:after="60"/>
              <w:rPr>
                <w:rFonts w:eastAsia="MS Mincho"/>
                <w:iCs/>
                <w:sz w:val="20"/>
              </w:rPr>
            </w:pPr>
            <w:r w:rsidRPr="0025427A">
              <w:rPr>
                <w:rFonts w:eastAsia="MS Mincho"/>
                <w:i/>
                <w:iCs/>
                <w:sz w:val="20"/>
              </w:rPr>
              <w:t xml:space="preserve">Preliminary </w:t>
            </w:r>
            <w:r w:rsidRPr="0025427A">
              <w:rPr>
                <w:rFonts w:eastAsia="MS Mincho"/>
                <w:i/>
                <w:sz w:val="20"/>
              </w:rPr>
              <w:t>Non-Opted-Out</w:t>
            </w:r>
            <w:r w:rsidRPr="0025427A">
              <w:rPr>
                <w:rFonts w:eastAsia="MS Mincho"/>
                <w:i/>
                <w:iCs/>
                <w:sz w:val="20"/>
              </w:rPr>
              <w:t xml:space="preserve"> LSE Real-Time Adjusted Metered Load </w:t>
            </w:r>
            <w:r w:rsidRPr="0025427A">
              <w:rPr>
                <w:rFonts w:eastAsia="MS Mincho"/>
                <w:iCs/>
                <w:sz w:val="20"/>
              </w:rPr>
              <w:t xml:space="preserve">— The Real-Time Adjusted Metered Load (RTAML), </w:t>
            </w:r>
            <w:r w:rsidRPr="0025427A">
              <w:rPr>
                <w:rFonts w:eastAsia="MS Mincho"/>
                <w:bCs/>
                <w:iCs/>
                <w:sz w:val="20"/>
              </w:rPr>
              <w:t xml:space="preserve">including the RTAML of Securitization Uplift Charge Opt-Out Entities that are Customers of </w:t>
            </w:r>
            <w:r w:rsidR="0082763E">
              <w:rPr>
                <w:rFonts w:eastAsia="MS Mincho"/>
                <w:bCs/>
                <w:iCs/>
                <w:sz w:val="20"/>
              </w:rPr>
              <w:t>Retail Electric Providers (</w:t>
            </w:r>
            <w:r w:rsidRPr="0025427A">
              <w:rPr>
                <w:rFonts w:eastAsia="MS Mincho"/>
                <w:bCs/>
                <w:iCs/>
                <w:sz w:val="20"/>
              </w:rPr>
              <w:t>REPs</w:t>
            </w:r>
            <w:r w:rsidR="0082763E">
              <w:rPr>
                <w:rFonts w:eastAsia="MS Mincho"/>
                <w:bCs/>
                <w:iCs/>
                <w:sz w:val="20"/>
              </w:rPr>
              <w:t>)</w:t>
            </w:r>
            <w:r w:rsidRPr="0025427A">
              <w:rPr>
                <w:rFonts w:eastAsia="MS Mincho"/>
                <w:bCs/>
                <w:iCs/>
                <w:sz w:val="20"/>
              </w:rPr>
              <w:t xml:space="preserve">, but excluding the RTAML of Securitization Uplift Charge Opt-Out Entities that are LSEs and excluding </w:t>
            </w:r>
            <w:r w:rsidR="0082763E">
              <w:rPr>
                <w:rFonts w:eastAsia="MS Mincho"/>
                <w:bCs/>
                <w:iCs/>
                <w:sz w:val="20"/>
              </w:rPr>
              <w:t>Direct Current Tie (</w:t>
            </w:r>
            <w:r w:rsidRPr="0025427A">
              <w:rPr>
                <w:rFonts w:eastAsia="MS Mincho"/>
                <w:bCs/>
                <w:iCs/>
                <w:sz w:val="20"/>
              </w:rPr>
              <w:t xml:space="preserve">DC </w:t>
            </w:r>
            <w:r w:rsidR="0082763E">
              <w:rPr>
                <w:rFonts w:eastAsia="MS Mincho"/>
                <w:bCs/>
                <w:iCs/>
                <w:sz w:val="20"/>
              </w:rPr>
              <w:t>T</w:t>
            </w:r>
            <w:r w:rsidRPr="0025427A">
              <w:rPr>
                <w:rFonts w:eastAsia="MS Mincho"/>
                <w:bCs/>
                <w:iCs/>
                <w:sz w:val="20"/>
              </w:rPr>
              <w:t>ie</w:t>
            </w:r>
            <w:r w:rsidR="0082763E">
              <w:rPr>
                <w:rFonts w:eastAsia="MS Mincho"/>
                <w:bCs/>
                <w:iCs/>
                <w:sz w:val="20"/>
              </w:rPr>
              <w:t>)</w:t>
            </w:r>
            <w:r w:rsidRPr="0025427A">
              <w:rPr>
                <w:rFonts w:eastAsia="MS Mincho"/>
                <w:bCs/>
                <w:iCs/>
                <w:sz w:val="20"/>
              </w:rPr>
              <w:t xml:space="preserve"> exports</w:t>
            </w:r>
            <w:r w:rsidRPr="0025427A">
              <w:rPr>
                <w:rFonts w:eastAsia="MS Mincho"/>
                <w:iCs/>
                <w:sz w:val="20"/>
              </w:rPr>
              <w:t xml:space="preserve">, </w:t>
            </w:r>
            <w:r w:rsidRPr="0025427A">
              <w:rPr>
                <w:rFonts w:eastAsia="MS Mincho"/>
                <w:bCs/>
                <w:iCs/>
                <w:sz w:val="20"/>
              </w:rPr>
              <w:t>for LSE</w:t>
            </w:r>
            <w:r w:rsidRPr="0025427A">
              <w:rPr>
                <w:rFonts w:eastAsia="MS Mincho"/>
                <w:bCs/>
                <w:i/>
                <w:sz w:val="20"/>
              </w:rPr>
              <w:t xml:space="preserve"> l</w:t>
            </w:r>
            <w:r w:rsidRPr="0025427A">
              <w:rPr>
                <w:rFonts w:eastAsia="MS Mincho"/>
                <w:bCs/>
                <w:iCs/>
                <w:sz w:val="20"/>
              </w:rPr>
              <w:t xml:space="preserve"> represented by QSE </w:t>
            </w:r>
            <w:r w:rsidRPr="0025427A">
              <w:rPr>
                <w:rFonts w:eastAsia="MS Mincho"/>
                <w:bCs/>
                <w:i/>
                <w:sz w:val="20"/>
              </w:rPr>
              <w:t>q</w:t>
            </w:r>
            <w:r w:rsidRPr="0025427A">
              <w:rPr>
                <w:rFonts w:eastAsia="MS Mincho"/>
                <w:bCs/>
                <w:iCs/>
                <w:sz w:val="20"/>
              </w:rPr>
              <w:t xml:space="preserve">, </w:t>
            </w:r>
            <w:r w:rsidRPr="0025427A">
              <w:rPr>
                <w:rFonts w:eastAsia="MS Mincho"/>
                <w:iCs/>
                <w:sz w:val="20"/>
              </w:rPr>
              <w:t xml:space="preserve">for the 15-minute Settlement Interval </w:t>
            </w:r>
            <w:r w:rsidRPr="0025427A">
              <w:rPr>
                <w:rFonts w:eastAsia="MS Mincho"/>
                <w:i/>
                <w:sz w:val="20"/>
              </w:rPr>
              <w:t>i</w:t>
            </w:r>
            <w:r w:rsidRPr="0025427A">
              <w:rPr>
                <w:rFonts w:eastAsia="MS Mincho"/>
                <w:iCs/>
                <w:sz w:val="20"/>
              </w:rPr>
              <w:t>.</w:t>
            </w:r>
          </w:p>
        </w:tc>
      </w:tr>
      <w:tr w:rsidR="0025427A" w:rsidRPr="0025427A" w14:paraId="79BA0CFA" w14:textId="77777777" w:rsidTr="009822AF">
        <w:trPr>
          <w:cantSplit/>
        </w:trPr>
        <w:tc>
          <w:tcPr>
            <w:tcW w:w="2450" w:type="dxa"/>
            <w:tcBorders>
              <w:top w:val="single" w:sz="4" w:space="0" w:color="auto"/>
              <w:left w:val="single" w:sz="4" w:space="0" w:color="auto"/>
              <w:bottom w:val="single" w:sz="4" w:space="0" w:color="auto"/>
              <w:right w:val="single" w:sz="4" w:space="0" w:color="auto"/>
            </w:tcBorders>
          </w:tcPr>
          <w:p w14:paraId="1FD5B8F7" w14:textId="77777777" w:rsidR="0025427A" w:rsidRPr="0025427A" w:rsidRDefault="0025427A" w:rsidP="009822AF">
            <w:pPr>
              <w:spacing w:after="60"/>
              <w:rPr>
                <w:rFonts w:eastAsia="MS Mincho"/>
                <w:i/>
                <w:iCs/>
                <w:sz w:val="20"/>
              </w:rPr>
            </w:pPr>
            <w:r w:rsidRPr="0025427A">
              <w:rPr>
                <w:rFonts w:eastAsia="MS Mincho"/>
                <w:iCs/>
                <w:sz w:val="20"/>
              </w:rPr>
              <w:t xml:space="preserve">LSERTAML </w:t>
            </w:r>
            <w:r w:rsidRPr="0025427A">
              <w:rPr>
                <w:rFonts w:eastAsia="MS Mincho"/>
                <w:i/>
                <w:sz w:val="20"/>
                <w:vertAlign w:val="subscript"/>
              </w:rPr>
              <w:t>l</w:t>
            </w:r>
            <w:r w:rsidRPr="0025427A">
              <w:rPr>
                <w:rFonts w:eastAsia="MS Mincho"/>
                <w:iCs/>
                <w:sz w:val="20"/>
                <w:vertAlign w:val="subscript"/>
              </w:rPr>
              <w:t>,</w:t>
            </w:r>
            <w:r w:rsidRPr="0025427A">
              <w:rPr>
                <w:rFonts w:eastAsia="MS Mincho"/>
                <w:iCs/>
                <w:sz w:val="20"/>
              </w:rPr>
              <w:t xml:space="preserve"> </w:t>
            </w:r>
            <w:r w:rsidRPr="0025427A">
              <w:rPr>
                <w:rFonts w:eastAsia="MS Mincho"/>
                <w:i/>
                <w:iCs/>
                <w:sz w:val="20"/>
                <w:vertAlign w:val="subscript"/>
              </w:rPr>
              <w:t>q, i</w:t>
            </w:r>
          </w:p>
        </w:tc>
        <w:tc>
          <w:tcPr>
            <w:tcW w:w="0" w:type="auto"/>
            <w:tcBorders>
              <w:top w:val="single" w:sz="4" w:space="0" w:color="auto"/>
              <w:left w:val="single" w:sz="4" w:space="0" w:color="auto"/>
              <w:bottom w:val="single" w:sz="4" w:space="0" w:color="auto"/>
              <w:right w:val="single" w:sz="4" w:space="0" w:color="auto"/>
            </w:tcBorders>
          </w:tcPr>
          <w:p w14:paraId="65259F50" w14:textId="77777777" w:rsidR="0025427A" w:rsidRPr="0025427A" w:rsidRDefault="0025427A" w:rsidP="009822AF">
            <w:pPr>
              <w:spacing w:after="60"/>
              <w:rPr>
                <w:rFonts w:eastAsia="MS Mincho"/>
                <w:iCs/>
                <w:sz w:val="20"/>
              </w:rPr>
            </w:pPr>
            <w:r w:rsidRPr="0025427A">
              <w:rPr>
                <w:rFonts w:eastAsia="MS Mincho"/>
                <w:iCs/>
                <w:sz w:val="20"/>
              </w:rPr>
              <w:t>MWh</w:t>
            </w:r>
          </w:p>
        </w:tc>
        <w:tc>
          <w:tcPr>
            <w:tcW w:w="0" w:type="auto"/>
            <w:tcBorders>
              <w:top w:val="single" w:sz="4" w:space="0" w:color="auto"/>
              <w:left w:val="single" w:sz="4" w:space="0" w:color="auto"/>
              <w:bottom w:val="single" w:sz="4" w:space="0" w:color="auto"/>
              <w:right w:val="single" w:sz="4" w:space="0" w:color="auto"/>
            </w:tcBorders>
          </w:tcPr>
          <w:p w14:paraId="6F5DBA1E" w14:textId="6A3ED9AB" w:rsidR="0025427A" w:rsidRPr="0025427A" w:rsidRDefault="0025427A" w:rsidP="009822AF">
            <w:pPr>
              <w:spacing w:after="60"/>
              <w:rPr>
                <w:rFonts w:eastAsia="MS Mincho"/>
                <w:iCs/>
                <w:sz w:val="20"/>
              </w:rPr>
            </w:pPr>
            <w:r w:rsidRPr="0025427A">
              <w:rPr>
                <w:rFonts w:eastAsia="MS Mincho"/>
                <w:i/>
                <w:sz w:val="20"/>
              </w:rPr>
              <w:t>Non-Opted-Out</w:t>
            </w:r>
            <w:r w:rsidRPr="0025427A">
              <w:rPr>
                <w:rFonts w:eastAsia="MS Mincho"/>
                <w:i/>
                <w:iCs/>
                <w:sz w:val="20"/>
              </w:rPr>
              <w:t xml:space="preserve"> LSE Real-Time Adjusted Metered Load </w:t>
            </w:r>
            <w:r w:rsidRPr="0025427A">
              <w:rPr>
                <w:rFonts w:eastAsia="MS Mincho"/>
                <w:iCs/>
                <w:sz w:val="20"/>
              </w:rPr>
              <w:t xml:space="preserve">— The Real-Time Adjusted Metered Load (RTAML), </w:t>
            </w:r>
            <w:r w:rsidRPr="0025427A">
              <w:rPr>
                <w:rFonts w:eastAsia="MS Mincho"/>
                <w:bCs/>
                <w:iCs/>
                <w:sz w:val="20"/>
              </w:rPr>
              <w:t xml:space="preserve">excluding the RTAML for Securitization Uplift Charge Opt-Out Entities and excluding DC </w:t>
            </w:r>
            <w:r w:rsidR="0082763E">
              <w:rPr>
                <w:rFonts w:eastAsia="MS Mincho"/>
                <w:bCs/>
                <w:iCs/>
                <w:sz w:val="20"/>
              </w:rPr>
              <w:t>T</w:t>
            </w:r>
            <w:r w:rsidRPr="0025427A">
              <w:rPr>
                <w:rFonts w:eastAsia="MS Mincho"/>
                <w:bCs/>
                <w:iCs/>
                <w:sz w:val="20"/>
              </w:rPr>
              <w:t>ie exports, for LSE</w:t>
            </w:r>
            <w:r w:rsidRPr="0025427A">
              <w:rPr>
                <w:rFonts w:eastAsia="MS Mincho"/>
                <w:bCs/>
                <w:i/>
                <w:sz w:val="20"/>
              </w:rPr>
              <w:t xml:space="preserve"> l</w:t>
            </w:r>
            <w:r w:rsidRPr="0025427A">
              <w:rPr>
                <w:rFonts w:eastAsia="MS Mincho"/>
                <w:bCs/>
                <w:iCs/>
                <w:sz w:val="20"/>
              </w:rPr>
              <w:t xml:space="preserve"> represented by QSE </w:t>
            </w:r>
            <w:r w:rsidRPr="0025427A">
              <w:rPr>
                <w:rFonts w:eastAsia="MS Mincho"/>
                <w:bCs/>
                <w:i/>
                <w:sz w:val="20"/>
              </w:rPr>
              <w:t>q</w:t>
            </w:r>
            <w:r w:rsidRPr="0025427A">
              <w:rPr>
                <w:rFonts w:eastAsia="MS Mincho"/>
                <w:bCs/>
                <w:iCs/>
                <w:sz w:val="20"/>
              </w:rPr>
              <w:t xml:space="preserve">, </w:t>
            </w:r>
            <w:r w:rsidRPr="0025427A">
              <w:rPr>
                <w:rFonts w:eastAsia="MS Mincho"/>
                <w:iCs/>
                <w:sz w:val="20"/>
              </w:rPr>
              <w:t xml:space="preserve">for the 15-minute Settlement Interval </w:t>
            </w:r>
            <w:r w:rsidRPr="0025427A">
              <w:rPr>
                <w:rFonts w:eastAsia="MS Mincho"/>
                <w:i/>
                <w:sz w:val="20"/>
              </w:rPr>
              <w:t>i</w:t>
            </w:r>
            <w:r w:rsidRPr="0025427A">
              <w:rPr>
                <w:rFonts w:eastAsia="MS Mincho"/>
                <w:iCs/>
                <w:sz w:val="20"/>
              </w:rPr>
              <w:t>.</w:t>
            </w:r>
          </w:p>
        </w:tc>
      </w:tr>
      <w:tr w:rsidR="0025427A" w:rsidRPr="0025427A" w14:paraId="0018BF65" w14:textId="77777777" w:rsidTr="009822AF">
        <w:trPr>
          <w:cantSplit/>
        </w:trPr>
        <w:tc>
          <w:tcPr>
            <w:tcW w:w="2450" w:type="dxa"/>
            <w:tcBorders>
              <w:top w:val="single" w:sz="4" w:space="0" w:color="auto"/>
              <w:left w:val="single" w:sz="4" w:space="0" w:color="auto"/>
              <w:bottom w:val="single" w:sz="4" w:space="0" w:color="auto"/>
              <w:right w:val="single" w:sz="4" w:space="0" w:color="auto"/>
            </w:tcBorders>
          </w:tcPr>
          <w:p w14:paraId="7190CB3A" w14:textId="77777777" w:rsidR="0025427A" w:rsidRPr="0025427A" w:rsidRDefault="0025427A" w:rsidP="009822AF">
            <w:pPr>
              <w:spacing w:after="60"/>
              <w:rPr>
                <w:rFonts w:eastAsia="MS Mincho"/>
                <w:iCs/>
                <w:sz w:val="20"/>
              </w:rPr>
            </w:pPr>
            <w:r w:rsidRPr="0025427A">
              <w:rPr>
                <w:rFonts w:eastAsia="MS Mincho"/>
                <w:iCs/>
                <w:sz w:val="20"/>
              </w:rPr>
              <w:t xml:space="preserve">OPTOUTLSERTAML </w:t>
            </w:r>
            <w:r w:rsidRPr="0025427A">
              <w:rPr>
                <w:rFonts w:eastAsia="MS Mincho"/>
                <w:i/>
                <w:sz w:val="20"/>
                <w:vertAlign w:val="subscript"/>
              </w:rPr>
              <w:t>l</w:t>
            </w:r>
            <w:r w:rsidRPr="0025427A">
              <w:rPr>
                <w:rFonts w:eastAsia="MS Mincho"/>
                <w:iCs/>
                <w:sz w:val="20"/>
                <w:vertAlign w:val="subscript"/>
              </w:rPr>
              <w:t>,</w:t>
            </w:r>
            <w:r w:rsidRPr="0025427A">
              <w:rPr>
                <w:rFonts w:eastAsia="MS Mincho"/>
                <w:iCs/>
                <w:sz w:val="20"/>
              </w:rPr>
              <w:t xml:space="preserve"> </w:t>
            </w:r>
            <w:r w:rsidRPr="0025427A">
              <w:rPr>
                <w:rFonts w:eastAsia="MS Mincho"/>
                <w:i/>
                <w:sz w:val="20"/>
                <w:vertAlign w:val="subscript"/>
              </w:rPr>
              <w:t>q, i</w:t>
            </w:r>
          </w:p>
        </w:tc>
        <w:tc>
          <w:tcPr>
            <w:tcW w:w="0" w:type="auto"/>
            <w:tcBorders>
              <w:top w:val="single" w:sz="4" w:space="0" w:color="auto"/>
              <w:left w:val="single" w:sz="4" w:space="0" w:color="auto"/>
              <w:bottom w:val="single" w:sz="4" w:space="0" w:color="auto"/>
              <w:right w:val="single" w:sz="4" w:space="0" w:color="auto"/>
            </w:tcBorders>
          </w:tcPr>
          <w:p w14:paraId="5AD16C60" w14:textId="77777777" w:rsidR="0025427A" w:rsidRPr="0025427A" w:rsidRDefault="0025427A" w:rsidP="009822AF">
            <w:pPr>
              <w:spacing w:after="60"/>
              <w:rPr>
                <w:rFonts w:eastAsia="MS Mincho"/>
                <w:iCs/>
                <w:sz w:val="20"/>
              </w:rPr>
            </w:pPr>
            <w:r w:rsidRPr="0025427A">
              <w:rPr>
                <w:rFonts w:eastAsia="MS Mincho"/>
                <w:iCs/>
                <w:sz w:val="20"/>
              </w:rPr>
              <w:t>MWh</w:t>
            </w:r>
          </w:p>
        </w:tc>
        <w:tc>
          <w:tcPr>
            <w:tcW w:w="0" w:type="auto"/>
            <w:tcBorders>
              <w:top w:val="single" w:sz="4" w:space="0" w:color="auto"/>
              <w:left w:val="single" w:sz="4" w:space="0" w:color="auto"/>
              <w:bottom w:val="single" w:sz="4" w:space="0" w:color="auto"/>
              <w:right w:val="single" w:sz="4" w:space="0" w:color="auto"/>
            </w:tcBorders>
          </w:tcPr>
          <w:p w14:paraId="2F3785E7" w14:textId="083172DB" w:rsidR="0025427A" w:rsidRPr="0025427A" w:rsidDel="005C09C4" w:rsidRDefault="0025427A" w:rsidP="009822AF">
            <w:pPr>
              <w:spacing w:after="60"/>
              <w:rPr>
                <w:rFonts w:eastAsia="MS Mincho"/>
                <w:i/>
                <w:iCs/>
                <w:sz w:val="20"/>
              </w:rPr>
            </w:pPr>
            <w:r w:rsidRPr="0025427A">
              <w:rPr>
                <w:rFonts w:eastAsia="MS Mincho"/>
                <w:i/>
                <w:sz w:val="20"/>
              </w:rPr>
              <w:t xml:space="preserve">Opt-Out LSE Real-Time Adjusted Metered Load </w:t>
            </w:r>
            <w:r w:rsidRPr="0025427A">
              <w:rPr>
                <w:rFonts w:eastAsia="MS Mincho"/>
                <w:iCs/>
                <w:sz w:val="20"/>
              </w:rPr>
              <w:t xml:space="preserve">— The Real-Time Adjusted Metered Load (RTAML) of Securitization Uplift Charge Opt-Out Entities that are transmission-voltage Customers for LSE </w:t>
            </w:r>
            <w:r w:rsidRPr="0025427A">
              <w:rPr>
                <w:rFonts w:eastAsia="MS Mincho"/>
                <w:i/>
                <w:sz w:val="20"/>
              </w:rPr>
              <w:t>l</w:t>
            </w:r>
            <w:r w:rsidRPr="0025427A">
              <w:rPr>
                <w:rFonts w:eastAsia="MS Mincho"/>
                <w:iCs/>
                <w:sz w:val="20"/>
              </w:rPr>
              <w:t xml:space="preserve"> represented by QSE </w:t>
            </w:r>
            <w:r w:rsidRPr="0025427A">
              <w:rPr>
                <w:rFonts w:eastAsia="MS Mincho"/>
                <w:i/>
                <w:sz w:val="20"/>
              </w:rPr>
              <w:t>q</w:t>
            </w:r>
            <w:r w:rsidRPr="0025427A">
              <w:rPr>
                <w:rFonts w:eastAsia="MS Mincho"/>
                <w:iCs/>
                <w:sz w:val="20"/>
              </w:rPr>
              <w:t xml:space="preserve">, for the 15-minute Settlement Interval </w:t>
            </w:r>
            <w:r w:rsidRPr="0025427A">
              <w:rPr>
                <w:rFonts w:eastAsia="MS Mincho"/>
                <w:i/>
                <w:sz w:val="20"/>
              </w:rPr>
              <w:t>i</w:t>
            </w:r>
            <w:r w:rsidRPr="0025427A">
              <w:rPr>
                <w:rFonts w:eastAsia="MS Mincho"/>
                <w:iCs/>
                <w:sz w:val="20"/>
              </w:rPr>
              <w:t>.</w:t>
            </w:r>
          </w:p>
        </w:tc>
      </w:tr>
      <w:tr w:rsidR="0025427A" w:rsidRPr="0025427A" w14:paraId="1C18427F" w14:textId="77777777" w:rsidTr="009822AF">
        <w:trPr>
          <w:cantSplit/>
        </w:trPr>
        <w:tc>
          <w:tcPr>
            <w:tcW w:w="2450" w:type="dxa"/>
            <w:tcBorders>
              <w:top w:val="single" w:sz="4" w:space="0" w:color="auto"/>
              <w:left w:val="single" w:sz="4" w:space="0" w:color="auto"/>
              <w:bottom w:val="single" w:sz="4" w:space="0" w:color="auto"/>
              <w:right w:val="single" w:sz="4" w:space="0" w:color="auto"/>
            </w:tcBorders>
          </w:tcPr>
          <w:p w14:paraId="50733C50" w14:textId="77777777" w:rsidR="0025427A" w:rsidRPr="0025427A" w:rsidRDefault="0025427A" w:rsidP="009822AF">
            <w:pPr>
              <w:spacing w:after="60"/>
              <w:rPr>
                <w:rFonts w:eastAsia="MS Mincho"/>
                <w:i/>
                <w:iCs/>
                <w:sz w:val="20"/>
              </w:rPr>
            </w:pPr>
            <w:r w:rsidRPr="0025427A">
              <w:rPr>
                <w:rFonts w:eastAsia="MS Mincho"/>
                <w:iCs/>
                <w:sz w:val="20"/>
              </w:rPr>
              <w:t xml:space="preserve">DQSELSERTAML </w:t>
            </w:r>
            <w:r w:rsidRPr="0025427A">
              <w:rPr>
                <w:rFonts w:eastAsia="MS Mincho"/>
                <w:i/>
                <w:iCs/>
                <w:sz w:val="20"/>
                <w:vertAlign w:val="subscript"/>
              </w:rPr>
              <w:t>q, d</w:t>
            </w:r>
          </w:p>
        </w:tc>
        <w:tc>
          <w:tcPr>
            <w:tcW w:w="0" w:type="auto"/>
            <w:tcBorders>
              <w:top w:val="single" w:sz="4" w:space="0" w:color="auto"/>
              <w:left w:val="single" w:sz="4" w:space="0" w:color="auto"/>
              <w:bottom w:val="single" w:sz="4" w:space="0" w:color="auto"/>
              <w:right w:val="single" w:sz="4" w:space="0" w:color="auto"/>
            </w:tcBorders>
          </w:tcPr>
          <w:p w14:paraId="6FDDB2DC" w14:textId="77777777" w:rsidR="0025427A" w:rsidRPr="0025427A" w:rsidRDefault="0025427A" w:rsidP="009822AF">
            <w:pPr>
              <w:spacing w:after="60"/>
              <w:rPr>
                <w:rFonts w:eastAsia="MS Mincho"/>
                <w:iCs/>
                <w:sz w:val="20"/>
              </w:rPr>
            </w:pPr>
            <w:r w:rsidRPr="0025427A">
              <w:rPr>
                <w:rFonts w:eastAsia="MS Mincho"/>
                <w:iCs/>
                <w:sz w:val="20"/>
              </w:rPr>
              <w:t>MWh</w:t>
            </w:r>
          </w:p>
        </w:tc>
        <w:tc>
          <w:tcPr>
            <w:tcW w:w="0" w:type="auto"/>
            <w:tcBorders>
              <w:top w:val="single" w:sz="4" w:space="0" w:color="auto"/>
              <w:left w:val="single" w:sz="4" w:space="0" w:color="auto"/>
              <w:bottom w:val="single" w:sz="4" w:space="0" w:color="auto"/>
              <w:right w:val="single" w:sz="4" w:space="0" w:color="auto"/>
            </w:tcBorders>
          </w:tcPr>
          <w:p w14:paraId="27239BAF" w14:textId="6C0FE717" w:rsidR="0025427A" w:rsidRPr="0025427A" w:rsidRDefault="0025427A" w:rsidP="009822AF">
            <w:pPr>
              <w:spacing w:after="60"/>
              <w:rPr>
                <w:rFonts w:eastAsia="MS Mincho"/>
                <w:iCs/>
                <w:sz w:val="20"/>
              </w:rPr>
            </w:pPr>
            <w:r w:rsidRPr="0025427A">
              <w:rPr>
                <w:rFonts w:eastAsia="MS Mincho"/>
                <w:i/>
                <w:iCs/>
                <w:sz w:val="20"/>
              </w:rPr>
              <w:t xml:space="preserve">Daily QSE </w:t>
            </w:r>
            <w:r w:rsidRPr="0025427A">
              <w:rPr>
                <w:rFonts w:eastAsia="MS Mincho"/>
                <w:i/>
                <w:sz w:val="20"/>
              </w:rPr>
              <w:t>Non-Opted-Out</w:t>
            </w:r>
            <w:r w:rsidRPr="0025427A">
              <w:rPr>
                <w:rFonts w:eastAsia="MS Mincho"/>
                <w:i/>
                <w:iCs/>
                <w:sz w:val="20"/>
              </w:rPr>
              <w:t xml:space="preserve"> LSE Real-Time Adjusted Metered Load </w:t>
            </w:r>
            <w:r w:rsidRPr="0025427A">
              <w:rPr>
                <w:rFonts w:eastAsia="MS Mincho"/>
                <w:iCs/>
                <w:sz w:val="20"/>
              </w:rPr>
              <w:t xml:space="preserve">— The Real-Time Adjusted Metered Load (RTAML), </w:t>
            </w:r>
            <w:r w:rsidRPr="0025427A">
              <w:rPr>
                <w:rFonts w:eastAsia="MS Mincho"/>
                <w:bCs/>
                <w:iCs/>
                <w:sz w:val="20"/>
              </w:rPr>
              <w:t xml:space="preserve">excluding the RTAML for Securitization Uplift Charge Opt-Out Entities and excluding DC Tie </w:t>
            </w:r>
            <w:r w:rsidRPr="0025427A">
              <w:rPr>
                <w:rFonts w:eastAsia="MS Mincho"/>
                <w:iCs/>
                <w:sz w:val="20"/>
              </w:rPr>
              <w:t>exports</w:t>
            </w:r>
            <w:r w:rsidRPr="0025427A">
              <w:rPr>
                <w:rFonts w:eastAsia="MS Mincho"/>
                <w:bCs/>
                <w:iCs/>
                <w:sz w:val="20"/>
              </w:rPr>
              <w:t xml:space="preserve">, for a QSE </w:t>
            </w:r>
            <w:r w:rsidRPr="0025427A">
              <w:rPr>
                <w:rFonts w:eastAsia="MS Mincho"/>
                <w:bCs/>
                <w:i/>
                <w:sz w:val="20"/>
              </w:rPr>
              <w:t>q</w:t>
            </w:r>
            <w:r w:rsidRPr="0025427A">
              <w:rPr>
                <w:rFonts w:eastAsia="MS Mincho"/>
                <w:bCs/>
                <w:iCs/>
                <w:sz w:val="20"/>
              </w:rPr>
              <w:t xml:space="preserve">, </w:t>
            </w:r>
            <w:r w:rsidRPr="0025427A">
              <w:rPr>
                <w:rFonts w:eastAsia="MS Mincho"/>
                <w:iCs/>
                <w:sz w:val="20"/>
              </w:rPr>
              <w:t xml:space="preserve">for the Operating Day </w:t>
            </w:r>
            <w:r w:rsidRPr="0025427A">
              <w:rPr>
                <w:rFonts w:eastAsia="MS Mincho"/>
                <w:i/>
                <w:sz w:val="20"/>
              </w:rPr>
              <w:t>d</w:t>
            </w:r>
            <w:r w:rsidRPr="0025427A">
              <w:rPr>
                <w:rFonts w:eastAsia="MS Mincho"/>
                <w:iCs/>
                <w:sz w:val="20"/>
              </w:rPr>
              <w:t>.</w:t>
            </w:r>
          </w:p>
        </w:tc>
      </w:tr>
      <w:tr w:rsidR="0025427A" w:rsidRPr="0025427A" w14:paraId="4A6EEA0B" w14:textId="77777777" w:rsidTr="009822AF">
        <w:trPr>
          <w:cantSplit/>
        </w:trPr>
        <w:tc>
          <w:tcPr>
            <w:tcW w:w="2450" w:type="dxa"/>
            <w:tcBorders>
              <w:top w:val="single" w:sz="4" w:space="0" w:color="auto"/>
              <w:left w:val="single" w:sz="4" w:space="0" w:color="auto"/>
              <w:bottom w:val="single" w:sz="4" w:space="0" w:color="auto"/>
              <w:right w:val="single" w:sz="4" w:space="0" w:color="auto"/>
            </w:tcBorders>
          </w:tcPr>
          <w:p w14:paraId="69BBC545" w14:textId="77777777" w:rsidR="0025427A" w:rsidRPr="0025427A" w:rsidRDefault="0025427A" w:rsidP="009822AF">
            <w:pPr>
              <w:spacing w:after="60"/>
              <w:rPr>
                <w:rFonts w:eastAsia="MS Mincho"/>
                <w:i/>
                <w:iCs/>
                <w:sz w:val="20"/>
              </w:rPr>
            </w:pPr>
            <w:r w:rsidRPr="0025427A">
              <w:rPr>
                <w:rFonts w:eastAsia="MS Mincho"/>
                <w:iCs/>
                <w:sz w:val="20"/>
              </w:rPr>
              <w:t xml:space="preserve">DERCOTQSELSERTAML </w:t>
            </w:r>
            <w:r w:rsidRPr="0025427A">
              <w:rPr>
                <w:rFonts w:eastAsia="MS Mincho"/>
                <w:i/>
                <w:iCs/>
                <w:sz w:val="20"/>
                <w:vertAlign w:val="subscript"/>
              </w:rPr>
              <w:t>d</w:t>
            </w:r>
          </w:p>
        </w:tc>
        <w:tc>
          <w:tcPr>
            <w:tcW w:w="0" w:type="auto"/>
            <w:tcBorders>
              <w:top w:val="single" w:sz="4" w:space="0" w:color="auto"/>
              <w:left w:val="single" w:sz="4" w:space="0" w:color="auto"/>
              <w:bottom w:val="single" w:sz="4" w:space="0" w:color="auto"/>
              <w:right w:val="single" w:sz="4" w:space="0" w:color="auto"/>
            </w:tcBorders>
          </w:tcPr>
          <w:p w14:paraId="638BDEAD" w14:textId="77777777" w:rsidR="0025427A" w:rsidRPr="0025427A" w:rsidRDefault="0025427A" w:rsidP="009822AF">
            <w:pPr>
              <w:spacing w:after="60"/>
              <w:rPr>
                <w:rFonts w:eastAsia="MS Mincho"/>
                <w:iCs/>
                <w:sz w:val="20"/>
              </w:rPr>
            </w:pPr>
            <w:r w:rsidRPr="0025427A">
              <w:rPr>
                <w:rFonts w:eastAsia="MS Mincho"/>
                <w:iCs/>
                <w:sz w:val="20"/>
              </w:rPr>
              <w:t>MWh</w:t>
            </w:r>
          </w:p>
        </w:tc>
        <w:tc>
          <w:tcPr>
            <w:tcW w:w="0" w:type="auto"/>
            <w:tcBorders>
              <w:top w:val="single" w:sz="4" w:space="0" w:color="auto"/>
              <w:left w:val="single" w:sz="4" w:space="0" w:color="auto"/>
              <w:bottom w:val="single" w:sz="4" w:space="0" w:color="auto"/>
              <w:right w:val="single" w:sz="4" w:space="0" w:color="auto"/>
            </w:tcBorders>
          </w:tcPr>
          <w:p w14:paraId="07EA814C" w14:textId="39214BA7" w:rsidR="0025427A" w:rsidRPr="0025427A" w:rsidRDefault="0025427A" w:rsidP="009822AF">
            <w:pPr>
              <w:spacing w:after="60"/>
              <w:rPr>
                <w:rFonts w:eastAsia="MS Mincho"/>
                <w:iCs/>
                <w:sz w:val="20"/>
              </w:rPr>
            </w:pPr>
            <w:r w:rsidRPr="0025427A">
              <w:rPr>
                <w:rFonts w:eastAsia="MS Mincho"/>
                <w:i/>
                <w:iCs/>
                <w:sz w:val="20"/>
              </w:rPr>
              <w:t xml:space="preserve">Daily ERCOT QSE </w:t>
            </w:r>
            <w:r w:rsidRPr="0025427A">
              <w:rPr>
                <w:rFonts w:eastAsia="MS Mincho"/>
                <w:i/>
                <w:sz w:val="20"/>
              </w:rPr>
              <w:t>Non-Opted-Out</w:t>
            </w:r>
            <w:r w:rsidRPr="0025427A">
              <w:rPr>
                <w:rFonts w:eastAsia="MS Mincho"/>
                <w:i/>
                <w:iCs/>
                <w:sz w:val="20"/>
              </w:rPr>
              <w:t xml:space="preserve"> LSE Real-Time Adjusted Metered Load </w:t>
            </w:r>
            <w:r w:rsidRPr="0025427A">
              <w:rPr>
                <w:rFonts w:eastAsia="MS Mincho"/>
                <w:iCs/>
                <w:sz w:val="20"/>
              </w:rPr>
              <w:t>— The ERCOT total Real-Time Adjusted Metered Load (RTAML)</w:t>
            </w:r>
            <w:r w:rsidRPr="0025427A">
              <w:rPr>
                <w:rFonts w:eastAsia="MS Mincho"/>
                <w:bCs/>
                <w:iCs/>
                <w:sz w:val="20"/>
              </w:rPr>
              <w:t xml:space="preserve">, excluding the RTAML for Securitization Uplift Charge Opt-Out Entities and DC Tie </w:t>
            </w:r>
            <w:r w:rsidRPr="0025427A">
              <w:rPr>
                <w:rFonts w:eastAsia="MS Mincho"/>
                <w:iCs/>
                <w:sz w:val="20"/>
              </w:rPr>
              <w:t>exports</w:t>
            </w:r>
            <w:r w:rsidRPr="0025427A">
              <w:rPr>
                <w:rFonts w:eastAsia="MS Mincho"/>
                <w:bCs/>
                <w:iCs/>
                <w:sz w:val="20"/>
              </w:rPr>
              <w:t xml:space="preserve">, </w:t>
            </w:r>
            <w:r w:rsidRPr="0025427A">
              <w:rPr>
                <w:rFonts w:eastAsia="MS Mincho"/>
                <w:iCs/>
                <w:sz w:val="20"/>
              </w:rPr>
              <w:t xml:space="preserve">for the Operating Day </w:t>
            </w:r>
            <w:r w:rsidRPr="0025427A">
              <w:rPr>
                <w:rFonts w:eastAsia="MS Mincho"/>
                <w:i/>
                <w:sz w:val="20"/>
              </w:rPr>
              <w:t>d</w:t>
            </w:r>
            <w:r w:rsidRPr="0025427A">
              <w:rPr>
                <w:rFonts w:eastAsia="MS Mincho"/>
                <w:iCs/>
                <w:sz w:val="20"/>
              </w:rPr>
              <w:t>.</w:t>
            </w:r>
          </w:p>
        </w:tc>
      </w:tr>
      <w:tr w:rsidR="0025427A" w:rsidRPr="0025427A" w14:paraId="2EADB338" w14:textId="77777777" w:rsidTr="009822AF">
        <w:trPr>
          <w:cantSplit/>
        </w:trPr>
        <w:tc>
          <w:tcPr>
            <w:tcW w:w="2450" w:type="dxa"/>
            <w:tcBorders>
              <w:top w:val="single" w:sz="4" w:space="0" w:color="auto"/>
              <w:left w:val="single" w:sz="4" w:space="0" w:color="auto"/>
              <w:bottom w:val="single" w:sz="4" w:space="0" w:color="auto"/>
              <w:right w:val="single" w:sz="4" w:space="0" w:color="auto"/>
            </w:tcBorders>
          </w:tcPr>
          <w:p w14:paraId="1C1592FF" w14:textId="77777777" w:rsidR="0025427A" w:rsidRPr="0025427A" w:rsidRDefault="0025427A" w:rsidP="009822AF">
            <w:pPr>
              <w:spacing w:after="60"/>
              <w:rPr>
                <w:rFonts w:eastAsia="MS Mincho"/>
                <w:i/>
                <w:iCs/>
                <w:sz w:val="20"/>
              </w:rPr>
            </w:pPr>
            <w:r w:rsidRPr="0025427A">
              <w:rPr>
                <w:rFonts w:eastAsia="MS Mincho"/>
                <w:i/>
                <w:iCs/>
                <w:sz w:val="20"/>
              </w:rPr>
              <w:t>q</w:t>
            </w:r>
          </w:p>
        </w:tc>
        <w:tc>
          <w:tcPr>
            <w:tcW w:w="0" w:type="auto"/>
            <w:tcBorders>
              <w:top w:val="single" w:sz="4" w:space="0" w:color="auto"/>
              <w:left w:val="single" w:sz="4" w:space="0" w:color="auto"/>
              <w:bottom w:val="single" w:sz="4" w:space="0" w:color="auto"/>
              <w:right w:val="single" w:sz="4" w:space="0" w:color="auto"/>
            </w:tcBorders>
          </w:tcPr>
          <w:p w14:paraId="02B502CD" w14:textId="77777777" w:rsidR="0025427A" w:rsidRPr="0025427A" w:rsidRDefault="0025427A" w:rsidP="009822AF">
            <w:pPr>
              <w:spacing w:after="60"/>
              <w:rPr>
                <w:rFonts w:eastAsia="MS Mincho"/>
                <w:iCs/>
                <w:sz w:val="20"/>
              </w:rPr>
            </w:pPr>
            <w:r w:rsidRPr="0025427A">
              <w:rPr>
                <w:rFonts w:eastAsia="MS Mincho"/>
                <w:iCs/>
                <w:sz w:val="20"/>
              </w:rPr>
              <w:t>none</w:t>
            </w:r>
          </w:p>
        </w:tc>
        <w:tc>
          <w:tcPr>
            <w:tcW w:w="0" w:type="auto"/>
            <w:tcBorders>
              <w:top w:val="single" w:sz="4" w:space="0" w:color="auto"/>
              <w:left w:val="single" w:sz="4" w:space="0" w:color="auto"/>
              <w:bottom w:val="single" w:sz="4" w:space="0" w:color="auto"/>
              <w:right w:val="single" w:sz="4" w:space="0" w:color="auto"/>
            </w:tcBorders>
          </w:tcPr>
          <w:p w14:paraId="753934DB" w14:textId="77777777" w:rsidR="0025427A" w:rsidRPr="0025427A" w:rsidRDefault="0025427A" w:rsidP="009822AF">
            <w:pPr>
              <w:spacing w:after="60"/>
              <w:rPr>
                <w:rFonts w:eastAsia="MS Mincho"/>
                <w:iCs/>
                <w:sz w:val="20"/>
              </w:rPr>
            </w:pPr>
            <w:r w:rsidRPr="0025427A">
              <w:rPr>
                <w:rFonts w:eastAsia="MS Mincho"/>
                <w:iCs/>
                <w:sz w:val="20"/>
              </w:rPr>
              <w:t>A QSE</w:t>
            </w:r>
          </w:p>
        </w:tc>
      </w:tr>
      <w:tr w:rsidR="0025427A" w:rsidRPr="0025427A" w14:paraId="154EBB9A" w14:textId="77777777" w:rsidTr="009822AF">
        <w:trPr>
          <w:cantSplit/>
        </w:trPr>
        <w:tc>
          <w:tcPr>
            <w:tcW w:w="2450" w:type="dxa"/>
            <w:tcBorders>
              <w:top w:val="single" w:sz="4" w:space="0" w:color="auto"/>
              <w:left w:val="single" w:sz="4" w:space="0" w:color="auto"/>
              <w:bottom w:val="single" w:sz="4" w:space="0" w:color="auto"/>
              <w:right w:val="single" w:sz="4" w:space="0" w:color="auto"/>
            </w:tcBorders>
          </w:tcPr>
          <w:p w14:paraId="58C126E9" w14:textId="77777777" w:rsidR="0025427A" w:rsidRPr="0025427A" w:rsidRDefault="0025427A" w:rsidP="009822AF">
            <w:pPr>
              <w:spacing w:after="60"/>
              <w:rPr>
                <w:rFonts w:eastAsia="MS Mincho"/>
                <w:i/>
                <w:iCs/>
                <w:sz w:val="20"/>
              </w:rPr>
            </w:pPr>
            <w:r w:rsidRPr="0025427A">
              <w:rPr>
                <w:rFonts w:eastAsia="MS Mincho"/>
                <w:i/>
                <w:iCs/>
                <w:sz w:val="20"/>
              </w:rPr>
              <w:t>l</w:t>
            </w:r>
          </w:p>
        </w:tc>
        <w:tc>
          <w:tcPr>
            <w:tcW w:w="0" w:type="auto"/>
            <w:tcBorders>
              <w:top w:val="single" w:sz="4" w:space="0" w:color="auto"/>
              <w:left w:val="single" w:sz="4" w:space="0" w:color="auto"/>
              <w:bottom w:val="single" w:sz="4" w:space="0" w:color="auto"/>
              <w:right w:val="single" w:sz="4" w:space="0" w:color="auto"/>
            </w:tcBorders>
          </w:tcPr>
          <w:p w14:paraId="04FEA1FF" w14:textId="77777777" w:rsidR="0025427A" w:rsidRPr="0025427A" w:rsidRDefault="0025427A" w:rsidP="009822AF">
            <w:pPr>
              <w:spacing w:after="60"/>
              <w:rPr>
                <w:rFonts w:eastAsia="MS Mincho"/>
                <w:iCs/>
                <w:sz w:val="20"/>
              </w:rPr>
            </w:pPr>
            <w:r w:rsidRPr="0025427A">
              <w:rPr>
                <w:rFonts w:eastAsia="MS Mincho"/>
                <w:iCs/>
                <w:sz w:val="20"/>
              </w:rPr>
              <w:t>none</w:t>
            </w:r>
          </w:p>
        </w:tc>
        <w:tc>
          <w:tcPr>
            <w:tcW w:w="0" w:type="auto"/>
            <w:tcBorders>
              <w:top w:val="single" w:sz="4" w:space="0" w:color="auto"/>
              <w:left w:val="single" w:sz="4" w:space="0" w:color="auto"/>
              <w:bottom w:val="single" w:sz="4" w:space="0" w:color="auto"/>
              <w:right w:val="single" w:sz="4" w:space="0" w:color="auto"/>
            </w:tcBorders>
          </w:tcPr>
          <w:p w14:paraId="379975F3" w14:textId="77777777" w:rsidR="0025427A" w:rsidRPr="0025427A" w:rsidRDefault="0025427A" w:rsidP="009822AF">
            <w:pPr>
              <w:spacing w:after="60"/>
              <w:rPr>
                <w:rFonts w:eastAsia="MS Mincho"/>
                <w:iCs/>
                <w:sz w:val="20"/>
              </w:rPr>
            </w:pPr>
            <w:r w:rsidRPr="0025427A">
              <w:rPr>
                <w:rFonts w:eastAsia="MS Mincho"/>
                <w:iCs/>
                <w:sz w:val="20"/>
              </w:rPr>
              <w:t>An LSE</w:t>
            </w:r>
          </w:p>
        </w:tc>
      </w:tr>
      <w:tr w:rsidR="0025427A" w:rsidRPr="0025427A" w14:paraId="6FE77653" w14:textId="77777777" w:rsidTr="009822AF">
        <w:trPr>
          <w:cantSplit/>
        </w:trPr>
        <w:tc>
          <w:tcPr>
            <w:tcW w:w="2450" w:type="dxa"/>
            <w:tcBorders>
              <w:top w:val="single" w:sz="4" w:space="0" w:color="auto"/>
              <w:left w:val="single" w:sz="4" w:space="0" w:color="auto"/>
              <w:bottom w:val="single" w:sz="4" w:space="0" w:color="auto"/>
              <w:right w:val="single" w:sz="4" w:space="0" w:color="auto"/>
            </w:tcBorders>
          </w:tcPr>
          <w:p w14:paraId="087FD200" w14:textId="77777777" w:rsidR="0025427A" w:rsidRPr="0025427A" w:rsidRDefault="0025427A" w:rsidP="009822AF">
            <w:pPr>
              <w:spacing w:after="60"/>
              <w:rPr>
                <w:rFonts w:eastAsia="MS Mincho"/>
                <w:i/>
                <w:iCs/>
                <w:sz w:val="20"/>
              </w:rPr>
            </w:pPr>
            <w:r w:rsidRPr="0025427A">
              <w:rPr>
                <w:rFonts w:eastAsia="MS Mincho"/>
                <w:i/>
                <w:iCs/>
                <w:sz w:val="20"/>
              </w:rPr>
              <w:t>d</w:t>
            </w:r>
          </w:p>
        </w:tc>
        <w:tc>
          <w:tcPr>
            <w:tcW w:w="0" w:type="auto"/>
            <w:tcBorders>
              <w:top w:val="single" w:sz="4" w:space="0" w:color="auto"/>
              <w:left w:val="single" w:sz="4" w:space="0" w:color="auto"/>
              <w:bottom w:val="single" w:sz="4" w:space="0" w:color="auto"/>
              <w:right w:val="single" w:sz="4" w:space="0" w:color="auto"/>
            </w:tcBorders>
          </w:tcPr>
          <w:p w14:paraId="2AA7EF51" w14:textId="77777777" w:rsidR="0025427A" w:rsidRPr="0025427A" w:rsidRDefault="0025427A" w:rsidP="009822AF">
            <w:pPr>
              <w:spacing w:after="60"/>
              <w:rPr>
                <w:rFonts w:eastAsia="MS Mincho"/>
                <w:iCs/>
                <w:sz w:val="20"/>
              </w:rPr>
            </w:pPr>
            <w:r w:rsidRPr="0025427A">
              <w:rPr>
                <w:rFonts w:eastAsia="MS Mincho"/>
                <w:iCs/>
                <w:sz w:val="20"/>
              </w:rPr>
              <w:t>none</w:t>
            </w:r>
          </w:p>
        </w:tc>
        <w:tc>
          <w:tcPr>
            <w:tcW w:w="0" w:type="auto"/>
            <w:tcBorders>
              <w:top w:val="single" w:sz="4" w:space="0" w:color="auto"/>
              <w:left w:val="single" w:sz="4" w:space="0" w:color="auto"/>
              <w:bottom w:val="single" w:sz="4" w:space="0" w:color="auto"/>
              <w:right w:val="single" w:sz="4" w:space="0" w:color="auto"/>
            </w:tcBorders>
          </w:tcPr>
          <w:p w14:paraId="0794BB70" w14:textId="77777777" w:rsidR="0025427A" w:rsidRPr="0025427A" w:rsidRDefault="0025427A" w:rsidP="009822AF">
            <w:pPr>
              <w:spacing w:after="60"/>
              <w:rPr>
                <w:rFonts w:eastAsia="MS Mincho"/>
                <w:iCs/>
                <w:sz w:val="20"/>
              </w:rPr>
            </w:pPr>
            <w:r w:rsidRPr="0025427A">
              <w:rPr>
                <w:rFonts w:eastAsia="MS Mincho"/>
                <w:iCs/>
                <w:sz w:val="20"/>
              </w:rPr>
              <w:t>An Operating Day</w:t>
            </w:r>
          </w:p>
        </w:tc>
      </w:tr>
      <w:tr w:rsidR="0025427A" w:rsidRPr="0025427A" w14:paraId="4C8475DC" w14:textId="77777777" w:rsidTr="009822AF">
        <w:trPr>
          <w:cantSplit/>
        </w:trPr>
        <w:tc>
          <w:tcPr>
            <w:tcW w:w="2450" w:type="dxa"/>
            <w:tcBorders>
              <w:top w:val="single" w:sz="4" w:space="0" w:color="auto"/>
              <w:left w:val="single" w:sz="4" w:space="0" w:color="auto"/>
              <w:bottom w:val="single" w:sz="4" w:space="0" w:color="auto"/>
              <w:right w:val="single" w:sz="4" w:space="0" w:color="auto"/>
            </w:tcBorders>
          </w:tcPr>
          <w:p w14:paraId="1DB348AA" w14:textId="77777777" w:rsidR="0025427A" w:rsidRPr="0025427A" w:rsidRDefault="0025427A" w:rsidP="009822AF">
            <w:pPr>
              <w:spacing w:after="60"/>
              <w:rPr>
                <w:rFonts w:eastAsia="MS Mincho"/>
                <w:i/>
                <w:iCs/>
                <w:sz w:val="20"/>
              </w:rPr>
            </w:pPr>
            <w:r w:rsidRPr="0025427A">
              <w:rPr>
                <w:rFonts w:eastAsia="MS Mincho"/>
                <w:i/>
                <w:iCs/>
                <w:sz w:val="20"/>
              </w:rPr>
              <w:t>i</w:t>
            </w:r>
          </w:p>
        </w:tc>
        <w:tc>
          <w:tcPr>
            <w:tcW w:w="0" w:type="auto"/>
            <w:tcBorders>
              <w:top w:val="single" w:sz="4" w:space="0" w:color="auto"/>
              <w:left w:val="single" w:sz="4" w:space="0" w:color="auto"/>
              <w:bottom w:val="single" w:sz="4" w:space="0" w:color="auto"/>
              <w:right w:val="single" w:sz="4" w:space="0" w:color="auto"/>
            </w:tcBorders>
          </w:tcPr>
          <w:p w14:paraId="01F754A3" w14:textId="77777777" w:rsidR="0025427A" w:rsidRPr="0025427A" w:rsidRDefault="0025427A" w:rsidP="009822AF">
            <w:pPr>
              <w:spacing w:after="60"/>
              <w:rPr>
                <w:rFonts w:eastAsia="MS Mincho"/>
                <w:iCs/>
                <w:sz w:val="20"/>
              </w:rPr>
            </w:pPr>
            <w:r w:rsidRPr="0025427A">
              <w:rPr>
                <w:rFonts w:eastAsia="MS Mincho"/>
                <w:iCs/>
                <w:sz w:val="20"/>
              </w:rPr>
              <w:t>none</w:t>
            </w:r>
          </w:p>
        </w:tc>
        <w:tc>
          <w:tcPr>
            <w:tcW w:w="0" w:type="auto"/>
            <w:tcBorders>
              <w:top w:val="single" w:sz="4" w:space="0" w:color="auto"/>
              <w:left w:val="single" w:sz="4" w:space="0" w:color="auto"/>
              <w:bottom w:val="single" w:sz="4" w:space="0" w:color="auto"/>
              <w:right w:val="single" w:sz="4" w:space="0" w:color="auto"/>
            </w:tcBorders>
          </w:tcPr>
          <w:p w14:paraId="0876B182" w14:textId="77777777" w:rsidR="0025427A" w:rsidRPr="0025427A" w:rsidRDefault="0025427A" w:rsidP="009822AF">
            <w:pPr>
              <w:spacing w:after="60"/>
              <w:rPr>
                <w:rFonts w:eastAsia="MS Mincho"/>
                <w:iCs/>
                <w:sz w:val="20"/>
              </w:rPr>
            </w:pPr>
            <w:r w:rsidRPr="0025427A">
              <w:rPr>
                <w:rFonts w:eastAsia="MS Mincho"/>
                <w:sz w:val="20"/>
              </w:rPr>
              <w:t>A 15-minute Settlement Interval</w:t>
            </w:r>
          </w:p>
        </w:tc>
      </w:tr>
    </w:tbl>
    <w:bookmarkEnd w:id="5"/>
    <w:p w14:paraId="10AA5B26" w14:textId="77777777" w:rsidR="0025427A" w:rsidRPr="0025427A" w:rsidRDefault="0025427A" w:rsidP="0025427A">
      <w:pPr>
        <w:spacing w:before="240" w:after="240"/>
        <w:ind w:left="720" w:hanging="720"/>
        <w:rPr>
          <w:rFonts w:eastAsia="MS Mincho"/>
          <w:szCs w:val="24"/>
        </w:rPr>
      </w:pPr>
      <w:r w:rsidRPr="0025427A">
        <w:rPr>
          <w:rFonts w:eastAsia="MS Mincho"/>
          <w:szCs w:val="24"/>
        </w:rPr>
        <w:t>(2)</w:t>
      </w:r>
      <w:r w:rsidRPr="0025427A">
        <w:rPr>
          <w:rFonts w:eastAsia="MS Mincho"/>
          <w:szCs w:val="24"/>
        </w:rPr>
        <w:tab/>
        <w:t xml:space="preserve">As needed, but no less often than quarterly, ERCOT will, to ensure the Securitization Uplift Charge is repaid in substantially equal payments over its term, conduct an evaluation to: </w:t>
      </w:r>
    </w:p>
    <w:p w14:paraId="72776A03" w14:textId="77777777" w:rsidR="0025427A" w:rsidRPr="0025427A" w:rsidRDefault="0025427A" w:rsidP="0025427A">
      <w:pPr>
        <w:spacing w:after="240"/>
        <w:ind w:left="1440" w:hanging="720"/>
        <w:rPr>
          <w:rFonts w:eastAsia="MS Mincho"/>
          <w:szCs w:val="24"/>
        </w:rPr>
      </w:pPr>
      <w:r w:rsidRPr="0025427A">
        <w:rPr>
          <w:rFonts w:eastAsia="MS Mincho"/>
          <w:szCs w:val="24"/>
        </w:rPr>
        <w:t>(a)</w:t>
      </w:r>
      <w:r w:rsidRPr="0025427A">
        <w:rPr>
          <w:rFonts w:eastAsia="MS Mincho"/>
          <w:szCs w:val="24"/>
        </w:rPr>
        <w:tab/>
        <w:t>Calculate under-collections or over-collections from the preceding evaluation period;</w:t>
      </w:r>
    </w:p>
    <w:p w14:paraId="6A2AF18B" w14:textId="77777777" w:rsidR="0025427A" w:rsidRPr="0025427A" w:rsidRDefault="0025427A" w:rsidP="0025427A">
      <w:pPr>
        <w:spacing w:after="240"/>
        <w:ind w:left="1440" w:hanging="720"/>
        <w:rPr>
          <w:rFonts w:eastAsia="MS Mincho"/>
          <w:szCs w:val="24"/>
        </w:rPr>
      </w:pPr>
      <w:r w:rsidRPr="0025427A">
        <w:rPr>
          <w:rFonts w:eastAsia="MS Mincho"/>
          <w:szCs w:val="24"/>
        </w:rPr>
        <w:t>(b)</w:t>
      </w:r>
      <w:r w:rsidRPr="0025427A">
        <w:rPr>
          <w:rFonts w:eastAsia="MS Mincho"/>
          <w:szCs w:val="24"/>
        </w:rPr>
        <w:tab/>
        <w:t>Estimate any anticipated under-collections or over-collections for the current or upcoming evaluation period; and</w:t>
      </w:r>
    </w:p>
    <w:p w14:paraId="0C815676" w14:textId="77777777" w:rsidR="0025427A" w:rsidRPr="0025427A" w:rsidRDefault="0025427A" w:rsidP="0025427A">
      <w:pPr>
        <w:spacing w:after="240"/>
        <w:ind w:left="1440" w:hanging="720"/>
        <w:rPr>
          <w:rFonts w:eastAsia="MS Mincho"/>
          <w:szCs w:val="24"/>
        </w:rPr>
      </w:pPr>
      <w:r w:rsidRPr="0025427A">
        <w:rPr>
          <w:rFonts w:eastAsia="MS Mincho"/>
          <w:szCs w:val="24"/>
        </w:rPr>
        <w:t>(c)</w:t>
      </w:r>
      <w:r w:rsidRPr="0025427A">
        <w:rPr>
          <w:rFonts w:eastAsia="MS Mincho"/>
          <w:szCs w:val="24"/>
        </w:rPr>
        <w:tab/>
        <w:t>Calculate the periodic billing requirement for the upcoming evaluation period, taking into account the total amount of prior and anticipated over-collection and under-collection amounts, and calculate the Securitization Uplift Charge Daily Amount for future periodic billing requirements.</w:t>
      </w:r>
    </w:p>
    <w:p w14:paraId="58DEB519" w14:textId="77777777" w:rsidR="0025427A" w:rsidRPr="0025427A" w:rsidRDefault="0025427A" w:rsidP="0025427A">
      <w:pPr>
        <w:spacing w:after="240"/>
        <w:ind w:left="720" w:hanging="720"/>
        <w:rPr>
          <w:rFonts w:eastAsia="MS Mincho"/>
          <w:szCs w:val="24"/>
        </w:rPr>
      </w:pPr>
      <w:r w:rsidRPr="0025427A">
        <w:rPr>
          <w:rFonts w:eastAsia="MS Mincho"/>
          <w:szCs w:val="24"/>
        </w:rPr>
        <w:t>(3)</w:t>
      </w:r>
      <w:r w:rsidRPr="0025427A">
        <w:rPr>
          <w:rFonts w:eastAsia="MS Mincho"/>
          <w:szCs w:val="24"/>
        </w:rPr>
        <w:tab/>
        <w:t xml:space="preserve">If it is determined in the re-estimation process that the Securitization Uplift Charge Daily Amount needs to be revised, ERCOT will issue a Market Notice notifying Market </w:t>
      </w:r>
      <w:r w:rsidRPr="0025427A">
        <w:rPr>
          <w:rFonts w:eastAsia="MS Mincho"/>
          <w:szCs w:val="24"/>
        </w:rPr>
        <w:lastRenderedPageBreak/>
        <w:t xml:space="preserve">Participants of the change no later than 15 calendar days before the Operating Day in which the new Securitization Uplift Charge Daily Amount will become effective. </w:t>
      </w:r>
    </w:p>
    <w:p w14:paraId="72D65DD1" w14:textId="796BEB87" w:rsidR="0025427A" w:rsidRPr="0025427A" w:rsidRDefault="0025427A" w:rsidP="0025427A">
      <w:pPr>
        <w:spacing w:after="240"/>
        <w:ind w:left="720" w:hanging="720"/>
        <w:rPr>
          <w:rFonts w:eastAsia="MS Mincho"/>
          <w:szCs w:val="24"/>
        </w:rPr>
      </w:pPr>
      <w:r w:rsidRPr="0025427A">
        <w:rPr>
          <w:rFonts w:eastAsia="MS Mincho"/>
          <w:szCs w:val="24"/>
        </w:rPr>
        <w:t>(4)</w:t>
      </w:r>
      <w:r w:rsidRPr="0025427A">
        <w:rPr>
          <w:rFonts w:eastAsia="MS Mincho"/>
          <w:szCs w:val="24"/>
        </w:rPr>
        <w:tab/>
        <w:t>An LSE that is not a Securitization Uplift Charge Opt-Out Entity is responsible for remitting payment to its QSE for the LSE’s share of the Securitization Uplift Charge, based on the LSE’s Non-Opted-Out LSE Adjusted Metered Load</w:t>
      </w:r>
      <w:r w:rsidR="0082763E">
        <w:rPr>
          <w:rFonts w:eastAsia="MS Mincho"/>
          <w:szCs w:val="24"/>
        </w:rPr>
        <w:t xml:space="preserve"> (AML)</w:t>
      </w:r>
      <w:r w:rsidRPr="0025427A">
        <w:rPr>
          <w:rFonts w:eastAsia="MS Mincho"/>
          <w:szCs w:val="24"/>
        </w:rPr>
        <w:t xml:space="preserve">.  An LSE may not pass through the Securitization Uplift Charge to any transmission-voltage Customer that is a Securitization Uplift Charge Opt-Out Entity. </w:t>
      </w:r>
      <w:r w:rsidR="002C7153">
        <w:rPr>
          <w:rFonts w:eastAsia="MS Mincho"/>
          <w:szCs w:val="24"/>
        </w:rPr>
        <w:t xml:space="preserve"> </w:t>
      </w:r>
      <w:r w:rsidR="002C7153">
        <w:rPr>
          <w:rFonts w:eastAsia="MS Mincho"/>
        </w:rPr>
        <w:t xml:space="preserve">ERCOT shall post to the ERCOT website a list that consists solely of every </w:t>
      </w:r>
      <w:r w:rsidR="002C7153" w:rsidRPr="0025427A">
        <w:rPr>
          <w:rFonts w:eastAsia="MS Mincho"/>
          <w:szCs w:val="24"/>
        </w:rPr>
        <w:t>Electric Service Identifier</w:t>
      </w:r>
      <w:r w:rsidR="002C7153">
        <w:rPr>
          <w:rFonts w:eastAsia="MS Mincho"/>
        </w:rPr>
        <w:t xml:space="preserve"> (ESI ID) associated with a transmission-voltage Customer that is a </w:t>
      </w:r>
      <w:r w:rsidR="002C7153" w:rsidRPr="0025427A">
        <w:rPr>
          <w:rFonts w:eastAsia="MS Mincho"/>
        </w:rPr>
        <w:t>Securitization Uplift Charge Opt-Out Entit</w:t>
      </w:r>
      <w:r w:rsidR="002C7153">
        <w:rPr>
          <w:rFonts w:eastAsia="MS Mincho"/>
        </w:rPr>
        <w:t>y.  This list of ESI IDs will not include the identity of the Customer or its Retail Electric Provider (REP).</w:t>
      </w:r>
    </w:p>
    <w:p w14:paraId="24D9FDAF" w14:textId="77777777" w:rsidR="0025427A" w:rsidRPr="0025427A" w:rsidRDefault="0025427A" w:rsidP="0025427A">
      <w:pPr>
        <w:keepNext/>
        <w:tabs>
          <w:tab w:val="left" w:pos="900"/>
        </w:tabs>
        <w:spacing w:before="240" w:after="240"/>
        <w:ind w:left="900" w:hanging="900"/>
        <w:outlineLvl w:val="1"/>
        <w:rPr>
          <w:b/>
        </w:rPr>
      </w:pPr>
      <w:bookmarkStart w:id="7" w:name="_Toc141427999"/>
      <w:r w:rsidRPr="0025427A">
        <w:rPr>
          <w:b/>
        </w:rPr>
        <w:t>27.4</w:t>
      </w:r>
      <w:r w:rsidRPr="0025427A">
        <w:rPr>
          <w:b/>
        </w:rPr>
        <w:tab/>
        <w:t>Securitization Uplift Charge Invoices</w:t>
      </w:r>
      <w:bookmarkEnd w:id="7"/>
    </w:p>
    <w:p w14:paraId="59E5E5A2" w14:textId="77777777" w:rsidR="0025427A" w:rsidRPr="0025427A" w:rsidRDefault="0025427A" w:rsidP="0025427A">
      <w:pPr>
        <w:keepNext/>
        <w:tabs>
          <w:tab w:val="left" w:pos="1080"/>
        </w:tabs>
        <w:spacing w:before="240" w:after="240"/>
        <w:ind w:left="1080" w:hanging="1080"/>
        <w:outlineLvl w:val="2"/>
        <w:rPr>
          <w:b/>
          <w:bCs/>
          <w:i/>
        </w:rPr>
      </w:pPr>
      <w:bookmarkStart w:id="8" w:name="_Toc141428000"/>
      <w:r w:rsidRPr="0025427A">
        <w:rPr>
          <w:b/>
          <w:bCs/>
          <w:i/>
        </w:rPr>
        <w:t>27.4.1</w:t>
      </w:r>
      <w:r w:rsidRPr="0025427A">
        <w:rPr>
          <w:b/>
          <w:bCs/>
          <w:i/>
        </w:rPr>
        <w:tab/>
        <w:t>Securitization Uplift Charge Initial Invoices</w:t>
      </w:r>
      <w:bookmarkEnd w:id="8"/>
    </w:p>
    <w:p w14:paraId="63A7677E" w14:textId="77777777" w:rsidR="0025427A" w:rsidRPr="0025427A" w:rsidRDefault="0025427A" w:rsidP="0025427A">
      <w:pPr>
        <w:spacing w:after="240"/>
        <w:ind w:left="720" w:hanging="720"/>
        <w:rPr>
          <w:rFonts w:eastAsia="MS Mincho"/>
          <w:iCs/>
          <w:szCs w:val="24"/>
        </w:rPr>
      </w:pPr>
      <w:r w:rsidRPr="0025427A">
        <w:rPr>
          <w:rFonts w:eastAsia="MS Mincho"/>
          <w:iCs/>
          <w:szCs w:val="24"/>
        </w:rPr>
        <w:t>(1)</w:t>
      </w:r>
      <w:r w:rsidRPr="0025427A">
        <w:rPr>
          <w:rFonts w:eastAsia="MS Mincho"/>
          <w:iCs/>
          <w:szCs w:val="24"/>
        </w:rPr>
        <w:tab/>
        <w:t xml:space="preserve">ERCOT shall prepare Securitization Uplift Charge Initial Invoices for the Securitization Uplift Charge, as described in Section 27.3, Securitization Uplift Charge, using Initial Settlement data.  ERCOT shall issue Securitization Uplift Charge Initial Invoices for an Operating Day on the same Business Day that Real-Time Market (RTM) Initial Statements are posted to the Market Information System (MIS) Certified Area for the same Operating Day.  ERCOT will post the dates that it will issue the Securitization Uplift Charge Initial Invoices under Section 9.1.2, Settlement Calendar.  Unless expressly stated otherwise, the </w:t>
      </w:r>
      <w:r w:rsidRPr="0025427A">
        <w:rPr>
          <w:rFonts w:eastAsia="MS Mincho"/>
          <w:szCs w:val="24"/>
        </w:rPr>
        <w:t xml:space="preserve">publication of </w:t>
      </w:r>
      <w:r w:rsidRPr="0025427A">
        <w:rPr>
          <w:rFonts w:eastAsia="MS Mincho"/>
          <w:iCs/>
          <w:szCs w:val="24"/>
        </w:rPr>
        <w:t xml:space="preserve">Securitization Uplift Charge Initial Invoices </w:t>
      </w:r>
      <w:r w:rsidRPr="0025427A">
        <w:rPr>
          <w:rFonts w:eastAsia="MS Mincho"/>
          <w:szCs w:val="24"/>
        </w:rPr>
        <w:t>can occur as late as 2400 on the scheduled publication date.</w:t>
      </w:r>
      <w:r w:rsidRPr="0025427A">
        <w:rPr>
          <w:rFonts w:eastAsia="MS Mincho"/>
          <w:iCs/>
          <w:szCs w:val="24"/>
        </w:rPr>
        <w:t xml:space="preserve">  The Invoice Recipient to whom the Securitization Uplift Charge Initial Invoice is addressed is a net payor.</w:t>
      </w:r>
    </w:p>
    <w:p w14:paraId="283A3F57" w14:textId="77777777" w:rsidR="0025427A" w:rsidRPr="0025427A" w:rsidRDefault="0025427A" w:rsidP="0025427A">
      <w:pPr>
        <w:spacing w:after="240"/>
        <w:ind w:left="720" w:hanging="720"/>
        <w:rPr>
          <w:rFonts w:eastAsia="MS Mincho"/>
          <w:iCs/>
          <w:szCs w:val="24"/>
        </w:rPr>
      </w:pPr>
      <w:r w:rsidRPr="0025427A">
        <w:rPr>
          <w:rFonts w:eastAsia="MS Mincho"/>
          <w:iCs/>
          <w:szCs w:val="24"/>
        </w:rPr>
        <w:t>(2)</w:t>
      </w:r>
      <w:r w:rsidRPr="0025427A">
        <w:rPr>
          <w:rFonts w:eastAsia="MS Mincho"/>
          <w:iCs/>
          <w:szCs w:val="24"/>
        </w:rPr>
        <w:tab/>
        <w:t>Each Invoice Recipient shall pay any net debit shown on the Securitization Uplift Charge Initial Invoice on the payment due date, whether or not there is any Settlement and billing dispute regarding the amount of the debit.</w:t>
      </w:r>
    </w:p>
    <w:p w14:paraId="5D9CBC07" w14:textId="77777777" w:rsidR="0025427A" w:rsidRPr="0025427A" w:rsidRDefault="0025427A" w:rsidP="0025427A">
      <w:pPr>
        <w:spacing w:after="240"/>
        <w:ind w:left="720" w:hanging="720"/>
        <w:rPr>
          <w:rFonts w:eastAsia="MS Mincho"/>
          <w:iCs/>
          <w:szCs w:val="24"/>
        </w:rPr>
      </w:pPr>
      <w:r w:rsidRPr="0025427A">
        <w:rPr>
          <w:rFonts w:eastAsia="MS Mincho"/>
          <w:iCs/>
          <w:szCs w:val="24"/>
        </w:rPr>
        <w:t>(3)</w:t>
      </w:r>
      <w:r w:rsidRPr="0025427A">
        <w:rPr>
          <w:rFonts w:eastAsia="MS Mincho"/>
          <w:iCs/>
          <w:szCs w:val="24"/>
        </w:rPr>
        <w:tab/>
        <w:t>ERCOT shall post Securitization Uplift Charge Initial Invoices on the MIS Certified Area.  The Invoice Recipient is responsible for accessing the Securitization Uplift Charge Initial Invoice on the MIS Certified Area once posted by ERCOT, as described in Section 9.1.3, Settlement Statement and Invoice Access.</w:t>
      </w:r>
    </w:p>
    <w:p w14:paraId="60E6470F" w14:textId="77777777" w:rsidR="0025427A" w:rsidRPr="0025427A" w:rsidRDefault="0025427A" w:rsidP="0025427A">
      <w:pPr>
        <w:spacing w:after="240"/>
        <w:ind w:left="720" w:hanging="720"/>
        <w:rPr>
          <w:rFonts w:eastAsia="MS Mincho"/>
          <w:iCs/>
          <w:szCs w:val="24"/>
        </w:rPr>
      </w:pPr>
      <w:r w:rsidRPr="0025427A">
        <w:rPr>
          <w:rFonts w:eastAsia="MS Mincho"/>
          <w:iCs/>
          <w:szCs w:val="24"/>
        </w:rPr>
        <w:t>(4)</w:t>
      </w:r>
      <w:r w:rsidRPr="0025427A">
        <w:rPr>
          <w:rFonts w:eastAsia="MS Mincho"/>
          <w:iCs/>
          <w:szCs w:val="24"/>
        </w:rPr>
        <w:tab/>
      </w:r>
      <w:r w:rsidRPr="0025427A">
        <w:rPr>
          <w:rFonts w:eastAsia="MS Mincho"/>
          <w:iCs/>
        </w:rPr>
        <w:t>The Securitization Uplift Charge Initial Invoice must comply with Settlement payment conventions, as set forth in Section 9.1.5, Settlement Payment Convention.</w:t>
      </w:r>
      <w:r w:rsidRPr="0025427A">
        <w:rPr>
          <w:rFonts w:eastAsia="MS Mincho"/>
          <w:iCs/>
          <w:szCs w:val="24"/>
        </w:rPr>
        <w:t xml:space="preserve"> </w:t>
      </w:r>
    </w:p>
    <w:p w14:paraId="7D410793" w14:textId="77777777" w:rsidR="0025427A" w:rsidRPr="0025427A" w:rsidRDefault="0025427A" w:rsidP="0025427A">
      <w:pPr>
        <w:spacing w:after="240"/>
        <w:ind w:left="720" w:hanging="720"/>
        <w:rPr>
          <w:rFonts w:eastAsia="MS Mincho"/>
          <w:iCs/>
          <w:szCs w:val="24"/>
        </w:rPr>
      </w:pPr>
      <w:r w:rsidRPr="0025427A">
        <w:rPr>
          <w:rFonts w:eastAsia="MS Mincho"/>
          <w:iCs/>
          <w:szCs w:val="24"/>
        </w:rPr>
        <w:t>(5)</w:t>
      </w:r>
      <w:r w:rsidRPr="0025427A">
        <w:rPr>
          <w:rFonts w:eastAsia="MS Mincho"/>
          <w:iCs/>
          <w:szCs w:val="24"/>
        </w:rPr>
        <w:tab/>
        <w:t>Securitization Uplift Charge Initial Invoice items must be sorted by Operating Day.  Securitization Uplift Charge Initial Invoices must contain the following information:</w:t>
      </w:r>
    </w:p>
    <w:p w14:paraId="42CC9FA4" w14:textId="77777777" w:rsidR="0025427A" w:rsidRPr="0025427A" w:rsidRDefault="0025427A" w:rsidP="0025427A">
      <w:pPr>
        <w:spacing w:after="240"/>
        <w:ind w:left="1440" w:hanging="720"/>
        <w:rPr>
          <w:rFonts w:eastAsia="MS Mincho"/>
          <w:iCs/>
          <w:szCs w:val="24"/>
        </w:rPr>
      </w:pPr>
      <w:r w:rsidRPr="0025427A">
        <w:rPr>
          <w:rFonts w:eastAsia="MS Mincho"/>
          <w:iCs/>
          <w:szCs w:val="24"/>
        </w:rPr>
        <w:t>(a)</w:t>
      </w:r>
      <w:r w:rsidRPr="0025427A">
        <w:rPr>
          <w:rFonts w:eastAsia="MS Mincho"/>
          <w:iCs/>
          <w:szCs w:val="24"/>
        </w:rPr>
        <w:tab/>
      </w:r>
      <w:r w:rsidRPr="0025427A">
        <w:rPr>
          <w:rFonts w:eastAsia="MS Mincho"/>
          <w:szCs w:val="24"/>
        </w:rPr>
        <w:t>The Invoice Recipient’s name;</w:t>
      </w:r>
    </w:p>
    <w:p w14:paraId="3F153F8E" w14:textId="77777777" w:rsidR="0025427A" w:rsidRPr="0025427A" w:rsidRDefault="0025427A" w:rsidP="0025427A">
      <w:pPr>
        <w:spacing w:after="240"/>
        <w:ind w:left="1440" w:hanging="720"/>
        <w:rPr>
          <w:rFonts w:eastAsia="MS Mincho"/>
          <w:iCs/>
          <w:szCs w:val="24"/>
        </w:rPr>
      </w:pPr>
      <w:r w:rsidRPr="0025427A">
        <w:rPr>
          <w:rFonts w:eastAsia="MS Mincho"/>
          <w:szCs w:val="24"/>
        </w:rPr>
        <w:t>(b)</w:t>
      </w:r>
      <w:r w:rsidRPr="0025427A">
        <w:rPr>
          <w:rFonts w:eastAsia="MS Mincho"/>
          <w:szCs w:val="24"/>
        </w:rPr>
        <w:tab/>
        <w:t>The ERCOT identifier (Settlement identification number issued by ERCOT);</w:t>
      </w:r>
    </w:p>
    <w:p w14:paraId="2D33F06C" w14:textId="77777777" w:rsidR="0025427A" w:rsidRPr="0025427A" w:rsidRDefault="0025427A" w:rsidP="0025427A">
      <w:pPr>
        <w:spacing w:after="240"/>
        <w:ind w:left="1440" w:hanging="720"/>
        <w:rPr>
          <w:rFonts w:eastAsia="MS Mincho"/>
          <w:szCs w:val="24"/>
        </w:rPr>
      </w:pPr>
      <w:r w:rsidRPr="0025427A">
        <w:rPr>
          <w:rFonts w:eastAsia="MS Mincho"/>
          <w:szCs w:val="24"/>
        </w:rPr>
        <w:lastRenderedPageBreak/>
        <w:t>(c)</w:t>
      </w:r>
      <w:r w:rsidRPr="0025427A">
        <w:rPr>
          <w:rFonts w:eastAsia="MS Mincho"/>
          <w:szCs w:val="24"/>
        </w:rPr>
        <w:tab/>
        <w:t>Run Date – the date on which the Invoice was created and published;</w:t>
      </w:r>
    </w:p>
    <w:p w14:paraId="3C9B1DCD" w14:textId="77777777" w:rsidR="0025427A" w:rsidRPr="0025427A" w:rsidRDefault="0025427A" w:rsidP="0025427A">
      <w:pPr>
        <w:spacing w:after="240"/>
        <w:ind w:left="1440" w:hanging="720"/>
        <w:rPr>
          <w:rFonts w:eastAsia="MS Mincho"/>
          <w:szCs w:val="24"/>
        </w:rPr>
      </w:pPr>
      <w:r w:rsidRPr="0025427A">
        <w:rPr>
          <w:rFonts w:eastAsia="MS Mincho"/>
          <w:szCs w:val="24"/>
        </w:rPr>
        <w:t>(d)</w:t>
      </w:r>
      <w:r w:rsidRPr="0025427A">
        <w:rPr>
          <w:rFonts w:eastAsia="MS Mincho"/>
          <w:szCs w:val="24"/>
        </w:rPr>
        <w:tab/>
        <w:t>Payment Date and Time – the date and time that Invoice amounts are to be paid;</w:t>
      </w:r>
    </w:p>
    <w:p w14:paraId="25D30EA7" w14:textId="77777777" w:rsidR="0025427A" w:rsidRPr="0025427A" w:rsidRDefault="0025427A" w:rsidP="0025427A">
      <w:pPr>
        <w:spacing w:after="240"/>
        <w:ind w:left="1440" w:hanging="720"/>
        <w:rPr>
          <w:rFonts w:eastAsia="MS Mincho"/>
          <w:szCs w:val="24"/>
        </w:rPr>
      </w:pPr>
      <w:r w:rsidRPr="0025427A">
        <w:rPr>
          <w:rFonts w:eastAsia="MS Mincho"/>
          <w:szCs w:val="24"/>
        </w:rPr>
        <w:t>(e)</w:t>
      </w:r>
      <w:r w:rsidRPr="0025427A">
        <w:rPr>
          <w:rFonts w:eastAsia="MS Mincho"/>
          <w:szCs w:val="24"/>
        </w:rPr>
        <w:tab/>
        <w:t>Invoice Reference Number – a unique number generated by ERCOT for payment tracking purposes;</w:t>
      </w:r>
    </w:p>
    <w:p w14:paraId="2CE5D398" w14:textId="77777777" w:rsidR="0025427A" w:rsidRPr="0025427A" w:rsidRDefault="0025427A" w:rsidP="0025427A">
      <w:pPr>
        <w:spacing w:after="240"/>
        <w:ind w:left="1440" w:hanging="720"/>
        <w:rPr>
          <w:rFonts w:eastAsia="MS Mincho"/>
          <w:szCs w:val="24"/>
        </w:rPr>
      </w:pPr>
      <w:r w:rsidRPr="0025427A">
        <w:rPr>
          <w:rFonts w:eastAsia="MS Mincho"/>
          <w:szCs w:val="24"/>
        </w:rPr>
        <w:t>(f)</w:t>
      </w:r>
      <w:r w:rsidRPr="0025427A">
        <w:rPr>
          <w:rFonts w:eastAsia="MS Mincho"/>
          <w:szCs w:val="24"/>
        </w:rPr>
        <w:tab/>
        <w:t>Net Amount Owed – the aggregate summary of all charges owed by the Invoice Recipient;</w:t>
      </w:r>
    </w:p>
    <w:p w14:paraId="07F3272B" w14:textId="77777777" w:rsidR="0025427A" w:rsidRPr="0025427A" w:rsidRDefault="0025427A" w:rsidP="0025427A">
      <w:pPr>
        <w:spacing w:after="240"/>
        <w:ind w:left="1440" w:hanging="720"/>
        <w:rPr>
          <w:rFonts w:eastAsia="MS Mincho"/>
          <w:szCs w:val="24"/>
        </w:rPr>
      </w:pPr>
      <w:r w:rsidRPr="0025427A">
        <w:rPr>
          <w:rFonts w:eastAsia="MS Mincho"/>
          <w:szCs w:val="24"/>
        </w:rPr>
        <w:t>(g)</w:t>
      </w:r>
      <w:r w:rsidRPr="0025427A">
        <w:rPr>
          <w:rFonts w:eastAsia="MS Mincho"/>
          <w:szCs w:val="24"/>
        </w:rPr>
        <w:tab/>
        <w:t>Time Periods – the time period covered for each line item, including Operating Day, Settlement Type (Initial) and Settlement Version Number;</w:t>
      </w:r>
    </w:p>
    <w:p w14:paraId="163251E6" w14:textId="77777777" w:rsidR="0025427A" w:rsidRPr="0025427A" w:rsidRDefault="0025427A" w:rsidP="0025427A">
      <w:pPr>
        <w:spacing w:after="240"/>
        <w:ind w:left="1440" w:hanging="720"/>
        <w:rPr>
          <w:rFonts w:eastAsia="MS Mincho"/>
          <w:szCs w:val="24"/>
        </w:rPr>
      </w:pPr>
      <w:r w:rsidRPr="0025427A">
        <w:rPr>
          <w:rFonts w:eastAsia="MS Mincho"/>
          <w:szCs w:val="24"/>
        </w:rPr>
        <w:t>(h)</w:t>
      </w:r>
      <w:r w:rsidRPr="0025427A">
        <w:rPr>
          <w:rFonts w:eastAsia="MS Mincho"/>
          <w:szCs w:val="24"/>
        </w:rPr>
        <w:tab/>
        <w:t xml:space="preserve">Remittance Information Details – details including the account number, bank name and electronic transfer instructions of the ERCOT </w:t>
      </w:r>
      <w:r w:rsidRPr="0025427A">
        <w:rPr>
          <w:rFonts w:eastAsia="MS Mincho"/>
          <w:iCs/>
          <w:szCs w:val="24"/>
        </w:rPr>
        <w:t xml:space="preserve">Securitization Uplift Charge </w:t>
      </w:r>
      <w:r w:rsidRPr="0025427A">
        <w:rPr>
          <w:rFonts w:eastAsia="MS Mincho"/>
          <w:szCs w:val="24"/>
        </w:rPr>
        <w:t>account to which any amounts owed by the Invoice Recipient are to be paid; and</w:t>
      </w:r>
    </w:p>
    <w:p w14:paraId="237C9DA7" w14:textId="77777777" w:rsidR="0025427A" w:rsidRPr="0025427A" w:rsidRDefault="0025427A" w:rsidP="0025427A">
      <w:pPr>
        <w:tabs>
          <w:tab w:val="left" w:pos="900"/>
        </w:tabs>
        <w:spacing w:after="240"/>
        <w:ind w:left="1440" w:hanging="720"/>
        <w:rPr>
          <w:rFonts w:eastAsia="MS Mincho"/>
          <w:szCs w:val="24"/>
        </w:rPr>
      </w:pPr>
      <w:bookmarkStart w:id="9" w:name="_Toc339972322"/>
      <w:bookmarkStart w:id="10" w:name="_Toc341693080"/>
      <w:bookmarkStart w:id="11" w:name="_Toc343244561"/>
      <w:bookmarkStart w:id="12" w:name="_Toc348420633"/>
      <w:r w:rsidRPr="0025427A">
        <w:rPr>
          <w:rFonts w:eastAsia="MS Mincho"/>
          <w:szCs w:val="24"/>
        </w:rPr>
        <w:t>(i)</w:t>
      </w:r>
      <w:r w:rsidRPr="0025427A">
        <w:rPr>
          <w:rFonts w:eastAsia="MS Mincho"/>
          <w:szCs w:val="24"/>
        </w:rPr>
        <w:tab/>
        <w:t>Overdue Terms – the terms that would be applied if payments were received late.</w:t>
      </w:r>
      <w:bookmarkEnd w:id="9"/>
      <w:bookmarkEnd w:id="10"/>
      <w:bookmarkEnd w:id="11"/>
      <w:bookmarkEnd w:id="12"/>
    </w:p>
    <w:p w14:paraId="7EB8D2E0" w14:textId="77777777" w:rsidR="0025427A" w:rsidRPr="0025427A" w:rsidRDefault="0025427A" w:rsidP="0025427A">
      <w:pPr>
        <w:spacing w:after="240"/>
        <w:ind w:left="720" w:hanging="720"/>
        <w:rPr>
          <w:rFonts w:eastAsia="MS Mincho"/>
          <w:szCs w:val="24"/>
        </w:rPr>
      </w:pPr>
      <w:r w:rsidRPr="0025427A">
        <w:rPr>
          <w:rFonts w:eastAsia="MS Mincho"/>
          <w:iCs/>
          <w:szCs w:val="24"/>
        </w:rPr>
        <w:t>(6)</w:t>
      </w:r>
      <w:r w:rsidRPr="0025427A">
        <w:rPr>
          <w:rFonts w:eastAsia="MS Mincho"/>
          <w:iCs/>
          <w:szCs w:val="24"/>
        </w:rPr>
        <w:tab/>
      </w:r>
      <w:r w:rsidRPr="0025427A">
        <w:rPr>
          <w:rFonts w:eastAsia="MS Mincho"/>
          <w:szCs w:val="24"/>
        </w:rPr>
        <w:t>All disputes for Securitization Uplift Charge Initial Invoices shall follow the process described in Section 9.14, Settlement and Billing Dispute Process.</w:t>
      </w:r>
    </w:p>
    <w:p w14:paraId="137ED8F5" w14:textId="77777777" w:rsidR="0025427A" w:rsidRPr="0025427A" w:rsidRDefault="0025427A" w:rsidP="0025427A">
      <w:pPr>
        <w:keepNext/>
        <w:tabs>
          <w:tab w:val="left" w:pos="1080"/>
        </w:tabs>
        <w:spacing w:before="240" w:after="240"/>
        <w:ind w:left="1080" w:hanging="1080"/>
        <w:outlineLvl w:val="2"/>
        <w:rPr>
          <w:b/>
          <w:bCs/>
          <w:i/>
        </w:rPr>
      </w:pPr>
      <w:bookmarkStart w:id="13" w:name="_Toc141428001"/>
      <w:r w:rsidRPr="0025427A">
        <w:rPr>
          <w:b/>
          <w:bCs/>
          <w:i/>
        </w:rPr>
        <w:t>27.4.2</w:t>
      </w:r>
      <w:r w:rsidRPr="0025427A">
        <w:rPr>
          <w:b/>
          <w:bCs/>
          <w:i/>
        </w:rPr>
        <w:tab/>
        <w:t>Securitization Uplift Charge Reallocation Invoices</w:t>
      </w:r>
      <w:bookmarkEnd w:id="13"/>
    </w:p>
    <w:p w14:paraId="0455F2F8" w14:textId="7FFC1029" w:rsidR="0025427A" w:rsidRPr="0025427A" w:rsidRDefault="0025427A" w:rsidP="0025427A">
      <w:pPr>
        <w:spacing w:after="240"/>
        <w:ind w:left="720" w:hanging="720"/>
        <w:rPr>
          <w:rFonts w:eastAsia="MS Mincho"/>
          <w:iCs/>
        </w:rPr>
      </w:pPr>
      <w:r w:rsidRPr="0025427A">
        <w:rPr>
          <w:rFonts w:eastAsia="MS Mincho"/>
          <w:iCs/>
        </w:rPr>
        <w:t>(1)</w:t>
      </w:r>
      <w:r w:rsidRPr="0025427A">
        <w:rPr>
          <w:rFonts w:eastAsia="MS Mincho"/>
          <w:iCs/>
        </w:rPr>
        <w:tab/>
        <w:t xml:space="preserve">ERCOT shall prepare Securitization Uplift Charge Reallocation Invoices on a net basis for Securitization Uplift </w:t>
      </w:r>
      <w:r w:rsidRPr="0025427A">
        <w:rPr>
          <w:rFonts w:eastAsia="MS Mincho"/>
          <w:iCs/>
          <w:szCs w:val="24"/>
        </w:rPr>
        <w:t xml:space="preserve">Charges, as described in Section 27.3, Securitization Uplift Charge, </w:t>
      </w:r>
      <w:r w:rsidRPr="0025427A">
        <w:rPr>
          <w:rFonts w:eastAsia="MS Mincho"/>
          <w:iCs/>
        </w:rPr>
        <w:t>based on RTM Final Settlement, True-Up Settlement, and Resettlement data</w:t>
      </w:r>
      <w:r w:rsidRPr="0025427A">
        <w:rPr>
          <w:rFonts w:eastAsia="MS Mincho"/>
          <w:iCs/>
          <w:szCs w:val="24"/>
        </w:rPr>
        <w:t>.  ERCOT shall issue Securitization Uplift Charge Reallocation Invoices for an Operating Day on the same Business Day that the Statements for RTM Final Settlements, True-</w:t>
      </w:r>
      <w:r w:rsidR="0082763E">
        <w:rPr>
          <w:rFonts w:eastAsia="MS Mincho"/>
          <w:iCs/>
          <w:szCs w:val="24"/>
        </w:rPr>
        <w:t>U</w:t>
      </w:r>
      <w:r w:rsidRPr="0025427A">
        <w:rPr>
          <w:rFonts w:eastAsia="MS Mincho"/>
          <w:iCs/>
          <w:szCs w:val="24"/>
        </w:rPr>
        <w:t xml:space="preserve">p Settlements and Resettlements are posted to the MIS Certified Area for the same Operating Day.  </w:t>
      </w:r>
      <w:r w:rsidRPr="0025427A">
        <w:rPr>
          <w:rFonts w:eastAsia="MS Mincho"/>
          <w:iCs/>
        </w:rPr>
        <w:t xml:space="preserve">ERCOT will post the dates that it will issue the Securitization Uplift Charge Reallocation Invoices under Section 9.1.2, Settlement Calendar.  </w:t>
      </w:r>
      <w:r w:rsidRPr="0025427A">
        <w:rPr>
          <w:rFonts w:eastAsia="MS Mincho"/>
          <w:iCs/>
          <w:szCs w:val="24"/>
        </w:rPr>
        <w:t xml:space="preserve">Unless expressly stated otherwise, the </w:t>
      </w:r>
      <w:r w:rsidRPr="0025427A">
        <w:rPr>
          <w:rFonts w:eastAsia="MS Mincho"/>
          <w:szCs w:val="24"/>
        </w:rPr>
        <w:t xml:space="preserve">publication of </w:t>
      </w:r>
      <w:r w:rsidRPr="0025427A">
        <w:rPr>
          <w:rFonts w:eastAsia="MS Mincho"/>
          <w:iCs/>
          <w:szCs w:val="24"/>
        </w:rPr>
        <w:t xml:space="preserve">Securitization Uplift Charge Reallocation Invoices </w:t>
      </w:r>
      <w:r w:rsidRPr="0025427A">
        <w:rPr>
          <w:rFonts w:eastAsia="MS Mincho"/>
          <w:szCs w:val="24"/>
        </w:rPr>
        <w:t>can occur as late as 2400 on the scheduled publication date.</w:t>
      </w:r>
      <w:r w:rsidRPr="0025427A">
        <w:rPr>
          <w:rFonts w:eastAsia="MS Mincho"/>
          <w:iCs/>
          <w:szCs w:val="24"/>
        </w:rPr>
        <w:t xml:space="preserve">  </w:t>
      </w:r>
      <w:r w:rsidRPr="0025427A">
        <w:rPr>
          <w:rFonts w:eastAsia="MS Mincho"/>
          <w:iCs/>
        </w:rPr>
        <w:t>The Invoice Recipient to whom the Securitization Uplift Charge Reallocation Invoice is addressed is either a net payee or net payor.</w:t>
      </w:r>
    </w:p>
    <w:p w14:paraId="7056BDE7" w14:textId="77777777" w:rsidR="0025427A" w:rsidRPr="0025427A" w:rsidRDefault="0025427A" w:rsidP="0025427A">
      <w:pPr>
        <w:spacing w:after="240"/>
        <w:ind w:left="720" w:hanging="720"/>
        <w:rPr>
          <w:rFonts w:eastAsia="MS Mincho"/>
        </w:rPr>
      </w:pPr>
      <w:r w:rsidRPr="0025427A">
        <w:rPr>
          <w:rFonts w:eastAsia="MS Mincho"/>
          <w:iCs/>
          <w:szCs w:val="24"/>
        </w:rPr>
        <w:t>(2)</w:t>
      </w:r>
      <w:r w:rsidRPr="0025427A">
        <w:rPr>
          <w:rFonts w:eastAsia="MS Mincho"/>
          <w:iCs/>
          <w:szCs w:val="24"/>
        </w:rPr>
        <w:tab/>
      </w:r>
      <w:r w:rsidRPr="0025427A">
        <w:rPr>
          <w:rFonts w:eastAsia="MS Mincho"/>
        </w:rPr>
        <w:t>A Securitization Uplift Charge Reallocation Invoice will reflect differences to financial records generated on the previous Settlement for a given Operating Day.</w:t>
      </w:r>
    </w:p>
    <w:p w14:paraId="4AC02E65" w14:textId="77777777" w:rsidR="0025427A" w:rsidRPr="0025427A" w:rsidRDefault="0025427A" w:rsidP="0025427A">
      <w:pPr>
        <w:spacing w:after="240"/>
        <w:ind w:left="720" w:hanging="720"/>
        <w:rPr>
          <w:rFonts w:eastAsia="MS Mincho"/>
          <w:iCs/>
        </w:rPr>
      </w:pPr>
      <w:r w:rsidRPr="0025427A">
        <w:rPr>
          <w:rFonts w:eastAsia="MS Mincho"/>
          <w:iCs/>
        </w:rPr>
        <w:t>(3)</w:t>
      </w:r>
      <w:r w:rsidRPr="0025427A">
        <w:rPr>
          <w:rFonts w:eastAsia="MS Mincho"/>
          <w:iCs/>
        </w:rPr>
        <w:tab/>
        <w:t>Each Invoice Recipient shall pay any net debit and be entitled to receive any net credit shown on the Securitization Uplift Charge Reallocation Invoice on the payment due date, whether or not there is any Settlement and billing dispute regarding the amount of the debit or credit.</w:t>
      </w:r>
    </w:p>
    <w:p w14:paraId="49C0ACB0" w14:textId="77777777" w:rsidR="0025427A" w:rsidRPr="0025427A" w:rsidRDefault="0025427A" w:rsidP="0025427A">
      <w:pPr>
        <w:spacing w:after="240"/>
        <w:ind w:left="720" w:hanging="720"/>
        <w:rPr>
          <w:rFonts w:eastAsia="MS Mincho"/>
          <w:iCs/>
        </w:rPr>
      </w:pPr>
      <w:r w:rsidRPr="0025427A">
        <w:rPr>
          <w:rFonts w:eastAsia="MS Mincho"/>
          <w:iCs/>
        </w:rPr>
        <w:lastRenderedPageBreak/>
        <w:t>(4)</w:t>
      </w:r>
      <w:r w:rsidRPr="0025427A">
        <w:rPr>
          <w:rFonts w:eastAsia="MS Mincho"/>
          <w:iCs/>
        </w:rPr>
        <w:tab/>
        <w:t>ERCOT shall post Securitization Uplift Charge Reallocation Invoices on the MIS Certified Area.  The Invoice Recipient is responsible for accessing the Securitization Uplift Charge Reallocation Invoice on the MIS Certified Area once posted by ERCOT</w:t>
      </w:r>
      <w:r w:rsidRPr="0025427A">
        <w:rPr>
          <w:rFonts w:eastAsia="MS Mincho"/>
          <w:iCs/>
          <w:szCs w:val="24"/>
        </w:rPr>
        <w:t>, as described in Section 9.1.3, Settlement Statement and Invoice Access</w:t>
      </w:r>
      <w:r w:rsidRPr="0025427A">
        <w:rPr>
          <w:rFonts w:eastAsia="MS Mincho"/>
          <w:iCs/>
        </w:rPr>
        <w:t xml:space="preserve">. </w:t>
      </w:r>
    </w:p>
    <w:p w14:paraId="7FADA729" w14:textId="77777777" w:rsidR="0025427A" w:rsidRPr="0025427A" w:rsidRDefault="0025427A" w:rsidP="0025427A">
      <w:pPr>
        <w:spacing w:after="240"/>
        <w:ind w:left="720" w:hanging="720"/>
        <w:rPr>
          <w:rFonts w:eastAsia="MS Mincho"/>
          <w:iCs/>
          <w:szCs w:val="24"/>
        </w:rPr>
      </w:pPr>
      <w:r w:rsidRPr="0025427A">
        <w:rPr>
          <w:rFonts w:eastAsia="MS Mincho"/>
          <w:iCs/>
          <w:szCs w:val="24"/>
        </w:rPr>
        <w:t>(5)</w:t>
      </w:r>
      <w:r w:rsidRPr="0025427A">
        <w:rPr>
          <w:rFonts w:eastAsia="MS Mincho"/>
          <w:iCs/>
          <w:szCs w:val="24"/>
        </w:rPr>
        <w:tab/>
      </w:r>
      <w:r w:rsidRPr="0025427A">
        <w:rPr>
          <w:rFonts w:eastAsia="MS Mincho"/>
          <w:iCs/>
        </w:rPr>
        <w:t>The Securitization Uplift Charge Reallocation Invoice must comply with Settlement payment conventions, as set forth in Section 9.1.5, Settlement Payment Convention.</w:t>
      </w:r>
      <w:r w:rsidRPr="0025427A">
        <w:rPr>
          <w:rFonts w:eastAsia="MS Mincho"/>
          <w:iCs/>
          <w:szCs w:val="24"/>
        </w:rPr>
        <w:t xml:space="preserve"> </w:t>
      </w:r>
    </w:p>
    <w:p w14:paraId="43F2DE2F" w14:textId="77777777" w:rsidR="0025427A" w:rsidRPr="0025427A" w:rsidRDefault="0025427A" w:rsidP="0025427A">
      <w:pPr>
        <w:spacing w:after="240"/>
        <w:ind w:left="720" w:hanging="720"/>
        <w:rPr>
          <w:rFonts w:eastAsia="MS Mincho"/>
          <w:iCs/>
        </w:rPr>
      </w:pPr>
      <w:r w:rsidRPr="0025427A">
        <w:rPr>
          <w:rFonts w:eastAsia="MS Mincho"/>
          <w:iCs/>
        </w:rPr>
        <w:t>(6)</w:t>
      </w:r>
      <w:r w:rsidRPr="0025427A">
        <w:rPr>
          <w:rFonts w:eastAsia="MS Mincho"/>
          <w:iCs/>
        </w:rPr>
        <w:tab/>
        <w:t>Securitization Uplift Charge Reallocation Invoice items must be grouped by RTM Final, RTM True-Up and RTM Resettlement categories and must be sorted by Operating Day within each category. Securitization Uplift Charge Reallocation Invoices must contain the following information:</w:t>
      </w:r>
    </w:p>
    <w:p w14:paraId="57428884" w14:textId="77777777" w:rsidR="0025427A" w:rsidRPr="0025427A" w:rsidRDefault="0025427A" w:rsidP="0025427A">
      <w:pPr>
        <w:spacing w:after="240"/>
        <w:ind w:left="1440" w:hanging="720"/>
        <w:rPr>
          <w:rFonts w:eastAsia="MS Mincho"/>
          <w:iCs/>
        </w:rPr>
      </w:pPr>
      <w:r w:rsidRPr="0025427A">
        <w:rPr>
          <w:rFonts w:eastAsia="MS Mincho"/>
          <w:iCs/>
        </w:rPr>
        <w:t>(a)</w:t>
      </w:r>
      <w:r w:rsidRPr="0025427A">
        <w:rPr>
          <w:rFonts w:eastAsia="MS Mincho"/>
          <w:iCs/>
        </w:rPr>
        <w:tab/>
      </w:r>
      <w:r w:rsidRPr="0025427A">
        <w:rPr>
          <w:rFonts w:eastAsia="MS Mincho"/>
        </w:rPr>
        <w:t>The Invoice Recipient’s name;</w:t>
      </w:r>
    </w:p>
    <w:p w14:paraId="2E7C08D2" w14:textId="77777777" w:rsidR="0025427A" w:rsidRPr="0025427A" w:rsidRDefault="0025427A" w:rsidP="0025427A">
      <w:pPr>
        <w:spacing w:after="240"/>
        <w:ind w:left="1440" w:hanging="720"/>
        <w:rPr>
          <w:rFonts w:eastAsia="MS Mincho"/>
          <w:iCs/>
        </w:rPr>
      </w:pPr>
      <w:r w:rsidRPr="0025427A">
        <w:rPr>
          <w:rFonts w:eastAsia="MS Mincho"/>
        </w:rPr>
        <w:t>(b)</w:t>
      </w:r>
      <w:r w:rsidRPr="0025427A">
        <w:rPr>
          <w:rFonts w:eastAsia="MS Mincho"/>
        </w:rPr>
        <w:tab/>
        <w:t>The ERCOT identifier (Settlement identification number issued by ERCOT);</w:t>
      </w:r>
    </w:p>
    <w:p w14:paraId="676B2419" w14:textId="77777777" w:rsidR="0025427A" w:rsidRPr="0025427A" w:rsidRDefault="0025427A" w:rsidP="0025427A">
      <w:pPr>
        <w:spacing w:after="240"/>
        <w:ind w:left="1440" w:hanging="720"/>
        <w:rPr>
          <w:rFonts w:eastAsia="MS Mincho"/>
        </w:rPr>
      </w:pPr>
      <w:r w:rsidRPr="0025427A">
        <w:rPr>
          <w:rFonts w:eastAsia="MS Mincho"/>
        </w:rPr>
        <w:t>(c)</w:t>
      </w:r>
      <w:r w:rsidRPr="0025427A">
        <w:rPr>
          <w:rFonts w:eastAsia="MS Mincho"/>
        </w:rPr>
        <w:tab/>
        <w:t>Run Date – the date on which the Invoice was created and published;</w:t>
      </w:r>
    </w:p>
    <w:p w14:paraId="1454BBAF" w14:textId="77777777" w:rsidR="0025427A" w:rsidRPr="0025427A" w:rsidRDefault="0025427A" w:rsidP="0025427A">
      <w:pPr>
        <w:spacing w:after="240"/>
        <w:ind w:left="1440" w:hanging="720"/>
        <w:rPr>
          <w:rFonts w:eastAsia="MS Mincho"/>
        </w:rPr>
      </w:pPr>
      <w:r w:rsidRPr="0025427A">
        <w:rPr>
          <w:rFonts w:eastAsia="MS Mincho"/>
        </w:rPr>
        <w:t>(d)</w:t>
      </w:r>
      <w:r w:rsidRPr="0025427A">
        <w:rPr>
          <w:rFonts w:eastAsia="MS Mincho"/>
        </w:rPr>
        <w:tab/>
        <w:t>Payment Date and Time – the date and time that Invoice amounts are to be paid or received;</w:t>
      </w:r>
    </w:p>
    <w:p w14:paraId="11B0F1EF" w14:textId="77777777" w:rsidR="0025427A" w:rsidRPr="0025427A" w:rsidRDefault="0025427A" w:rsidP="0025427A">
      <w:pPr>
        <w:spacing w:after="240"/>
        <w:ind w:left="1440" w:hanging="720"/>
        <w:rPr>
          <w:rFonts w:eastAsia="MS Mincho"/>
        </w:rPr>
      </w:pPr>
      <w:r w:rsidRPr="0025427A">
        <w:rPr>
          <w:rFonts w:eastAsia="MS Mincho"/>
        </w:rPr>
        <w:t>(e)</w:t>
      </w:r>
      <w:r w:rsidRPr="0025427A">
        <w:rPr>
          <w:rFonts w:eastAsia="MS Mincho"/>
        </w:rPr>
        <w:tab/>
        <w:t>Invoice Reference Number – a unique number generated by ERCOT for payment tracking purposes;</w:t>
      </w:r>
    </w:p>
    <w:p w14:paraId="4C3E0AA2" w14:textId="77777777" w:rsidR="0025427A" w:rsidRPr="0025427A" w:rsidRDefault="0025427A" w:rsidP="0025427A">
      <w:pPr>
        <w:spacing w:after="240"/>
        <w:ind w:left="1440" w:hanging="720"/>
        <w:rPr>
          <w:rFonts w:eastAsia="MS Mincho"/>
        </w:rPr>
      </w:pPr>
      <w:r w:rsidRPr="0025427A">
        <w:rPr>
          <w:rFonts w:eastAsia="MS Mincho"/>
        </w:rPr>
        <w:t>(f)</w:t>
      </w:r>
      <w:r w:rsidRPr="0025427A">
        <w:rPr>
          <w:rFonts w:eastAsia="MS Mincho"/>
        </w:rPr>
        <w:tab/>
        <w:t>Net Amount Owed/Due – the aggregate summary of all charges owed by or due to the Invoice Recipient;</w:t>
      </w:r>
    </w:p>
    <w:p w14:paraId="032AB429" w14:textId="4AFF8B7D" w:rsidR="0025427A" w:rsidRPr="0025427A" w:rsidRDefault="0025427A" w:rsidP="0025427A">
      <w:pPr>
        <w:spacing w:after="240"/>
        <w:ind w:left="1440" w:hanging="720"/>
        <w:rPr>
          <w:rFonts w:eastAsia="MS Mincho"/>
          <w:szCs w:val="24"/>
        </w:rPr>
      </w:pPr>
      <w:r w:rsidRPr="0025427A">
        <w:rPr>
          <w:rFonts w:eastAsia="MS Mincho"/>
          <w:szCs w:val="24"/>
        </w:rPr>
        <w:t>(g)</w:t>
      </w:r>
      <w:r w:rsidRPr="0025427A">
        <w:rPr>
          <w:rFonts w:eastAsia="MS Mincho"/>
          <w:szCs w:val="24"/>
        </w:rPr>
        <w:tab/>
        <w:t>Time Periods – the time period covered for each line item, including Operating Day, Settlement Type (Final, True-</w:t>
      </w:r>
      <w:r w:rsidR="0082763E">
        <w:rPr>
          <w:rFonts w:eastAsia="MS Mincho"/>
          <w:szCs w:val="24"/>
        </w:rPr>
        <w:t>U</w:t>
      </w:r>
      <w:r w:rsidRPr="0025427A">
        <w:rPr>
          <w:rFonts w:eastAsia="MS Mincho"/>
          <w:szCs w:val="24"/>
        </w:rPr>
        <w:t>p or Resettlement) and Settlement Version Number;</w:t>
      </w:r>
    </w:p>
    <w:p w14:paraId="184E2B11" w14:textId="77777777" w:rsidR="0025427A" w:rsidRPr="0025427A" w:rsidRDefault="0025427A" w:rsidP="0025427A">
      <w:pPr>
        <w:spacing w:after="240"/>
        <w:ind w:left="1440" w:hanging="720"/>
        <w:rPr>
          <w:rFonts w:eastAsia="MS Mincho"/>
        </w:rPr>
      </w:pPr>
      <w:r w:rsidRPr="0025427A">
        <w:rPr>
          <w:rFonts w:eastAsia="MS Mincho"/>
        </w:rPr>
        <w:t>(h)</w:t>
      </w:r>
      <w:r w:rsidRPr="0025427A">
        <w:rPr>
          <w:rFonts w:eastAsia="MS Mincho"/>
        </w:rPr>
        <w:tab/>
        <w:t>Remittance Information Details – details including the account number, bank name and electronic transfer instructions of the ERCOT account to which any amounts owed by the Invoice Recipient are to be paid or of the Invoice Recipient’s account from which ERCOT may draw payments due; and</w:t>
      </w:r>
    </w:p>
    <w:p w14:paraId="09D6D810" w14:textId="77777777" w:rsidR="0025427A" w:rsidRPr="0025427A" w:rsidRDefault="0025427A" w:rsidP="0025427A">
      <w:pPr>
        <w:tabs>
          <w:tab w:val="left" w:pos="900"/>
        </w:tabs>
        <w:spacing w:after="240"/>
        <w:ind w:left="1440" w:hanging="720"/>
        <w:rPr>
          <w:rFonts w:eastAsia="MS Mincho"/>
        </w:rPr>
      </w:pPr>
      <w:r w:rsidRPr="0025427A">
        <w:rPr>
          <w:rFonts w:eastAsia="MS Mincho"/>
        </w:rPr>
        <w:t>(i)</w:t>
      </w:r>
      <w:r w:rsidRPr="0025427A">
        <w:rPr>
          <w:rFonts w:eastAsia="MS Mincho"/>
        </w:rPr>
        <w:tab/>
        <w:t>Overdue Terms – the terms that would be applied if payments were received late.</w:t>
      </w:r>
    </w:p>
    <w:p w14:paraId="122BA0BA" w14:textId="77777777" w:rsidR="0025427A" w:rsidRPr="0025427A" w:rsidRDefault="0025427A" w:rsidP="0025427A">
      <w:pPr>
        <w:spacing w:after="240"/>
        <w:ind w:left="720" w:hanging="720"/>
        <w:rPr>
          <w:rFonts w:eastAsia="MS Mincho"/>
          <w:szCs w:val="24"/>
        </w:rPr>
      </w:pPr>
      <w:r w:rsidRPr="0025427A">
        <w:rPr>
          <w:rFonts w:eastAsia="MS Mincho"/>
          <w:iCs/>
          <w:szCs w:val="24"/>
        </w:rPr>
        <w:t>(7)</w:t>
      </w:r>
      <w:r w:rsidRPr="0025427A">
        <w:rPr>
          <w:rFonts w:eastAsia="MS Mincho"/>
          <w:iCs/>
          <w:szCs w:val="24"/>
        </w:rPr>
        <w:tab/>
      </w:r>
      <w:r w:rsidRPr="0025427A">
        <w:rPr>
          <w:rFonts w:eastAsia="MS Mincho"/>
          <w:szCs w:val="24"/>
        </w:rPr>
        <w:t>All disputes for Securitization Uplift Charge Reallocation Invoices shall follow the process described in Section 9.14, Settlement and Billing Dispute Process.</w:t>
      </w:r>
    </w:p>
    <w:p w14:paraId="2EC1BAEA" w14:textId="77777777" w:rsidR="0025427A" w:rsidRPr="0025427A" w:rsidRDefault="0025427A" w:rsidP="0025427A">
      <w:pPr>
        <w:keepNext/>
        <w:tabs>
          <w:tab w:val="left" w:pos="1080"/>
        </w:tabs>
        <w:spacing w:before="240" w:after="240"/>
        <w:ind w:left="1080" w:hanging="1080"/>
        <w:outlineLvl w:val="2"/>
        <w:rPr>
          <w:rFonts w:eastAsia="MS Mincho"/>
          <w:i/>
        </w:rPr>
      </w:pPr>
      <w:bookmarkStart w:id="14" w:name="_Toc141428002"/>
      <w:r w:rsidRPr="0025427A">
        <w:rPr>
          <w:b/>
          <w:bCs/>
          <w:i/>
        </w:rPr>
        <w:lastRenderedPageBreak/>
        <w:t>27.4.3</w:t>
      </w:r>
      <w:r w:rsidRPr="0025427A">
        <w:rPr>
          <w:b/>
          <w:bCs/>
          <w:i/>
        </w:rPr>
        <w:tab/>
        <w:t>Payment Process for Securitization Uplift Charge Initial Invoices</w:t>
      </w:r>
      <w:bookmarkEnd w:id="14"/>
    </w:p>
    <w:p w14:paraId="592C7773" w14:textId="77777777" w:rsidR="0025427A" w:rsidRPr="0025427A" w:rsidRDefault="0025427A" w:rsidP="0025427A">
      <w:pPr>
        <w:keepNext/>
        <w:spacing w:after="240"/>
        <w:ind w:left="720" w:hanging="720"/>
        <w:rPr>
          <w:rFonts w:eastAsia="MS Mincho"/>
          <w:iCs/>
        </w:rPr>
      </w:pPr>
      <w:r w:rsidRPr="0025427A">
        <w:rPr>
          <w:rFonts w:eastAsia="MS Mincho"/>
          <w:iCs/>
        </w:rPr>
        <w:t>(1)</w:t>
      </w:r>
      <w:r w:rsidRPr="0025427A">
        <w:rPr>
          <w:rFonts w:eastAsia="MS Mincho"/>
          <w:iCs/>
        </w:rPr>
        <w:tab/>
        <w:t xml:space="preserve">Payments for </w:t>
      </w:r>
      <w:r w:rsidRPr="0025427A">
        <w:rPr>
          <w:rFonts w:eastAsia="MS Mincho"/>
        </w:rPr>
        <w:t>Securitization Uplift Charge</w:t>
      </w:r>
      <w:r w:rsidRPr="0025427A">
        <w:rPr>
          <w:rFonts w:eastAsia="MS Mincho"/>
          <w:iCs/>
        </w:rPr>
        <w:t xml:space="preserve"> </w:t>
      </w:r>
      <w:r w:rsidRPr="0025427A">
        <w:rPr>
          <w:rFonts w:eastAsia="MS Mincho"/>
        </w:rPr>
        <w:t xml:space="preserve">Initial </w:t>
      </w:r>
      <w:r w:rsidRPr="0025427A">
        <w:rPr>
          <w:rFonts w:eastAsia="MS Mincho"/>
          <w:iCs/>
        </w:rPr>
        <w:t>Invoices are due on a Business Day and Bank Business Day basis as detailed below.</w:t>
      </w:r>
    </w:p>
    <w:p w14:paraId="19EF6BD1" w14:textId="77777777" w:rsidR="0025427A" w:rsidRPr="0025427A" w:rsidRDefault="0025427A" w:rsidP="0025427A">
      <w:pPr>
        <w:keepNext/>
        <w:widowControl w:val="0"/>
        <w:tabs>
          <w:tab w:val="left" w:pos="1260"/>
        </w:tabs>
        <w:spacing w:before="240" w:after="240"/>
        <w:ind w:left="1260" w:hanging="1260"/>
        <w:outlineLvl w:val="3"/>
        <w:rPr>
          <w:b/>
          <w:snapToGrid w:val="0"/>
        </w:rPr>
      </w:pPr>
      <w:bookmarkStart w:id="15" w:name="_Toc141428003"/>
      <w:r w:rsidRPr="0025427A">
        <w:rPr>
          <w:b/>
          <w:snapToGrid w:val="0"/>
        </w:rPr>
        <w:t>27.4.3.1</w:t>
      </w:r>
      <w:r w:rsidRPr="0025427A">
        <w:rPr>
          <w:b/>
          <w:snapToGrid w:val="0"/>
        </w:rPr>
        <w:tab/>
        <w:t>Invoice Recipient Payment to ERCOT for Securitization Uplift Charge Initial Invoices</w:t>
      </w:r>
      <w:bookmarkEnd w:id="15"/>
    </w:p>
    <w:p w14:paraId="11080021" w14:textId="48972243" w:rsidR="0025427A" w:rsidRPr="0025427A" w:rsidRDefault="0025427A" w:rsidP="0025427A">
      <w:pPr>
        <w:spacing w:after="240"/>
        <w:ind w:left="720" w:hanging="720"/>
        <w:rPr>
          <w:rFonts w:eastAsia="MS Mincho"/>
          <w:iCs/>
        </w:rPr>
      </w:pPr>
      <w:r w:rsidRPr="0025427A">
        <w:rPr>
          <w:rFonts w:eastAsia="MS Mincho"/>
          <w:iCs/>
        </w:rPr>
        <w:t>(1)</w:t>
      </w:r>
      <w:r w:rsidRPr="0025427A">
        <w:rPr>
          <w:rFonts w:eastAsia="MS Mincho"/>
          <w:iCs/>
        </w:rPr>
        <w:tab/>
        <w:t xml:space="preserve">The payment due date and time for the Securitization Uplift Charge Initial Invoice, with funds owed by an Invoice Recipient, is 1700 on the second Bank Business Day after the Securitization Uplift Charge Initial Invoice date, unless the second Bank Business Day is not a Business Day. </w:t>
      </w:r>
      <w:r w:rsidR="0082763E">
        <w:rPr>
          <w:rFonts w:eastAsia="MS Mincho"/>
          <w:iCs/>
        </w:rPr>
        <w:t xml:space="preserve"> </w:t>
      </w:r>
      <w:r w:rsidRPr="0025427A">
        <w:rPr>
          <w:rFonts w:eastAsia="MS Mincho"/>
          <w:iCs/>
        </w:rPr>
        <w:t>If the second Bank Business Day is not a Business Day, the payment is due by 1700 on the next Bank Business Day after the second Bank Business Day that is also a Business Day.</w:t>
      </w:r>
    </w:p>
    <w:p w14:paraId="7AF9A53C" w14:textId="690A34BC" w:rsidR="0025427A" w:rsidRPr="0025427A" w:rsidRDefault="0025427A" w:rsidP="0025427A">
      <w:pPr>
        <w:spacing w:after="240"/>
        <w:ind w:left="720" w:hanging="720"/>
        <w:rPr>
          <w:rFonts w:eastAsia="MS Mincho"/>
        </w:rPr>
      </w:pPr>
      <w:r w:rsidRPr="0025427A">
        <w:rPr>
          <w:rFonts w:eastAsia="MS Mincho"/>
          <w:iCs/>
        </w:rPr>
        <w:t>(2)</w:t>
      </w:r>
      <w:r w:rsidRPr="0025427A">
        <w:rPr>
          <w:rFonts w:eastAsia="MS Mincho"/>
          <w:iCs/>
        </w:rPr>
        <w:tab/>
        <w:t>All Securitization Uplift Charge Initial Invoices due, with funds owed by an Invoice Recipient, must be paid to ERCOT in U.S. Dollars (USDs) by Electronic Funds Transfer (EFT) in immediately available or good funds (i.e., not subject to reversal) on or before the payment due date.</w:t>
      </w:r>
      <w:r w:rsidRPr="0025427A">
        <w:rPr>
          <w:rFonts w:eastAsia="MS Mincho"/>
        </w:rPr>
        <w:t xml:space="preserve"> </w:t>
      </w:r>
      <w:r w:rsidR="0082763E">
        <w:rPr>
          <w:rFonts w:eastAsia="MS Mincho"/>
        </w:rPr>
        <w:t xml:space="preserve"> </w:t>
      </w:r>
      <w:r w:rsidRPr="0025427A">
        <w:rPr>
          <w:rFonts w:eastAsia="MS Mincho"/>
        </w:rPr>
        <w:t>EFTs must be with U.S. banks only.</w:t>
      </w:r>
    </w:p>
    <w:p w14:paraId="5644F84A" w14:textId="77777777" w:rsidR="0025427A" w:rsidRPr="0025427A" w:rsidRDefault="0025427A" w:rsidP="0025427A">
      <w:pPr>
        <w:spacing w:after="240"/>
        <w:ind w:left="720" w:hanging="720"/>
        <w:rPr>
          <w:rFonts w:eastAsia="MS Mincho"/>
          <w:szCs w:val="24"/>
        </w:rPr>
      </w:pPr>
      <w:r w:rsidRPr="0025427A">
        <w:rPr>
          <w:rFonts w:eastAsia="MS Mincho"/>
          <w:iCs/>
          <w:szCs w:val="24"/>
        </w:rPr>
        <w:t>(3)</w:t>
      </w:r>
      <w:r w:rsidRPr="0025427A">
        <w:rPr>
          <w:rFonts w:eastAsia="MS Mincho"/>
          <w:iCs/>
          <w:szCs w:val="24"/>
        </w:rPr>
        <w:tab/>
      </w:r>
      <w:r w:rsidRPr="0025427A">
        <w:rPr>
          <w:rFonts w:eastAsia="MS Mincho"/>
          <w:szCs w:val="24"/>
        </w:rPr>
        <w:t>Securitization Uplift Charge Initial Invoices are distinct from other Invoices issued by ERCOT and must be paid by an EFT that is separate from any other Invoice. An Invoice Recipient may not net amounts owing on a Securitization Uplift Charge Initial Invoice with any other funds due to or from ERCOT.</w:t>
      </w:r>
    </w:p>
    <w:p w14:paraId="2EF614B6" w14:textId="2C4EE8F4" w:rsidR="0025427A" w:rsidRPr="0025427A" w:rsidRDefault="0025427A" w:rsidP="0025427A">
      <w:pPr>
        <w:spacing w:after="240"/>
        <w:ind w:left="720" w:hanging="720"/>
        <w:rPr>
          <w:rFonts w:eastAsia="MS Mincho"/>
          <w:szCs w:val="24"/>
        </w:rPr>
      </w:pPr>
      <w:r w:rsidRPr="0025427A">
        <w:rPr>
          <w:rFonts w:eastAsia="MS Mincho"/>
          <w:szCs w:val="24"/>
        </w:rPr>
        <w:t>(4)</w:t>
      </w:r>
      <w:r w:rsidRPr="0025427A">
        <w:rPr>
          <w:rFonts w:eastAsia="MS Mincho"/>
          <w:szCs w:val="24"/>
        </w:rPr>
        <w:tab/>
        <w:t xml:space="preserve">Payments for Securitization Uplift Charge Initial Invoices must be made to the account listed on the </w:t>
      </w:r>
      <w:r w:rsidR="0082763E">
        <w:rPr>
          <w:rFonts w:eastAsia="MS Mincho"/>
          <w:szCs w:val="24"/>
        </w:rPr>
        <w:t>I</w:t>
      </w:r>
      <w:r w:rsidRPr="0025427A">
        <w:rPr>
          <w:rFonts w:eastAsia="MS Mincho"/>
          <w:szCs w:val="24"/>
        </w:rPr>
        <w:t xml:space="preserve">nvoice.  If payment is not made to the correct account, the payment will be rejected.  Failure to remit funds to the correct account may result in a Late Payment and Payment Breach. </w:t>
      </w:r>
      <w:r w:rsidR="0082763E">
        <w:rPr>
          <w:rFonts w:eastAsia="MS Mincho"/>
          <w:szCs w:val="24"/>
        </w:rPr>
        <w:t xml:space="preserve"> </w:t>
      </w:r>
      <w:r w:rsidRPr="0025427A">
        <w:rPr>
          <w:rFonts w:eastAsia="MS Mincho"/>
          <w:szCs w:val="24"/>
        </w:rPr>
        <w:t>The payment remarks must include the Invoice number.</w:t>
      </w:r>
    </w:p>
    <w:p w14:paraId="31855E30" w14:textId="77777777" w:rsidR="0025427A" w:rsidRPr="0025427A" w:rsidRDefault="0025427A" w:rsidP="0025427A">
      <w:pPr>
        <w:keepNext/>
        <w:tabs>
          <w:tab w:val="left" w:pos="1080"/>
        </w:tabs>
        <w:spacing w:before="240" w:after="240"/>
        <w:ind w:left="1080" w:hanging="1080"/>
        <w:outlineLvl w:val="2"/>
        <w:rPr>
          <w:b/>
          <w:bCs/>
          <w:i/>
        </w:rPr>
      </w:pPr>
      <w:bookmarkStart w:id="16" w:name="_Toc141428004"/>
      <w:r w:rsidRPr="0025427A">
        <w:rPr>
          <w:b/>
          <w:bCs/>
          <w:i/>
        </w:rPr>
        <w:t>27.4.4</w:t>
      </w:r>
      <w:r w:rsidRPr="0025427A">
        <w:rPr>
          <w:b/>
          <w:bCs/>
          <w:i/>
        </w:rPr>
        <w:tab/>
        <w:t>Insufficient Payments by Invoice Recipients for Securitization Uplift Charge Initial Invoices</w:t>
      </w:r>
      <w:bookmarkEnd w:id="16"/>
    </w:p>
    <w:p w14:paraId="3E300BBC" w14:textId="7732B638" w:rsidR="00205E61" w:rsidRPr="005E29E6" w:rsidRDefault="0025427A" w:rsidP="00205E61">
      <w:pPr>
        <w:pStyle w:val="BodyTextNumbered"/>
      </w:pPr>
      <w:r w:rsidRPr="0025427A">
        <w:rPr>
          <w:rFonts w:eastAsia="MS Mincho"/>
          <w:szCs w:val="24"/>
        </w:rPr>
        <w:t>(1)</w:t>
      </w:r>
      <w:r w:rsidRPr="0025427A">
        <w:rPr>
          <w:rFonts w:eastAsia="MS Mincho"/>
          <w:szCs w:val="24"/>
        </w:rPr>
        <w:tab/>
      </w:r>
      <w:r w:rsidR="00205E61" w:rsidRPr="005E29E6">
        <w:rPr>
          <w:szCs w:val="24"/>
        </w:rPr>
        <w:t xml:space="preserve">If at least one Invoice Recipient owing funds does not pay its </w:t>
      </w:r>
      <w:r w:rsidR="00205E61" w:rsidRPr="005E29E6">
        <w:rPr>
          <w:iCs/>
          <w:szCs w:val="24"/>
        </w:rPr>
        <w:t xml:space="preserve">Securitization </w:t>
      </w:r>
      <w:r w:rsidR="00205E61">
        <w:rPr>
          <w:iCs/>
          <w:szCs w:val="24"/>
        </w:rPr>
        <w:t>Uplift Charge</w:t>
      </w:r>
      <w:r w:rsidR="00205E61" w:rsidRPr="005E29E6">
        <w:rPr>
          <w:iCs/>
          <w:szCs w:val="24"/>
        </w:rPr>
        <w:t xml:space="preserve"> Initial </w:t>
      </w:r>
      <w:r w:rsidR="00205E61" w:rsidRPr="005E29E6">
        <w:rPr>
          <w:szCs w:val="24"/>
        </w:rPr>
        <w:t>Invoice in full (</w:t>
      </w:r>
      <w:proofErr w:type="gramStart"/>
      <w:r w:rsidR="00205E61" w:rsidRPr="005E29E6">
        <w:rPr>
          <w:szCs w:val="24"/>
        </w:rPr>
        <w:t>short-pay</w:t>
      </w:r>
      <w:proofErr w:type="gramEnd"/>
      <w:r w:rsidR="00205E61" w:rsidRPr="005E29E6">
        <w:rPr>
          <w:szCs w:val="24"/>
        </w:rPr>
        <w:t>)</w:t>
      </w:r>
      <w:r w:rsidR="00205E61">
        <w:rPr>
          <w:szCs w:val="24"/>
        </w:rPr>
        <w:t xml:space="preserve"> by the payment due date and time set forth in Section 27.4.1</w:t>
      </w:r>
      <w:r w:rsidR="00205E61" w:rsidRPr="005E29E6">
        <w:rPr>
          <w:szCs w:val="24"/>
        </w:rPr>
        <w:t>,</w:t>
      </w:r>
      <w:r w:rsidR="00205E61">
        <w:rPr>
          <w:szCs w:val="24"/>
        </w:rPr>
        <w:t xml:space="preserve"> Securitization Uplift Charge Initial Invoices,</w:t>
      </w:r>
      <w:r w:rsidR="00205E61" w:rsidRPr="005E29E6">
        <w:rPr>
          <w:szCs w:val="24"/>
        </w:rPr>
        <w:t xml:space="preserve"> ERCOT shall follow the procedure set forth below:</w:t>
      </w:r>
      <w:r w:rsidR="00205E61" w:rsidRPr="005E29E6">
        <w:t xml:space="preserve"> </w:t>
      </w:r>
    </w:p>
    <w:p w14:paraId="543F0642" w14:textId="77777777" w:rsidR="00205E61" w:rsidRDefault="00205E61" w:rsidP="00205E61">
      <w:pPr>
        <w:pStyle w:val="BodyText"/>
        <w:ind w:left="1440" w:hanging="720"/>
      </w:pPr>
      <w:r>
        <w:t>(a)</w:t>
      </w:r>
      <w:r>
        <w:tab/>
        <w:t xml:space="preserve">ERCOT shall draw on any available Securitization Uplift Charge escrow deposit of the short-paying Securitization Uplift Charge Initial Invoice Recipient. </w:t>
      </w:r>
    </w:p>
    <w:p w14:paraId="10DFFF73" w14:textId="77777777" w:rsidR="00205E61" w:rsidRDefault="00205E61" w:rsidP="00205E61">
      <w:pPr>
        <w:pStyle w:val="BodyText"/>
        <w:ind w:left="1440" w:hanging="720"/>
      </w:pPr>
      <w:r>
        <w:t>(b)</w:t>
      </w:r>
      <w:r>
        <w:tab/>
        <w:t xml:space="preserve">If available Securitization Uplift Charge escrow deposits are insufficient to cover the short-pay amount, ERCOT may utilize Financial Security held with respect to other ERCOT market activities as determined under Section 16.11.4, </w:t>
      </w:r>
      <w:r w:rsidRPr="00BA0745">
        <w:t>Determination and Monitoring of Counter-Party Credit Exposure</w:t>
      </w:r>
      <w:r>
        <w:t xml:space="preserve">.  ERCOT may </w:t>
      </w:r>
      <w:r>
        <w:lastRenderedPageBreak/>
        <w:t xml:space="preserve">not utilize Securitization Default Charge escrow deposits to cover </w:t>
      </w:r>
      <w:proofErr w:type="gramStart"/>
      <w:r>
        <w:t>short-pays</w:t>
      </w:r>
      <w:proofErr w:type="gramEnd"/>
      <w:r>
        <w:t xml:space="preserve"> of Securitization Uplift Charge Initial Invoices. </w:t>
      </w:r>
    </w:p>
    <w:p w14:paraId="7C57A0B6" w14:textId="77777777" w:rsidR="00205E61" w:rsidRDefault="00205E61" w:rsidP="00205E61">
      <w:pPr>
        <w:spacing w:after="240"/>
        <w:ind w:left="1440" w:hanging="720"/>
      </w:pPr>
      <w:r>
        <w:t>(c)</w:t>
      </w:r>
      <w:r>
        <w:tab/>
        <w:t xml:space="preserve">In the event that an Invoice Recipient </w:t>
      </w:r>
      <w:proofErr w:type="gramStart"/>
      <w:r>
        <w:t>short-pays</w:t>
      </w:r>
      <w:proofErr w:type="gramEnd"/>
      <w:r>
        <w:t xml:space="preserve">: </w:t>
      </w:r>
    </w:p>
    <w:p w14:paraId="48BD6053" w14:textId="77777777" w:rsidR="00205E61" w:rsidRDefault="00205E61" w:rsidP="00205E61">
      <w:pPr>
        <w:spacing w:after="240"/>
        <w:ind w:left="2160" w:hanging="720"/>
      </w:pPr>
      <w:r>
        <w:t>(i)</w:t>
      </w:r>
      <w:r>
        <w:tab/>
        <w:t xml:space="preserve">Both a Securitization Default Charge Invoice and a Securitization Uplift Charge Initial Invoice; or </w:t>
      </w:r>
    </w:p>
    <w:p w14:paraId="242533E2" w14:textId="77777777" w:rsidR="00205E61" w:rsidRDefault="00205E61" w:rsidP="00205E61">
      <w:pPr>
        <w:spacing w:after="240"/>
        <w:ind w:left="2160" w:hanging="720"/>
      </w:pPr>
      <w:r>
        <w:t>(ii)</w:t>
      </w:r>
      <w:r>
        <w:tab/>
        <w:t xml:space="preserve">One or </w:t>
      </w:r>
      <w:proofErr w:type="gramStart"/>
      <w:r>
        <w:t>both of the above</w:t>
      </w:r>
      <w:proofErr w:type="gramEnd"/>
      <w:r>
        <w:t xml:space="preserve"> securitization Invoices as well as any other ERCOT Invoice,</w:t>
      </w:r>
    </w:p>
    <w:p w14:paraId="424435E0" w14:textId="77777777" w:rsidR="00205E61" w:rsidRDefault="00205E61" w:rsidP="00205E61">
      <w:pPr>
        <w:spacing w:after="240"/>
        <w:ind w:left="1440"/>
      </w:pPr>
      <w:r>
        <w:t xml:space="preserve">and it is necessary to utilize Financial Security held with respect to other ERCOT market activities, funds drawn from Financial Security will be allocated first to cover </w:t>
      </w:r>
      <w:proofErr w:type="gramStart"/>
      <w:r>
        <w:t>short-pays</w:t>
      </w:r>
      <w:proofErr w:type="gramEnd"/>
      <w:r>
        <w:t xml:space="preserve"> of Invo</w:t>
      </w:r>
      <w:r w:rsidRPr="00007CCE">
        <w:t xml:space="preserve">ices for non-securitization activity.  Any remaining Financial Security will be allocated pro rata </w:t>
      </w:r>
      <w:proofErr w:type="gramStart"/>
      <w:r w:rsidRPr="00007CCE">
        <w:t>on the basis of</w:t>
      </w:r>
      <w:proofErr w:type="gramEnd"/>
      <w:r w:rsidRPr="00007CCE">
        <w:t xml:space="preserve"> unpaid Invoice amounts to Securitization Uplift Charge Initial Invoices and Securitization Default Charge Invoices</w:t>
      </w:r>
      <w:r>
        <w:t>.</w:t>
      </w:r>
    </w:p>
    <w:p w14:paraId="4DD3A4DF" w14:textId="77777777" w:rsidR="00205E61" w:rsidRDefault="00205E61" w:rsidP="00205E61">
      <w:pPr>
        <w:pStyle w:val="BodyText"/>
        <w:ind w:left="1440" w:hanging="720"/>
      </w:pPr>
      <w:r>
        <w:t>(d)</w:t>
      </w:r>
      <w:r>
        <w:tab/>
        <w:t>Regardless of whether ERCOT’s draw on an available</w:t>
      </w:r>
      <w:r w:rsidRPr="00E52E2D">
        <w:t xml:space="preserve"> Securitization </w:t>
      </w:r>
      <w:r>
        <w:t>Uplift</w:t>
      </w:r>
      <w:r w:rsidRPr="00E52E2D">
        <w:t xml:space="preserve"> Charge </w:t>
      </w:r>
      <w:r>
        <w:t>escrow deposits or other Financial Security under paragraphs (a) through (c) above is sufficient to cover the amount owed by a Market Participant for an Initial Invoice for Securitization Uplift Charges, a Market Participant’s failure to pay the</w:t>
      </w:r>
      <w:r w:rsidRPr="00DF28A1">
        <w:t xml:space="preserve"> </w:t>
      </w:r>
      <w:r>
        <w:t xml:space="preserve">Initial Invoice by the payment due date and time will still be deemed a Late Payment and Payment Breach under Section 16.11.6, Payment Breach and Late Payments by Market Participants.  </w:t>
      </w:r>
    </w:p>
    <w:p w14:paraId="4B68D853" w14:textId="216D522D" w:rsidR="00205E61" w:rsidRDefault="00205E61" w:rsidP="00205E61">
      <w:pPr>
        <w:pStyle w:val="List"/>
      </w:pPr>
      <w:r>
        <w:t>(e)</w:t>
      </w:r>
      <w:r>
        <w:tab/>
        <w:t xml:space="preserve">If an amount owed to ERCOT for an Initial Invoice for </w:t>
      </w:r>
      <w:r>
        <w:rPr>
          <w:iCs/>
        </w:rPr>
        <w:t xml:space="preserve">Securitization </w:t>
      </w:r>
      <w:r>
        <w:t xml:space="preserve">Uplift Charges cannot be fully recovered from a short-paying Market Participant by drawing upon available </w:t>
      </w:r>
      <w:r w:rsidRPr="00E52E2D">
        <w:t xml:space="preserve">Securitization </w:t>
      </w:r>
      <w:r>
        <w:t>Uplift</w:t>
      </w:r>
      <w:r w:rsidRPr="00E52E2D">
        <w:t xml:space="preserve"> Charge </w:t>
      </w:r>
      <w:r>
        <w:t xml:space="preserve">escrow deposits or taking other action against the Market Participant to recover the amount owed, the remaining short payment amount will be taken into consideration in ERCOT’s next evaluation of </w:t>
      </w:r>
      <w:r w:rsidRPr="00B130AF">
        <w:t xml:space="preserve">the Securitization </w:t>
      </w:r>
      <w:r>
        <w:t>Uplift</w:t>
      </w:r>
      <w:r w:rsidRPr="00B130AF">
        <w:t xml:space="preserve"> Charge </w:t>
      </w:r>
      <w:r>
        <w:t xml:space="preserve">Daily </w:t>
      </w:r>
      <w:r w:rsidRPr="00B130AF">
        <w:t>Amount</w:t>
      </w:r>
      <w:r>
        <w:t xml:space="preserve"> performed pursuant to paragraph (2) of Section 27.3</w:t>
      </w:r>
      <w:r w:rsidR="00737255">
        <w:t xml:space="preserve">, </w:t>
      </w:r>
      <w:r w:rsidR="00737255" w:rsidRPr="00737255">
        <w:t>Securitization Uplift Charge</w:t>
      </w:r>
      <w:r w:rsidR="00737255">
        <w:t>,</w:t>
      </w:r>
      <w:r>
        <w:t xml:space="preserve"> that occurs after the short payment. </w:t>
      </w:r>
    </w:p>
    <w:p w14:paraId="0A054B07" w14:textId="4A50B12A" w:rsidR="0025427A" w:rsidRPr="0025427A" w:rsidRDefault="00205E61" w:rsidP="00763B23">
      <w:pPr>
        <w:spacing w:after="240"/>
        <w:ind w:left="1440" w:hanging="720"/>
        <w:rPr>
          <w:rFonts w:eastAsia="MS Mincho"/>
        </w:rPr>
      </w:pPr>
      <w:r>
        <w:t>(f)</w:t>
      </w:r>
      <w:r>
        <w:tab/>
        <w:t>Any action taken by ERCOT under this Section does not relieve or otherwise excuse the short-paying Market Participant of its obligation to fully pay all outstanding financial obligations to ERCOT, including its obligation to fully pay all Initial</w:t>
      </w:r>
      <w:r w:rsidRPr="00B130AF">
        <w:t xml:space="preserve"> Invoice</w:t>
      </w:r>
      <w:r>
        <w:t>s</w:t>
      </w:r>
      <w:r w:rsidRPr="00B130AF">
        <w:t xml:space="preserve"> for Securitization </w:t>
      </w:r>
      <w:r>
        <w:t>Uplift Charges.</w:t>
      </w:r>
    </w:p>
    <w:p w14:paraId="081C0F48" w14:textId="2C819071" w:rsidR="0025427A" w:rsidRPr="0025427A" w:rsidRDefault="0025427A" w:rsidP="00D64683">
      <w:pPr>
        <w:keepNext/>
        <w:tabs>
          <w:tab w:val="left" w:pos="1080"/>
        </w:tabs>
        <w:spacing w:before="240" w:after="240"/>
        <w:ind w:left="1080" w:hanging="1080"/>
        <w:outlineLvl w:val="2"/>
        <w:rPr>
          <w:b/>
          <w:bCs/>
          <w:i/>
        </w:rPr>
      </w:pPr>
      <w:bookmarkStart w:id="17" w:name="_Toc141428005"/>
      <w:r w:rsidRPr="0025427A">
        <w:rPr>
          <w:b/>
          <w:bCs/>
          <w:i/>
        </w:rPr>
        <w:t>27.4.5</w:t>
      </w:r>
      <w:r w:rsidRPr="0025427A">
        <w:rPr>
          <w:b/>
          <w:bCs/>
          <w:i/>
        </w:rPr>
        <w:tab/>
        <w:t>Payment Process for Securitization Uplift Charge Reallocation Invoices</w:t>
      </w:r>
      <w:bookmarkEnd w:id="17"/>
    </w:p>
    <w:p w14:paraId="3782F86D" w14:textId="77777777" w:rsidR="0025427A" w:rsidRPr="0025427A" w:rsidRDefault="0025427A" w:rsidP="0025427A">
      <w:pPr>
        <w:spacing w:after="240"/>
        <w:ind w:left="720" w:hanging="720"/>
        <w:rPr>
          <w:rFonts w:eastAsia="MS Mincho"/>
        </w:rPr>
      </w:pPr>
      <w:r w:rsidRPr="0025427A">
        <w:rPr>
          <w:rFonts w:eastAsia="MS Mincho"/>
          <w:iCs/>
        </w:rPr>
        <w:t>(1)</w:t>
      </w:r>
      <w:r w:rsidRPr="0025427A">
        <w:rPr>
          <w:rFonts w:eastAsia="MS Mincho"/>
          <w:iCs/>
        </w:rPr>
        <w:tab/>
      </w:r>
      <w:r w:rsidRPr="0025427A">
        <w:rPr>
          <w:rFonts w:eastAsia="MS Mincho"/>
        </w:rPr>
        <w:t xml:space="preserve">Payments for </w:t>
      </w:r>
      <w:r w:rsidRPr="0025427A">
        <w:rPr>
          <w:rFonts w:eastAsia="MS Mincho"/>
          <w:iCs/>
        </w:rPr>
        <w:t xml:space="preserve">Securitization Uplift Charge Reallocation </w:t>
      </w:r>
      <w:r w:rsidRPr="0025427A">
        <w:rPr>
          <w:rFonts w:eastAsia="MS Mincho"/>
        </w:rPr>
        <w:t>Invoices are due on a Business Day and Bank Business Day basis as detailed below.</w:t>
      </w:r>
    </w:p>
    <w:p w14:paraId="36813B13" w14:textId="77777777" w:rsidR="0025427A" w:rsidRPr="0025427A" w:rsidRDefault="0025427A" w:rsidP="0025427A">
      <w:pPr>
        <w:keepNext/>
        <w:widowControl w:val="0"/>
        <w:tabs>
          <w:tab w:val="left" w:pos="1260"/>
        </w:tabs>
        <w:spacing w:before="240" w:after="240"/>
        <w:ind w:left="1260" w:hanging="1260"/>
        <w:outlineLvl w:val="3"/>
        <w:rPr>
          <w:b/>
          <w:snapToGrid w:val="0"/>
        </w:rPr>
      </w:pPr>
      <w:bookmarkStart w:id="18" w:name="_Toc141428006"/>
      <w:r w:rsidRPr="0025427A">
        <w:rPr>
          <w:b/>
          <w:snapToGrid w:val="0"/>
        </w:rPr>
        <w:t>27.4.5.1</w:t>
      </w:r>
      <w:r w:rsidRPr="0025427A">
        <w:rPr>
          <w:b/>
          <w:snapToGrid w:val="0"/>
        </w:rPr>
        <w:tab/>
        <w:t xml:space="preserve">Invoice Recipient Payment to ERCOT for Securitization Uplift Charge </w:t>
      </w:r>
      <w:r w:rsidRPr="0025427A">
        <w:rPr>
          <w:b/>
          <w:snapToGrid w:val="0"/>
        </w:rPr>
        <w:lastRenderedPageBreak/>
        <w:t>Reallocation Invoices</w:t>
      </w:r>
      <w:bookmarkEnd w:id="18"/>
    </w:p>
    <w:p w14:paraId="16C41AB3" w14:textId="77777777" w:rsidR="0025427A" w:rsidRPr="0025427A" w:rsidRDefault="0025427A" w:rsidP="0025427A">
      <w:pPr>
        <w:spacing w:after="240"/>
        <w:ind w:left="720" w:hanging="720"/>
        <w:rPr>
          <w:rFonts w:eastAsia="MS Mincho"/>
          <w:iCs/>
        </w:rPr>
      </w:pPr>
      <w:r w:rsidRPr="0025427A">
        <w:rPr>
          <w:rFonts w:eastAsia="MS Mincho"/>
          <w:iCs/>
        </w:rPr>
        <w:t>(1)</w:t>
      </w:r>
      <w:r w:rsidRPr="0025427A">
        <w:rPr>
          <w:rFonts w:eastAsia="MS Mincho"/>
          <w:iCs/>
        </w:rPr>
        <w:tab/>
        <w:t>The payment due date and time for the Securitization Uplift Charge Reallocation Invoice, with funds owed by an Invoice Recipient, is 1700 on the second Bank Business Day after the Securitization Uplift Charge Reallocation Invoice date, unless the second Bank Business Day is not a Business Day.  If the second Bank Business Day is not a Business Day, the payment is due by 1700 on the next Bank Business Day after the second Bank Business Day that is also a Business Day.</w:t>
      </w:r>
    </w:p>
    <w:p w14:paraId="7C4113D9" w14:textId="11565228" w:rsidR="0025427A" w:rsidRPr="0025427A" w:rsidRDefault="0025427A" w:rsidP="0025427A">
      <w:pPr>
        <w:spacing w:after="240"/>
        <w:ind w:left="720" w:hanging="720"/>
        <w:rPr>
          <w:rFonts w:eastAsia="MS Mincho"/>
        </w:rPr>
      </w:pPr>
      <w:r w:rsidRPr="0025427A">
        <w:rPr>
          <w:rFonts w:eastAsia="MS Mincho"/>
          <w:iCs/>
        </w:rPr>
        <w:t>(2)</w:t>
      </w:r>
      <w:r w:rsidRPr="0025427A">
        <w:rPr>
          <w:rFonts w:eastAsia="MS Mincho"/>
          <w:iCs/>
        </w:rPr>
        <w:tab/>
        <w:t>All Securitization Uplift Charge Reallocation Invoices due, with funds owed by an Invoice Recipient, must be paid to ERCOT in USDs by EFT in immediately available or good funds (i.e., not subject to reversal) on or before the payment due date.</w:t>
      </w:r>
      <w:r w:rsidRPr="0025427A">
        <w:rPr>
          <w:rFonts w:eastAsia="MS Mincho"/>
        </w:rPr>
        <w:t xml:space="preserve">  EFTs must be with U.S. banks only.</w:t>
      </w:r>
    </w:p>
    <w:p w14:paraId="67A36F54" w14:textId="77777777" w:rsidR="0025427A" w:rsidRPr="0025427A" w:rsidRDefault="0025427A" w:rsidP="0025427A">
      <w:pPr>
        <w:spacing w:after="240"/>
        <w:ind w:left="720" w:hanging="720"/>
        <w:rPr>
          <w:rFonts w:eastAsia="MS Mincho"/>
          <w:szCs w:val="24"/>
        </w:rPr>
      </w:pPr>
      <w:r w:rsidRPr="0025427A">
        <w:rPr>
          <w:rFonts w:eastAsia="MS Mincho"/>
          <w:iCs/>
          <w:szCs w:val="24"/>
        </w:rPr>
        <w:t>(3)</w:t>
      </w:r>
      <w:r w:rsidRPr="0025427A">
        <w:rPr>
          <w:rFonts w:eastAsia="MS Mincho"/>
          <w:iCs/>
          <w:szCs w:val="24"/>
        </w:rPr>
        <w:tab/>
      </w:r>
      <w:r w:rsidRPr="0025427A">
        <w:rPr>
          <w:rFonts w:eastAsia="MS Mincho"/>
          <w:szCs w:val="24"/>
        </w:rPr>
        <w:t>The Securitization Uplift Charge Reallocation Invoices are distinct from other Invoices issued by ERCOT.  An Invoice Recipient may not net amounts owing on a Securitization Uplift Charge Reallocation Invoice with any other funds due to or from ERCOT.</w:t>
      </w:r>
    </w:p>
    <w:p w14:paraId="03F2E154" w14:textId="381018B9" w:rsidR="0025427A" w:rsidRPr="0025427A" w:rsidRDefault="0025427A" w:rsidP="0025427A">
      <w:pPr>
        <w:spacing w:after="240"/>
        <w:ind w:left="720" w:hanging="720"/>
        <w:rPr>
          <w:rFonts w:eastAsia="MS Mincho"/>
          <w:szCs w:val="24"/>
        </w:rPr>
      </w:pPr>
      <w:r w:rsidRPr="0025427A">
        <w:rPr>
          <w:rFonts w:eastAsia="MS Mincho"/>
          <w:szCs w:val="24"/>
        </w:rPr>
        <w:t>(4)</w:t>
      </w:r>
      <w:r w:rsidRPr="0025427A">
        <w:rPr>
          <w:rFonts w:eastAsia="MS Mincho"/>
          <w:szCs w:val="24"/>
        </w:rPr>
        <w:tab/>
        <w:t xml:space="preserve">Payments for Securitization Uplift Charge Reallocation Invoices must be made to the account listed on the </w:t>
      </w:r>
      <w:r w:rsidR="0082763E">
        <w:rPr>
          <w:rFonts w:eastAsia="MS Mincho"/>
          <w:szCs w:val="24"/>
        </w:rPr>
        <w:t>I</w:t>
      </w:r>
      <w:r w:rsidRPr="0025427A">
        <w:rPr>
          <w:rFonts w:eastAsia="MS Mincho"/>
          <w:szCs w:val="24"/>
        </w:rPr>
        <w:t>nvoice.</w:t>
      </w:r>
      <w:r w:rsidR="0082763E">
        <w:rPr>
          <w:rFonts w:eastAsia="MS Mincho"/>
          <w:szCs w:val="24"/>
        </w:rPr>
        <w:t xml:space="preserve"> </w:t>
      </w:r>
      <w:r w:rsidRPr="0025427A">
        <w:rPr>
          <w:rFonts w:eastAsia="MS Mincho"/>
          <w:szCs w:val="24"/>
        </w:rPr>
        <w:t xml:space="preserve"> The payment remarks must include the Invoice number. If payment is not made to the correct account, the payment will be rejected.  Failure to remit funds to the correct account may result in a Late Payment and Payment Breach. </w:t>
      </w:r>
    </w:p>
    <w:p w14:paraId="17BB1801" w14:textId="77777777" w:rsidR="0025427A" w:rsidRPr="0025427A" w:rsidRDefault="0025427A" w:rsidP="0025427A">
      <w:pPr>
        <w:keepNext/>
        <w:widowControl w:val="0"/>
        <w:tabs>
          <w:tab w:val="left" w:pos="1260"/>
        </w:tabs>
        <w:spacing w:before="240" w:after="240"/>
        <w:ind w:left="1260" w:hanging="1260"/>
        <w:outlineLvl w:val="3"/>
        <w:rPr>
          <w:b/>
          <w:snapToGrid w:val="0"/>
        </w:rPr>
      </w:pPr>
      <w:bookmarkStart w:id="19" w:name="_Toc141428007"/>
      <w:r w:rsidRPr="0025427A">
        <w:rPr>
          <w:b/>
          <w:snapToGrid w:val="0"/>
        </w:rPr>
        <w:t>27.4.5.2</w:t>
      </w:r>
      <w:r w:rsidRPr="0025427A">
        <w:rPr>
          <w:b/>
          <w:snapToGrid w:val="0"/>
        </w:rPr>
        <w:tab/>
        <w:t>ERCOT Payment to Invoice Recipients for Securitization Uplift Charge Reallocation Invoices</w:t>
      </w:r>
      <w:bookmarkEnd w:id="19"/>
    </w:p>
    <w:p w14:paraId="7F949296" w14:textId="77777777" w:rsidR="0025427A" w:rsidRPr="0025427A" w:rsidRDefault="0025427A" w:rsidP="0025427A">
      <w:pPr>
        <w:spacing w:after="240"/>
        <w:ind w:left="720" w:hanging="720"/>
        <w:rPr>
          <w:rFonts w:eastAsia="MS Mincho"/>
          <w:iCs/>
        </w:rPr>
      </w:pPr>
      <w:r w:rsidRPr="0025427A">
        <w:rPr>
          <w:rFonts w:eastAsia="MS Mincho"/>
          <w:iCs/>
        </w:rPr>
        <w:t>(1)</w:t>
      </w:r>
      <w:r w:rsidRPr="0025427A">
        <w:rPr>
          <w:rFonts w:eastAsia="MS Mincho"/>
          <w:iCs/>
        </w:rPr>
        <w:tab/>
        <w:t xml:space="preserve">Subject to the availability of funds as discussed in paragraph (2) below, ERCOT must pay Securitization Uplift Charge Reallocation Invoices with funds owed to an Invoice Recipient by 1700 on the next Bank Business Day after payments are due for that Securitization Uplift Charge Reallocation Invoice under Section 27.4.5, Payment Process for Securitization Uplift Charge Reallocation Invoices, subject to ERCOT’s right to withhold payments for any reason set forth in these Protocols or as a matter of law, unless that next Bank Business Day is not a Business Day.  If that next Bank Business Day is not a Business Day, the payment is due on the next Bank Business Day thereafter that is also a Business Day. </w:t>
      </w:r>
    </w:p>
    <w:p w14:paraId="01C8757D" w14:textId="77777777" w:rsidR="0025427A" w:rsidRPr="0025427A" w:rsidRDefault="0025427A" w:rsidP="0025427A">
      <w:pPr>
        <w:spacing w:after="240"/>
        <w:ind w:left="720" w:hanging="720"/>
        <w:rPr>
          <w:rFonts w:eastAsia="MS Mincho"/>
        </w:rPr>
      </w:pPr>
      <w:r w:rsidRPr="0025427A">
        <w:rPr>
          <w:rFonts w:eastAsia="MS Mincho"/>
        </w:rPr>
        <w:t>(2)</w:t>
      </w:r>
      <w:r w:rsidRPr="0025427A">
        <w:rPr>
          <w:rFonts w:eastAsia="MS Mincho"/>
        </w:rPr>
        <w:tab/>
        <w:t xml:space="preserve">ERCOT shall give irrevocable instructions to the ERCOT financial institution to remit to each Invoice Recipient for same day value the amounts determined by ERCOT to be available for payment to that Invoice Recipient under Section 27.4.6, Insufficient Payments by Invoice Recipients for Securitization Uplift Charge Reallocation Invoices. </w:t>
      </w:r>
    </w:p>
    <w:p w14:paraId="024FEC98" w14:textId="77777777" w:rsidR="0025427A" w:rsidRPr="0025427A" w:rsidRDefault="0025427A" w:rsidP="0025427A">
      <w:pPr>
        <w:keepNext/>
        <w:tabs>
          <w:tab w:val="left" w:pos="1080"/>
        </w:tabs>
        <w:spacing w:before="240" w:after="240"/>
        <w:ind w:left="1080" w:hanging="1080"/>
        <w:outlineLvl w:val="2"/>
        <w:rPr>
          <w:b/>
          <w:bCs/>
          <w:i/>
        </w:rPr>
      </w:pPr>
      <w:bookmarkStart w:id="20" w:name="_Toc141428008"/>
      <w:r w:rsidRPr="0025427A">
        <w:rPr>
          <w:b/>
          <w:bCs/>
          <w:i/>
        </w:rPr>
        <w:lastRenderedPageBreak/>
        <w:t>27.4.6</w:t>
      </w:r>
      <w:r w:rsidRPr="0025427A">
        <w:rPr>
          <w:b/>
          <w:bCs/>
          <w:i/>
        </w:rPr>
        <w:tab/>
        <w:t>Insufficient Payments by Invoice Recipients for Securitization Uplift Charge Reallocation Invoices</w:t>
      </w:r>
      <w:bookmarkEnd w:id="20"/>
    </w:p>
    <w:p w14:paraId="4F342ED4" w14:textId="77777777" w:rsidR="0025427A" w:rsidRPr="0025427A" w:rsidRDefault="0025427A" w:rsidP="0025427A">
      <w:pPr>
        <w:spacing w:after="240"/>
        <w:ind w:left="720" w:hanging="720"/>
        <w:rPr>
          <w:rFonts w:eastAsia="MS Mincho"/>
        </w:rPr>
      </w:pPr>
      <w:r w:rsidRPr="0025427A">
        <w:rPr>
          <w:rFonts w:eastAsia="MS Mincho"/>
        </w:rPr>
        <w:t>(1)</w:t>
      </w:r>
      <w:r w:rsidRPr="0025427A">
        <w:rPr>
          <w:rFonts w:eastAsia="MS Mincho"/>
        </w:rPr>
        <w:tab/>
        <w:t xml:space="preserve">If at least one Invoice Recipient owing funds does not pay its </w:t>
      </w:r>
      <w:r w:rsidRPr="0025427A">
        <w:rPr>
          <w:rFonts w:eastAsia="MS Mincho"/>
          <w:iCs/>
        </w:rPr>
        <w:t xml:space="preserve">Securitization Uplift Charge Reallocation </w:t>
      </w:r>
      <w:r w:rsidRPr="0025427A">
        <w:rPr>
          <w:rFonts w:eastAsia="MS Mincho"/>
        </w:rPr>
        <w:t>Invoice in full (short-pay), ERCOT shall follow the procedure set forth below:</w:t>
      </w:r>
    </w:p>
    <w:p w14:paraId="1FF560EA" w14:textId="77777777" w:rsidR="0025427A" w:rsidRPr="0025427A" w:rsidRDefault="0025427A" w:rsidP="0025427A">
      <w:pPr>
        <w:spacing w:after="240"/>
        <w:ind w:left="1440" w:hanging="720"/>
        <w:rPr>
          <w:rFonts w:eastAsia="MS Mincho"/>
        </w:rPr>
      </w:pPr>
      <w:r w:rsidRPr="0025427A">
        <w:rPr>
          <w:rFonts w:eastAsia="MS Mincho"/>
        </w:rPr>
        <w:t>(a)</w:t>
      </w:r>
      <w:r w:rsidRPr="0025427A">
        <w:rPr>
          <w:rFonts w:eastAsia="MS Mincho"/>
        </w:rPr>
        <w:tab/>
        <w:t xml:space="preserve">ERCOT shall make every reasonable attempt to collect payment from each short-paying Invoice Recipient before any payments owed by ERCOT for that Securitization Uplift Charge Reallocation Invoice are due to be paid to applicable Invoice Recipient(s). </w:t>
      </w:r>
    </w:p>
    <w:p w14:paraId="2393C468" w14:textId="77777777" w:rsidR="0025427A" w:rsidRPr="0025427A" w:rsidRDefault="0025427A" w:rsidP="0025427A">
      <w:pPr>
        <w:tabs>
          <w:tab w:val="left" w:pos="1440"/>
        </w:tabs>
        <w:spacing w:after="240"/>
        <w:ind w:left="1440" w:hanging="720"/>
        <w:rPr>
          <w:rFonts w:eastAsia="MS Mincho"/>
        </w:rPr>
      </w:pPr>
      <w:r w:rsidRPr="0025427A">
        <w:rPr>
          <w:rFonts w:eastAsia="MS Mincho"/>
        </w:rPr>
        <w:t>(b)</w:t>
      </w:r>
      <w:r w:rsidRPr="0025427A">
        <w:rPr>
          <w:rFonts w:eastAsia="MS Mincho"/>
        </w:rPr>
        <w:tab/>
        <w:t xml:space="preserve">ERCOT shall draw on any available Financial Security, other than Securitization Default Charge escrow deposits or Securitization Uplift Charge escrow deposits, pledged to ERCOT by the short-paying Invoice Recipient.  </w:t>
      </w:r>
    </w:p>
    <w:p w14:paraId="76E2839F" w14:textId="77777777" w:rsidR="0025427A" w:rsidRPr="0025427A" w:rsidRDefault="0025427A" w:rsidP="0025427A">
      <w:pPr>
        <w:spacing w:after="240"/>
        <w:ind w:left="1440" w:hanging="720"/>
        <w:rPr>
          <w:rFonts w:eastAsia="MS Mincho"/>
        </w:rPr>
      </w:pPr>
      <w:r w:rsidRPr="0025427A">
        <w:rPr>
          <w:rFonts w:eastAsia="MS Mincho"/>
        </w:rPr>
        <w:t>(c)</w:t>
      </w:r>
      <w:r w:rsidRPr="0025427A">
        <w:rPr>
          <w:rFonts w:eastAsia="MS Mincho"/>
        </w:rPr>
        <w:tab/>
        <w:t xml:space="preserve">Regardless of whether ERCOT’s draw on available Financial Security under paragraph (b) above is sufficient to cover the amount owed by a Market Participant for a </w:t>
      </w:r>
      <w:r w:rsidRPr="0025427A">
        <w:rPr>
          <w:rFonts w:eastAsia="MS Mincho"/>
          <w:iCs/>
        </w:rPr>
        <w:t xml:space="preserve">Securitization </w:t>
      </w:r>
      <w:r w:rsidRPr="0025427A">
        <w:rPr>
          <w:rFonts w:eastAsia="MS Mincho"/>
        </w:rPr>
        <w:t>Uplift Charges, a Market Participant’s failure to pay the Invoice by the payment due date and time will still be deemed a Payment Breach under Section 16.11.6, Payment Breach and Late Payments by Market Participants.</w:t>
      </w:r>
    </w:p>
    <w:p w14:paraId="6AE073A7" w14:textId="77777777" w:rsidR="0025427A" w:rsidRPr="0025427A" w:rsidRDefault="0025427A" w:rsidP="0025427A">
      <w:pPr>
        <w:spacing w:after="240"/>
        <w:ind w:left="1440" w:hanging="720"/>
        <w:rPr>
          <w:rFonts w:eastAsia="MS Mincho"/>
        </w:rPr>
      </w:pPr>
      <w:r w:rsidRPr="0025427A">
        <w:rPr>
          <w:rFonts w:eastAsia="MS Mincho"/>
        </w:rPr>
        <w:t>(d)</w:t>
      </w:r>
      <w:r w:rsidRPr="0025427A">
        <w:rPr>
          <w:rFonts w:eastAsia="MS Mincho"/>
        </w:rPr>
        <w:tab/>
        <w:t>ERCOT shall offset or recoup any amounts owed, or to be owed, by ERCOT for a Securitization Uplift Charge Reallocation Invoice to a short-paying Invoice Recipient, and ERCOT shall apply the amount offset or recouped to cover payment shortfalls by that Invoice Recipient for Invoices other than Securitization Uplift Charge Initial Invoices and Securitization Default Charge Invoices.</w:t>
      </w:r>
    </w:p>
    <w:p w14:paraId="3FC1C87A" w14:textId="77777777" w:rsidR="0025427A" w:rsidRPr="0025427A" w:rsidRDefault="0025427A" w:rsidP="0025427A">
      <w:pPr>
        <w:spacing w:after="240"/>
        <w:ind w:left="1440" w:hanging="720"/>
        <w:rPr>
          <w:rFonts w:ascii="TimesNewRomanPSMT" w:eastAsia="MS Mincho" w:hAnsi="TimesNewRomanPSMT"/>
          <w:iCs/>
        </w:rPr>
      </w:pPr>
      <w:r w:rsidRPr="0025427A">
        <w:rPr>
          <w:rFonts w:ascii="TimesNewRomanPSMT" w:eastAsia="MS Mincho" w:hAnsi="TimesNewRomanPSMT"/>
          <w:iCs/>
        </w:rPr>
        <w:t>(e)</w:t>
      </w:r>
      <w:r w:rsidRPr="0025427A">
        <w:rPr>
          <w:rFonts w:ascii="TimesNewRomanPSMT" w:eastAsia="MS Mincho" w:hAnsi="TimesNewRomanPSMT"/>
          <w:iCs/>
        </w:rPr>
        <w:tab/>
        <w:t xml:space="preserve">If, after taking the actions set forth in the paragraphs above, and subject to paragraph (f) below, ERCOT still does not have sufficient funds to pay all amounts that it owes to </w:t>
      </w:r>
      <w:r w:rsidRPr="0025427A">
        <w:rPr>
          <w:rFonts w:eastAsia="MS Mincho"/>
          <w:iCs/>
        </w:rPr>
        <w:t xml:space="preserve">Securitization Uplift Charge Reallocation </w:t>
      </w:r>
      <w:r w:rsidRPr="0025427A">
        <w:rPr>
          <w:rFonts w:ascii="TimesNewRomanPSMT" w:eastAsia="MS Mincho" w:hAnsi="TimesNewRomanPSMT"/>
          <w:iCs/>
        </w:rPr>
        <w:t xml:space="preserve">Invoice Recipients in full, ERCOT shall reduce payments to all </w:t>
      </w:r>
      <w:r w:rsidRPr="0025427A">
        <w:rPr>
          <w:rFonts w:eastAsia="MS Mincho"/>
          <w:iCs/>
        </w:rPr>
        <w:t xml:space="preserve">Securitization Uplift Charge Reallocation </w:t>
      </w:r>
      <w:r w:rsidRPr="0025427A">
        <w:rPr>
          <w:rFonts w:ascii="TimesNewRomanPSMT" w:eastAsia="MS Mincho" w:hAnsi="TimesNewRomanPSMT"/>
          <w:iCs/>
        </w:rPr>
        <w:t xml:space="preserve">Invoice Recipients owed monies from ERCOT.  The reductions shall be based on a pro rata basis of monies owed to each </w:t>
      </w:r>
      <w:r w:rsidRPr="0025427A">
        <w:rPr>
          <w:rFonts w:eastAsia="MS Mincho"/>
          <w:iCs/>
        </w:rPr>
        <w:t xml:space="preserve">Securitization Uplift Charge Reallocation </w:t>
      </w:r>
      <w:r w:rsidRPr="0025427A">
        <w:rPr>
          <w:rFonts w:ascii="TimesNewRomanPSMT" w:eastAsia="MS Mincho" w:hAnsi="TimesNewRomanPSMT"/>
          <w:iCs/>
        </w:rPr>
        <w:t>Invoice Recipient, to the extent necessary to clear ERCOT’s accounts on the payment due date to achieve revenue neutrality for ERCOT as to Securitization Uplift Charge</w:t>
      </w:r>
      <w:r w:rsidRPr="0025427A">
        <w:rPr>
          <w:rFonts w:eastAsia="MS Mincho"/>
          <w:iCs/>
        </w:rPr>
        <w:t xml:space="preserve"> Reallocation</w:t>
      </w:r>
      <w:r w:rsidRPr="0025427A">
        <w:rPr>
          <w:rFonts w:ascii="TimesNewRomanPSMT" w:eastAsia="MS Mincho" w:hAnsi="TimesNewRomanPSMT"/>
          <w:iCs/>
        </w:rPr>
        <w:t xml:space="preserve"> Invoices.  ERCOT shall provide to all Market Participants payment details on all short payments and subsequent reimbursements of short pays.  Details must include the identity of each short-paying Invoice Recipient and the dollar amount attributable to that Invoice Recipient, broken down by Invoice numbers.  In addition, ERCOT shall provide the aggregate total of all amounts due to all Invoice Recipients before applying the amount not paid on the </w:t>
      </w:r>
      <w:r w:rsidRPr="0025427A">
        <w:rPr>
          <w:rFonts w:eastAsia="MS Mincho"/>
          <w:iCs/>
        </w:rPr>
        <w:t xml:space="preserve">Securitization Uplift Charge Reallocation </w:t>
      </w:r>
      <w:r w:rsidRPr="0025427A">
        <w:rPr>
          <w:rFonts w:ascii="TimesNewRomanPSMT" w:eastAsia="MS Mincho" w:hAnsi="TimesNewRomanPSMT"/>
          <w:iCs/>
        </w:rPr>
        <w:t>Invoice.</w:t>
      </w:r>
    </w:p>
    <w:p w14:paraId="0834BF13" w14:textId="77777777" w:rsidR="0025427A" w:rsidRPr="0025427A" w:rsidRDefault="0025427A" w:rsidP="0025427A">
      <w:pPr>
        <w:spacing w:after="240"/>
        <w:ind w:left="1440" w:hanging="720"/>
        <w:rPr>
          <w:rFonts w:ascii="TimesNewRomanPSMT" w:eastAsia="MS Mincho" w:hAnsi="TimesNewRomanPSMT"/>
          <w:iCs/>
        </w:rPr>
      </w:pPr>
      <w:r w:rsidRPr="0025427A">
        <w:rPr>
          <w:rFonts w:ascii="TimesNewRomanPSMT" w:eastAsia="MS Mincho" w:hAnsi="TimesNewRomanPSMT"/>
          <w:iCs/>
        </w:rPr>
        <w:lastRenderedPageBreak/>
        <w:t>(f)</w:t>
      </w:r>
      <w:r w:rsidRPr="0025427A">
        <w:rPr>
          <w:rFonts w:ascii="TimesNewRomanPSMT" w:eastAsia="MS Mincho" w:hAnsi="TimesNewRomanPSMT"/>
          <w:iCs/>
        </w:rPr>
        <w:tab/>
        <w:t xml:space="preserve">For a short-paying Market Participant whose Standard Form Market Participant Agreement has been terminated, if, after taking the actions set forth in the paragraphs (a) through (d) above, ERCOT still does not have sufficient funds to pay amounts owed to </w:t>
      </w:r>
      <w:r w:rsidRPr="0025427A">
        <w:rPr>
          <w:rFonts w:eastAsia="MS Mincho"/>
          <w:iCs/>
        </w:rPr>
        <w:t xml:space="preserve">Securitization Uplift Charge Reallocation </w:t>
      </w:r>
      <w:r w:rsidRPr="0025427A">
        <w:rPr>
          <w:rFonts w:ascii="TimesNewRomanPSMT" w:eastAsia="MS Mincho" w:hAnsi="TimesNewRomanPSMT"/>
          <w:iCs/>
        </w:rPr>
        <w:t xml:space="preserve">Invoice Recipients in full, ERCOT will draw on any Securitization Uplift Charge escrow deposit amounts remaining after all Securitization Uplift Charge Initial Invoices for the short-paying Market Participant have been paid in full, in order to recover remaining unpaid Securitization Uplift Charge Reallocation Invoice amounts.  </w:t>
      </w:r>
    </w:p>
    <w:p w14:paraId="6A92EBB4" w14:textId="77777777" w:rsidR="0025427A" w:rsidRPr="0025427A" w:rsidRDefault="0025427A" w:rsidP="0025427A">
      <w:pPr>
        <w:keepNext/>
        <w:tabs>
          <w:tab w:val="left" w:pos="1080"/>
        </w:tabs>
        <w:spacing w:before="240" w:after="240"/>
        <w:ind w:left="1080" w:hanging="1080"/>
        <w:outlineLvl w:val="2"/>
        <w:rPr>
          <w:b/>
          <w:bCs/>
          <w:i/>
        </w:rPr>
      </w:pPr>
      <w:bookmarkStart w:id="21" w:name="_Toc141428009"/>
      <w:r w:rsidRPr="0025427A">
        <w:rPr>
          <w:b/>
          <w:bCs/>
          <w:i/>
        </w:rPr>
        <w:t>27.4.7</w:t>
      </w:r>
      <w:r w:rsidRPr="0025427A">
        <w:rPr>
          <w:b/>
          <w:bCs/>
          <w:i/>
        </w:rPr>
        <w:tab/>
        <w:t>Enforcing the Financial Security of a Short-Paying Reallocation Invoice Recipient</w:t>
      </w:r>
      <w:bookmarkEnd w:id="21"/>
    </w:p>
    <w:p w14:paraId="21695440" w14:textId="77777777" w:rsidR="0025427A" w:rsidRPr="0025427A" w:rsidRDefault="0025427A" w:rsidP="0025427A">
      <w:pPr>
        <w:spacing w:after="240"/>
        <w:ind w:left="720" w:hanging="720"/>
        <w:rPr>
          <w:rFonts w:eastAsia="MS Mincho"/>
          <w:szCs w:val="24"/>
        </w:rPr>
      </w:pPr>
      <w:r w:rsidRPr="0025427A">
        <w:rPr>
          <w:rFonts w:eastAsia="MS Mincho"/>
          <w:szCs w:val="24"/>
        </w:rPr>
        <w:t>(1)</w:t>
      </w:r>
      <w:r w:rsidRPr="0025427A">
        <w:rPr>
          <w:rFonts w:eastAsia="MS Mincho"/>
          <w:szCs w:val="24"/>
        </w:rPr>
        <w:tab/>
        <w:t>ERCOT shall make reasonable efforts to enforce the Financial Security of the short-paying Securitization Uplift Charge Reallocation Invoice Recipient (pursuant to Section 16.11.6, Payment Breach and Late Payments by Market Participants) to the extent necessary to cover the short-pay.  A short-paying Invoice Recipient shall restore the level of its Financial Security as required under Section 27.5.2, ERCOT Securitization Uplift Charge Initial Invoice Credit Requirements for Counter-Parties.</w:t>
      </w:r>
    </w:p>
    <w:p w14:paraId="60D1D864" w14:textId="77777777" w:rsidR="0025427A" w:rsidRPr="0025427A" w:rsidRDefault="0025427A" w:rsidP="0025427A">
      <w:pPr>
        <w:keepNext/>
        <w:tabs>
          <w:tab w:val="left" w:pos="900"/>
        </w:tabs>
        <w:spacing w:before="240" w:after="240"/>
        <w:ind w:left="900" w:hanging="900"/>
        <w:outlineLvl w:val="1"/>
        <w:rPr>
          <w:b/>
        </w:rPr>
      </w:pPr>
      <w:bookmarkStart w:id="22" w:name="_Toc141428010"/>
      <w:r w:rsidRPr="0025427A">
        <w:rPr>
          <w:b/>
        </w:rPr>
        <w:t>27.5</w:t>
      </w:r>
      <w:r w:rsidRPr="0025427A">
        <w:rPr>
          <w:b/>
        </w:rPr>
        <w:tab/>
        <w:t>Securitization Uplift Charge Initial Invoice Escrow Deposit Requirements</w:t>
      </w:r>
      <w:bookmarkEnd w:id="22"/>
    </w:p>
    <w:p w14:paraId="6D67568F" w14:textId="77777777" w:rsidR="0025427A" w:rsidRPr="0025427A" w:rsidRDefault="0025427A" w:rsidP="0025427A">
      <w:pPr>
        <w:keepNext/>
        <w:tabs>
          <w:tab w:val="left" w:pos="1080"/>
        </w:tabs>
        <w:spacing w:before="240" w:after="240"/>
        <w:ind w:left="1080" w:hanging="1080"/>
        <w:outlineLvl w:val="2"/>
        <w:rPr>
          <w:b/>
          <w:bCs/>
          <w:i/>
        </w:rPr>
      </w:pPr>
      <w:bookmarkStart w:id="23" w:name="_Toc141428011"/>
      <w:r w:rsidRPr="0025427A">
        <w:rPr>
          <w:b/>
          <w:bCs/>
          <w:i/>
        </w:rPr>
        <w:t>27.5.1</w:t>
      </w:r>
      <w:r w:rsidRPr="0025427A">
        <w:rPr>
          <w:b/>
          <w:bCs/>
          <w:i/>
        </w:rPr>
        <w:tab/>
        <w:t>Securitization Uplift Charge Initial Invoice Escrow Deposits</w:t>
      </w:r>
      <w:bookmarkEnd w:id="23"/>
    </w:p>
    <w:p w14:paraId="30708ACF" w14:textId="77777777" w:rsidR="0025427A" w:rsidRPr="0025427A" w:rsidRDefault="0025427A" w:rsidP="0025427A">
      <w:pPr>
        <w:spacing w:after="240"/>
        <w:ind w:left="720" w:hanging="720"/>
        <w:rPr>
          <w:rFonts w:eastAsia="MS Mincho"/>
          <w:bCs/>
          <w:iCs/>
        </w:rPr>
      </w:pPr>
      <w:r w:rsidRPr="0025427A">
        <w:rPr>
          <w:rFonts w:eastAsia="MS Mincho"/>
          <w:bCs/>
          <w:iCs/>
        </w:rPr>
        <w:t>(1)</w:t>
      </w:r>
      <w:r w:rsidRPr="0025427A">
        <w:rPr>
          <w:rFonts w:eastAsia="MS Mincho"/>
          <w:bCs/>
          <w:iCs/>
        </w:rPr>
        <w:tab/>
        <w:t>The term “Securitization Uplift Charge escrow deposit” means the amount required to be deposited with ERCOT in the form of cash or an unconditional, irrevocable letter of credit to be held in escrow for a Market Participant’s obligation to pay Securitization Uplift Charge Initial Invoices.</w:t>
      </w:r>
    </w:p>
    <w:p w14:paraId="6889FF8A" w14:textId="77777777" w:rsidR="0025427A" w:rsidRPr="0025427A" w:rsidRDefault="0025427A" w:rsidP="0025427A">
      <w:pPr>
        <w:spacing w:after="240"/>
        <w:ind w:left="720" w:hanging="720"/>
        <w:rPr>
          <w:rFonts w:eastAsia="MS Mincho"/>
          <w:bCs/>
          <w:iCs/>
        </w:rPr>
      </w:pPr>
      <w:r w:rsidRPr="0025427A">
        <w:rPr>
          <w:rFonts w:eastAsia="MS Mincho"/>
          <w:bCs/>
          <w:iCs/>
        </w:rPr>
        <w:t>(2)</w:t>
      </w:r>
      <w:r w:rsidRPr="0025427A">
        <w:rPr>
          <w:rFonts w:eastAsia="MS Mincho"/>
          <w:bCs/>
          <w:iCs/>
        </w:rPr>
        <w:tab/>
        <w:t xml:space="preserve">Although ERCOT is the servicer for the assessment and collection of Securitization Uplift Charges, by providing escrow deposits pursuant to this Section each Counter-Party grants the Texas Electric Market Stabilization Funding N LLC (TEMSFN) a secured interest in Securitization Uplift Charge escrow deposits to secure its obligation to pay the same. </w:t>
      </w:r>
    </w:p>
    <w:p w14:paraId="111D30E5" w14:textId="77777777" w:rsidR="0025427A" w:rsidRPr="0025427A" w:rsidRDefault="0025427A" w:rsidP="0025427A">
      <w:pPr>
        <w:spacing w:after="240"/>
        <w:ind w:left="720" w:hanging="720"/>
        <w:rPr>
          <w:rFonts w:eastAsia="MS Mincho"/>
          <w:bCs/>
          <w:iCs/>
        </w:rPr>
      </w:pPr>
      <w:r w:rsidRPr="0025427A">
        <w:rPr>
          <w:rFonts w:eastAsia="MS Mincho"/>
          <w:bCs/>
          <w:iCs/>
        </w:rPr>
        <w:t>(3)</w:t>
      </w:r>
      <w:r w:rsidRPr="0025427A">
        <w:rPr>
          <w:rFonts w:eastAsia="MS Mincho"/>
          <w:bCs/>
          <w:iCs/>
        </w:rPr>
        <w:tab/>
        <w:t>The secured interest of TEMSFN is perfected upon a Counter-Party’s deposit of cash or a letter of credit pursuant to this Section.</w:t>
      </w:r>
    </w:p>
    <w:p w14:paraId="27E979EA" w14:textId="77777777" w:rsidR="0025427A" w:rsidRPr="0025427A" w:rsidRDefault="0025427A" w:rsidP="0025427A">
      <w:pPr>
        <w:keepNext/>
        <w:tabs>
          <w:tab w:val="left" w:pos="1080"/>
        </w:tabs>
        <w:spacing w:before="240" w:after="240"/>
        <w:ind w:left="1080" w:hanging="1080"/>
        <w:outlineLvl w:val="2"/>
        <w:rPr>
          <w:b/>
          <w:bCs/>
          <w:i/>
        </w:rPr>
      </w:pPr>
      <w:bookmarkStart w:id="24" w:name="_Toc141428012"/>
      <w:r w:rsidRPr="0025427A">
        <w:rPr>
          <w:b/>
          <w:bCs/>
          <w:i/>
        </w:rPr>
        <w:t>27.5.2</w:t>
      </w:r>
      <w:r w:rsidRPr="0025427A">
        <w:rPr>
          <w:b/>
          <w:bCs/>
          <w:i/>
        </w:rPr>
        <w:tab/>
        <w:t>ERCOT Securitization Uplift Charge Initial Invoice Credit Requirements for Counter-Parties</w:t>
      </w:r>
      <w:bookmarkEnd w:id="24"/>
    </w:p>
    <w:p w14:paraId="42F6CCBE" w14:textId="77777777" w:rsidR="0025427A" w:rsidRPr="0025427A" w:rsidRDefault="0025427A" w:rsidP="0025427A">
      <w:pPr>
        <w:spacing w:after="240"/>
        <w:ind w:left="720" w:hanging="720"/>
        <w:rPr>
          <w:rFonts w:eastAsia="MS Mincho"/>
        </w:rPr>
      </w:pPr>
      <w:r w:rsidRPr="0025427A">
        <w:rPr>
          <w:rFonts w:eastAsia="MS Mincho"/>
        </w:rPr>
        <w:t>(1)</w:t>
      </w:r>
      <w:r w:rsidRPr="0025427A">
        <w:rPr>
          <w:rFonts w:eastAsia="MS Mincho"/>
        </w:rPr>
        <w:tab/>
        <w:t xml:space="preserve">A Counter-Party must, at all times, maintain its Securitization Uplift Charge escrow deposit at </w:t>
      </w:r>
      <w:r w:rsidRPr="0025427A">
        <w:rPr>
          <w:rFonts w:eastAsia="MS Mincho"/>
          <w:bCs/>
          <w:iCs/>
        </w:rPr>
        <w:t>or</w:t>
      </w:r>
      <w:r w:rsidRPr="0025427A">
        <w:rPr>
          <w:rFonts w:eastAsia="MS Mincho"/>
        </w:rPr>
        <w:t xml:space="preserve"> above the amount of its Load-Allocated Securitization Uplift Charge Credit Exposure (LASUCCE), as determined pursuant to Section 27.5.4, Determination of Securitization Uplift Charge Credit Exposure for a Counter-Party.  Each Counter-Party shall maintain any required Securitization Uplift Charge escrow deposit in a form </w:t>
      </w:r>
      <w:r w:rsidRPr="0025427A">
        <w:rPr>
          <w:rFonts w:eastAsia="MS Mincho"/>
        </w:rPr>
        <w:lastRenderedPageBreak/>
        <w:t xml:space="preserve">acceptable to ERCOT in its sole discretion pursuant to Section 27.5.3, </w:t>
      </w:r>
      <w:r w:rsidRPr="0025427A">
        <w:t>Means of Satisfying Securitization Uplift Charge Initial Invoice Credit Requirements,</w:t>
      </w:r>
      <w:r w:rsidRPr="0025427A">
        <w:rPr>
          <w:rFonts w:eastAsia="MS Mincho"/>
        </w:rPr>
        <w:t xml:space="preserve"> below.  </w:t>
      </w:r>
    </w:p>
    <w:p w14:paraId="11195A7C" w14:textId="77777777" w:rsidR="0025427A" w:rsidRPr="0025427A" w:rsidRDefault="0025427A" w:rsidP="0025427A">
      <w:pPr>
        <w:spacing w:after="240"/>
        <w:ind w:left="720" w:hanging="720"/>
        <w:rPr>
          <w:rFonts w:eastAsia="MS Mincho"/>
        </w:rPr>
      </w:pPr>
      <w:r w:rsidRPr="0025427A">
        <w:rPr>
          <w:rFonts w:eastAsia="MS Mincho"/>
        </w:rPr>
        <w:t>(2)</w:t>
      </w:r>
      <w:r w:rsidRPr="0025427A">
        <w:rPr>
          <w:rFonts w:eastAsia="MS Mincho"/>
        </w:rPr>
        <w:tab/>
        <w:t>If at any time the Counter-Party does not meet ERCOT’s LASUCCE requirements, then the Counter-Party will be considered to be in Payment Breach and ERCOT may suspend the Counter-Party’s rights and/or take other action authorized under these Protocols until the Counter-Party meets the LASUCCE requirements.</w:t>
      </w:r>
    </w:p>
    <w:p w14:paraId="14B10923" w14:textId="62475D51" w:rsidR="0025427A" w:rsidRPr="0025427A" w:rsidRDefault="0025427A" w:rsidP="0025427A">
      <w:pPr>
        <w:spacing w:after="240"/>
        <w:ind w:left="720" w:hanging="720"/>
        <w:rPr>
          <w:rFonts w:eastAsia="MS Mincho"/>
        </w:rPr>
      </w:pPr>
      <w:r w:rsidRPr="0025427A">
        <w:rPr>
          <w:rFonts w:eastAsia="MS Mincho"/>
        </w:rPr>
        <w:t>(3)</w:t>
      </w:r>
      <w:r w:rsidRPr="0025427A">
        <w:rPr>
          <w:rFonts w:eastAsia="MS Mincho"/>
        </w:rPr>
        <w:tab/>
        <w:t xml:space="preserve">ERCOT’s failure to suspend a Counter-Party’s rights on any particular occasion does not prevent ERCOT from suspending those rights on any subsequent occasion, including a </w:t>
      </w:r>
      <w:r w:rsidR="0082763E">
        <w:rPr>
          <w:rFonts w:eastAsia="MS Mincho"/>
        </w:rPr>
        <w:t>Congestion Revenue Right (</w:t>
      </w:r>
      <w:r w:rsidRPr="0025427A">
        <w:rPr>
          <w:rFonts w:eastAsia="MS Mincho"/>
        </w:rPr>
        <w:t>CRR</w:t>
      </w:r>
      <w:r w:rsidR="0082763E">
        <w:rPr>
          <w:rFonts w:eastAsia="MS Mincho"/>
        </w:rPr>
        <w:t>)</w:t>
      </w:r>
      <w:r w:rsidRPr="0025427A">
        <w:rPr>
          <w:rFonts w:eastAsia="MS Mincho"/>
        </w:rPr>
        <w:t xml:space="preserve"> Account Holder’s ability to bid on future CRRs or a Qualified Scheduling Entity’s (QSE’s) ability to bid in the Day-Ahead Market (DAM). </w:t>
      </w:r>
    </w:p>
    <w:p w14:paraId="66B83F22" w14:textId="77777777" w:rsidR="0025427A" w:rsidRPr="0025427A" w:rsidRDefault="0025427A" w:rsidP="0025427A">
      <w:pPr>
        <w:keepNext/>
        <w:tabs>
          <w:tab w:val="left" w:pos="1080"/>
        </w:tabs>
        <w:spacing w:before="240" w:after="240"/>
        <w:ind w:left="1080" w:hanging="1080"/>
        <w:outlineLvl w:val="2"/>
        <w:rPr>
          <w:b/>
          <w:bCs/>
          <w:i/>
        </w:rPr>
      </w:pPr>
      <w:bookmarkStart w:id="25" w:name="_Toc141428013"/>
      <w:r w:rsidRPr="0025427A">
        <w:rPr>
          <w:b/>
          <w:bCs/>
          <w:i/>
        </w:rPr>
        <w:t>27.5.3</w:t>
      </w:r>
      <w:r w:rsidRPr="0025427A">
        <w:rPr>
          <w:b/>
          <w:bCs/>
          <w:i/>
        </w:rPr>
        <w:tab/>
        <w:t>Means of Satisfying Securitization Uplift Charge Initial Invoice Credit Requirements</w:t>
      </w:r>
      <w:bookmarkEnd w:id="25"/>
    </w:p>
    <w:p w14:paraId="455AD6C4" w14:textId="77777777" w:rsidR="0025427A" w:rsidRPr="0025427A" w:rsidRDefault="0025427A" w:rsidP="0025427A">
      <w:pPr>
        <w:spacing w:after="240"/>
        <w:ind w:left="702" w:hanging="702"/>
        <w:rPr>
          <w:rFonts w:eastAsia="MS Mincho"/>
        </w:rPr>
      </w:pPr>
      <w:r w:rsidRPr="0025427A">
        <w:rPr>
          <w:rFonts w:eastAsia="MS Mincho"/>
        </w:rPr>
        <w:t>(1)</w:t>
      </w:r>
      <w:r w:rsidRPr="0025427A">
        <w:rPr>
          <w:rFonts w:eastAsia="MS Mincho"/>
        </w:rPr>
        <w:tab/>
        <w:t>If a Counter-Party is required to provide a Securitization Uplift Charge escrow deposit, then it may do so through one or both of the following means:</w:t>
      </w:r>
    </w:p>
    <w:p w14:paraId="48EDE7C2" w14:textId="6D511EA8" w:rsidR="0025427A" w:rsidRPr="0025427A" w:rsidRDefault="0025427A" w:rsidP="0025427A">
      <w:pPr>
        <w:spacing w:after="240"/>
        <w:ind w:left="1440" w:hanging="720"/>
        <w:rPr>
          <w:rFonts w:eastAsia="MS Mincho"/>
        </w:rPr>
      </w:pPr>
      <w:r w:rsidRPr="0025427A">
        <w:rPr>
          <w:rFonts w:eastAsia="MS Mincho"/>
        </w:rPr>
        <w:t>(a)</w:t>
      </w:r>
      <w:r w:rsidRPr="0025427A">
        <w:rPr>
          <w:rFonts w:eastAsia="MS Mincho"/>
        </w:rPr>
        <w:tab/>
        <w:t>The Counter-Party may give an unconditional, irrevocable letter of credit naming TEMSFN as the beneficiary.  ERCOT or the TEMSFN may reject the letter of credit if the issuer is unacceptable to ERCOT or the TEMSFN or if the conditions under which ERCOT or TEMSFN may draw against the letter of credit are unacceptable to ERCOT or TEMSFN.</w:t>
      </w:r>
    </w:p>
    <w:p w14:paraId="69E0CD0C" w14:textId="6512D99D" w:rsidR="0025427A" w:rsidRPr="0025427A" w:rsidRDefault="0025427A" w:rsidP="0025427A">
      <w:pPr>
        <w:spacing w:after="240"/>
        <w:ind w:left="1440" w:hanging="720"/>
        <w:rPr>
          <w:rFonts w:eastAsia="MS Mincho"/>
        </w:rPr>
      </w:pPr>
      <w:r w:rsidRPr="0025427A">
        <w:rPr>
          <w:rFonts w:eastAsia="MS Mincho"/>
        </w:rPr>
        <w:t>(b)</w:t>
      </w:r>
      <w:r w:rsidRPr="0025427A">
        <w:rPr>
          <w:rFonts w:eastAsia="MS Mincho"/>
        </w:rPr>
        <w:tab/>
        <w:t>All letters of credit must be drawn on a U.S. domestic bank or a domestic office of a foreign bank, and must meet the requirements in Section 16.11.3, Alternative Means of Satisfying ERCOT Creditworthiness Requirement</w:t>
      </w:r>
      <w:r w:rsidR="0082763E">
        <w:rPr>
          <w:rFonts w:eastAsia="MS Mincho"/>
        </w:rPr>
        <w:t>s</w:t>
      </w:r>
      <w:r w:rsidRPr="0025427A">
        <w:rPr>
          <w:rFonts w:eastAsia="MS Mincho"/>
        </w:rPr>
        <w:t xml:space="preserve">. </w:t>
      </w:r>
    </w:p>
    <w:p w14:paraId="702741D0" w14:textId="77777777" w:rsidR="0025427A" w:rsidRPr="0025427A" w:rsidRDefault="0025427A" w:rsidP="0025427A">
      <w:pPr>
        <w:spacing w:after="240"/>
        <w:ind w:left="1440" w:hanging="720"/>
        <w:rPr>
          <w:rFonts w:eastAsia="MS Mincho"/>
        </w:rPr>
      </w:pPr>
      <w:r w:rsidRPr="0025427A">
        <w:rPr>
          <w:rFonts w:eastAsia="MS Mincho"/>
        </w:rPr>
        <w:t>(c)</w:t>
      </w:r>
      <w:r w:rsidRPr="0025427A">
        <w:rPr>
          <w:rFonts w:eastAsia="MS Mincho"/>
        </w:rPr>
        <w:tab/>
        <w:t>Letters of credit held as Securitization Uplift Charge escrow deposits are subject to letter of credit issuer limits as specified in paragraph (1) of Section 16.11.3.</w:t>
      </w:r>
    </w:p>
    <w:p w14:paraId="2D14BD74" w14:textId="77777777" w:rsidR="0025427A" w:rsidRPr="0025427A" w:rsidRDefault="0025427A" w:rsidP="0025427A">
      <w:pPr>
        <w:spacing w:after="240"/>
        <w:ind w:left="1440" w:hanging="720"/>
        <w:rPr>
          <w:rFonts w:eastAsia="MS Mincho"/>
        </w:rPr>
      </w:pPr>
      <w:r w:rsidRPr="0025427A">
        <w:rPr>
          <w:rFonts w:eastAsia="MS Mincho"/>
        </w:rPr>
        <w:t>(d)</w:t>
      </w:r>
      <w:r w:rsidRPr="0025427A">
        <w:rPr>
          <w:rFonts w:eastAsia="MS Mincho"/>
        </w:rPr>
        <w:tab/>
        <w:t xml:space="preserve">The Counter-Party may deposit cash with TEMSFN through ERCOT with the understanding that ERCOT may draw part or all of the deposited cash to satisfy any overdue payments owed by the Counter-Party to ERCOT for Securitization Uplift Charges.  The cash deposits may bear interest payable directly to the Counter-Party, but any such arrangements may not restrict ERCOT’s immediate access to the cash.  </w:t>
      </w:r>
    </w:p>
    <w:p w14:paraId="0FB4CC68" w14:textId="77777777" w:rsidR="0025427A" w:rsidRPr="0025427A" w:rsidRDefault="0025427A" w:rsidP="0025427A">
      <w:pPr>
        <w:spacing w:after="240"/>
        <w:ind w:left="2160" w:hanging="720"/>
        <w:rPr>
          <w:rFonts w:eastAsia="MS Mincho"/>
          <w:szCs w:val="24"/>
        </w:rPr>
      </w:pPr>
      <w:r w:rsidRPr="0025427A">
        <w:rPr>
          <w:rFonts w:eastAsia="MS Mincho"/>
          <w:szCs w:val="24"/>
        </w:rPr>
        <w:t>(i)</w:t>
      </w:r>
      <w:r w:rsidRPr="0025427A">
        <w:rPr>
          <w:rFonts w:eastAsia="MS Mincho"/>
          <w:szCs w:val="24"/>
        </w:rPr>
        <w:tab/>
        <w:t>Interest on cash deposited pursuant to this Section will be calculated based on Counter-Party average cash deposit balances.  Interest is not paid on cash deposit balances held by TEMSFN where, in accordance with paragraph (4) of Section 16.11.7, Release of Market Participant’s Financial Security Requirement, the Counter-Party’s Standard Form Market Participant Agreement has been terminated and ERCOT has determined that no obligations for Securitization Uplift Charges remain owing or will become due and payable.</w:t>
      </w:r>
    </w:p>
    <w:p w14:paraId="26126D47" w14:textId="0AAF43AA" w:rsidR="0025427A" w:rsidRPr="0025427A" w:rsidRDefault="0025427A" w:rsidP="0025427A">
      <w:pPr>
        <w:spacing w:after="240"/>
        <w:ind w:left="2160" w:hanging="720"/>
        <w:rPr>
          <w:rFonts w:eastAsia="MS Mincho"/>
          <w:szCs w:val="24"/>
        </w:rPr>
      </w:pPr>
      <w:r w:rsidRPr="0025427A">
        <w:rPr>
          <w:rFonts w:eastAsia="MS Mincho"/>
          <w:szCs w:val="24"/>
        </w:rPr>
        <w:lastRenderedPageBreak/>
        <w:t>(ii)</w:t>
      </w:r>
      <w:r w:rsidRPr="0025427A">
        <w:rPr>
          <w:rFonts w:eastAsia="MS Mincho"/>
          <w:szCs w:val="24"/>
        </w:rPr>
        <w:tab/>
        <w:t xml:space="preserve">Once per year, ERCOT will return interest earned on a Counter-Party’s cash deposits pursuant to this </w:t>
      </w:r>
      <w:r w:rsidR="0082763E">
        <w:rPr>
          <w:rFonts w:eastAsia="MS Mincho"/>
          <w:szCs w:val="24"/>
        </w:rPr>
        <w:t>S</w:t>
      </w:r>
      <w:r w:rsidRPr="0025427A">
        <w:rPr>
          <w:rFonts w:eastAsia="MS Mincho"/>
          <w:szCs w:val="24"/>
        </w:rPr>
        <w:t>ection to the Counter-Party.</w:t>
      </w:r>
    </w:p>
    <w:p w14:paraId="2BF6F8D0" w14:textId="77777777" w:rsidR="0025427A" w:rsidRPr="0025427A" w:rsidRDefault="0025427A" w:rsidP="0025427A">
      <w:pPr>
        <w:spacing w:after="240"/>
        <w:ind w:left="720" w:hanging="720"/>
        <w:rPr>
          <w:rFonts w:eastAsia="MS Mincho"/>
        </w:rPr>
      </w:pPr>
      <w:r w:rsidRPr="0025427A">
        <w:rPr>
          <w:rFonts w:eastAsia="MS Mincho"/>
        </w:rPr>
        <w:t>(2)</w:t>
      </w:r>
      <w:r w:rsidRPr="0025427A">
        <w:rPr>
          <w:rFonts w:eastAsia="MS Mincho"/>
        </w:rPr>
        <w:tab/>
        <w:t xml:space="preserve">Securitization Uplift Charge escrow deposits are held solely for the purpose of collateralizing Securitization Uplift Charge Credit Exposure and shall not be used for any other purpose.  They are independent of and in addition to any other Financial Security obligations of the Counter-Party arising under Section 16.11, Financial Security for Counter-Parties, or Section 26, Securitization Default Charges. </w:t>
      </w:r>
    </w:p>
    <w:p w14:paraId="135A5E89" w14:textId="78ECF10F" w:rsidR="00C56B8F" w:rsidRDefault="00C56B8F" w:rsidP="0025427A">
      <w:pPr>
        <w:spacing w:after="240"/>
        <w:ind w:left="720" w:hanging="720"/>
        <w:rPr>
          <w:rFonts w:eastAsia="MS Mincho"/>
        </w:rPr>
      </w:pPr>
      <w:r w:rsidRPr="00C56B8F">
        <w:rPr>
          <w:rFonts w:eastAsia="MS Mincho"/>
        </w:rPr>
        <w:t>(3)</w:t>
      </w:r>
      <w:r w:rsidRPr="00C56B8F">
        <w:rPr>
          <w:rFonts w:eastAsia="MS Mincho"/>
        </w:rPr>
        <w:tab/>
        <w:t xml:space="preserve">Funds provided for Securitization Uplift Charge escrow deposits must be made to the account designated for Securitization Uplift Charge escrow deposits.  If a payment is not made to the correct account, ERCOT is not responsible for transferring the funds to the correct escrow deposit account. </w:t>
      </w:r>
      <w:r>
        <w:rPr>
          <w:rFonts w:eastAsia="MS Mincho"/>
        </w:rPr>
        <w:t xml:space="preserve"> </w:t>
      </w:r>
      <w:r w:rsidRPr="00C56B8F">
        <w:rPr>
          <w:rFonts w:eastAsia="MS Mincho"/>
        </w:rPr>
        <w:t xml:space="preserve">Failure to remit funds to the correct account by the date and time required will result in a Late Payment and/or Payment </w:t>
      </w:r>
      <w:r w:rsidR="00763B23">
        <w:rPr>
          <w:rFonts w:eastAsia="MS Mincho"/>
        </w:rPr>
        <w:t>B</w:t>
      </w:r>
      <w:r w:rsidRPr="00C56B8F">
        <w:rPr>
          <w:rFonts w:eastAsia="MS Mincho"/>
        </w:rPr>
        <w:t>reach.</w:t>
      </w:r>
    </w:p>
    <w:p w14:paraId="3CB409FF" w14:textId="5C11F9E8" w:rsidR="0025427A" w:rsidRPr="0025427A" w:rsidRDefault="0025427A" w:rsidP="0025427A">
      <w:pPr>
        <w:spacing w:after="240"/>
        <w:ind w:left="720" w:hanging="720"/>
        <w:rPr>
          <w:rFonts w:eastAsia="MS Mincho"/>
        </w:rPr>
      </w:pPr>
      <w:r w:rsidRPr="0025427A">
        <w:rPr>
          <w:rFonts w:eastAsia="MS Mincho"/>
        </w:rPr>
        <w:t>(</w:t>
      </w:r>
      <w:r w:rsidR="00C56B8F">
        <w:rPr>
          <w:rFonts w:eastAsia="MS Mincho"/>
        </w:rPr>
        <w:t>4</w:t>
      </w:r>
      <w:r w:rsidRPr="0025427A">
        <w:rPr>
          <w:rFonts w:eastAsia="MS Mincho"/>
        </w:rPr>
        <w:t>)</w:t>
      </w:r>
      <w:r w:rsidRPr="0025427A">
        <w:rPr>
          <w:rFonts w:eastAsia="MS Mincho"/>
        </w:rPr>
        <w:tab/>
        <w:t>A Counter-Party with excess cash with respect to Securitization Uplift Charge escrow deposit requirements may request ERCOT to return some or all of the excess cash to the Counter-Party.</w:t>
      </w:r>
    </w:p>
    <w:p w14:paraId="61F04B95" w14:textId="38AD2242" w:rsidR="0025427A" w:rsidRPr="0025427A" w:rsidRDefault="0025427A" w:rsidP="0025427A">
      <w:pPr>
        <w:spacing w:after="240"/>
        <w:ind w:left="720" w:hanging="720"/>
        <w:rPr>
          <w:rFonts w:eastAsia="MS Mincho"/>
        </w:rPr>
      </w:pPr>
      <w:r w:rsidRPr="0025427A">
        <w:rPr>
          <w:rFonts w:eastAsia="MS Mincho"/>
        </w:rPr>
        <w:t>(</w:t>
      </w:r>
      <w:r w:rsidR="00C56B8F">
        <w:rPr>
          <w:rFonts w:eastAsia="MS Mincho"/>
        </w:rPr>
        <w:t>5</w:t>
      </w:r>
      <w:r w:rsidRPr="0025427A">
        <w:rPr>
          <w:rFonts w:eastAsia="MS Mincho"/>
        </w:rPr>
        <w:t>)</w:t>
      </w:r>
      <w:r w:rsidRPr="0025427A">
        <w:rPr>
          <w:rFonts w:eastAsia="MS Mincho"/>
        </w:rPr>
        <w:tab/>
        <w:t>Securitization Uplift Charge escrow deposits will not be used to pay periodic Securitization Uplift Charge Initial Invoices unless there is an insufficient payment by the Invoice Recipient, in accordance with Section 27.4.4</w:t>
      </w:r>
      <w:r w:rsidR="0082763E">
        <w:rPr>
          <w:rFonts w:eastAsia="MS Mincho"/>
        </w:rPr>
        <w:t xml:space="preserve">, </w:t>
      </w:r>
      <w:r w:rsidR="0082763E" w:rsidRPr="0082763E">
        <w:rPr>
          <w:rFonts w:eastAsia="MS Mincho"/>
        </w:rPr>
        <w:t>Insufficient Payments by Invoice Recipients for Securitization Uplift Charge Initial Invoices</w:t>
      </w:r>
      <w:r w:rsidRPr="0025427A">
        <w:rPr>
          <w:rFonts w:eastAsia="MS Mincho"/>
        </w:rPr>
        <w:t>.</w:t>
      </w:r>
    </w:p>
    <w:p w14:paraId="5A908C10" w14:textId="650803CF" w:rsidR="0025427A" w:rsidRPr="0025427A" w:rsidRDefault="0025427A" w:rsidP="0025427A">
      <w:pPr>
        <w:tabs>
          <w:tab w:val="left" w:pos="720"/>
        </w:tabs>
        <w:spacing w:after="240"/>
        <w:ind w:left="720" w:hanging="720"/>
        <w:rPr>
          <w:rFonts w:eastAsia="MS Mincho"/>
        </w:rPr>
      </w:pPr>
      <w:r w:rsidRPr="0025427A">
        <w:rPr>
          <w:rFonts w:eastAsia="MS Mincho"/>
        </w:rPr>
        <w:t>(</w:t>
      </w:r>
      <w:r w:rsidR="00C56B8F">
        <w:rPr>
          <w:rFonts w:eastAsia="MS Mincho"/>
        </w:rPr>
        <w:t>6</w:t>
      </w:r>
      <w:r w:rsidRPr="0025427A">
        <w:rPr>
          <w:rFonts w:eastAsia="MS Mincho"/>
        </w:rPr>
        <w:t>)</w:t>
      </w:r>
      <w:r w:rsidRPr="0025427A">
        <w:rPr>
          <w:rFonts w:eastAsia="MS Mincho"/>
        </w:rPr>
        <w:tab/>
        <w:t>Cash collateral posted in accordance with Section 16.11.3 may be used to pay Securitization Uplift Charge Reallocation Invoices.</w:t>
      </w:r>
    </w:p>
    <w:p w14:paraId="765A2218" w14:textId="7F870120" w:rsidR="0025427A" w:rsidRPr="0025427A" w:rsidRDefault="0025427A" w:rsidP="0025427A">
      <w:pPr>
        <w:tabs>
          <w:tab w:val="left" w:pos="720"/>
        </w:tabs>
        <w:spacing w:after="240"/>
        <w:ind w:left="720" w:hanging="720"/>
        <w:rPr>
          <w:rFonts w:eastAsia="MS Mincho"/>
        </w:rPr>
      </w:pPr>
      <w:r w:rsidRPr="0025427A">
        <w:rPr>
          <w:rFonts w:eastAsia="MS Mincho"/>
        </w:rPr>
        <w:t>(</w:t>
      </w:r>
      <w:r w:rsidR="00C56B8F">
        <w:rPr>
          <w:rFonts w:eastAsia="MS Mincho"/>
        </w:rPr>
        <w:t>7</w:t>
      </w:r>
      <w:r w:rsidRPr="0025427A">
        <w:rPr>
          <w:rFonts w:eastAsia="MS Mincho"/>
        </w:rPr>
        <w:t>)</w:t>
      </w:r>
      <w:r w:rsidRPr="0025427A">
        <w:rPr>
          <w:rFonts w:eastAsia="MS Mincho"/>
        </w:rPr>
        <w:tab/>
        <w:t>Securitization Uplift Charge escrow deposits in excess of the Securitization Uplift Charge Credit Exposure requirement shall not be used to cover insufficient payments of Settlement Invoices for:</w:t>
      </w:r>
    </w:p>
    <w:p w14:paraId="7ADADC37" w14:textId="77777777" w:rsidR="0025427A" w:rsidRPr="0025427A" w:rsidRDefault="0025427A" w:rsidP="0025427A">
      <w:pPr>
        <w:spacing w:after="240"/>
        <w:ind w:left="1440" w:hanging="720"/>
        <w:rPr>
          <w:rFonts w:eastAsia="MS Mincho"/>
        </w:rPr>
      </w:pPr>
      <w:r w:rsidRPr="0025427A">
        <w:rPr>
          <w:rFonts w:eastAsia="MS Mincho"/>
        </w:rPr>
        <w:t>(a)</w:t>
      </w:r>
      <w:r w:rsidRPr="0025427A">
        <w:rPr>
          <w:rFonts w:eastAsia="MS Mincho"/>
        </w:rPr>
        <w:tab/>
        <w:t>ERCOT market activities under Section 9.19, Partial Payments by Invoice Recipients;</w:t>
      </w:r>
    </w:p>
    <w:p w14:paraId="393F2098" w14:textId="77777777" w:rsidR="0025427A" w:rsidRPr="0025427A" w:rsidRDefault="0025427A" w:rsidP="0025427A">
      <w:pPr>
        <w:spacing w:after="240"/>
        <w:ind w:left="1440" w:hanging="720"/>
        <w:rPr>
          <w:rFonts w:eastAsia="MS Mincho"/>
        </w:rPr>
      </w:pPr>
      <w:r w:rsidRPr="0025427A">
        <w:rPr>
          <w:rFonts w:eastAsia="MS Mincho"/>
        </w:rPr>
        <w:t>(b)</w:t>
      </w:r>
      <w:r w:rsidRPr="0025427A">
        <w:rPr>
          <w:rFonts w:eastAsia="MS Mincho"/>
        </w:rPr>
        <w:tab/>
        <w:t>Requests for additional Financial Security made in accordance with paragraph (6) of Section 16.11.5, Monitoring of a Counter-Party’s Creditworthiness and Credit Exposure by ERCOT;</w:t>
      </w:r>
    </w:p>
    <w:p w14:paraId="45D22F60" w14:textId="5C717A71" w:rsidR="0025427A" w:rsidRPr="0025427A" w:rsidRDefault="0025427A" w:rsidP="0025427A">
      <w:pPr>
        <w:spacing w:after="240"/>
        <w:ind w:left="1440" w:hanging="720"/>
        <w:rPr>
          <w:rFonts w:eastAsia="MS Mincho"/>
        </w:rPr>
      </w:pPr>
      <w:r w:rsidRPr="0025427A">
        <w:rPr>
          <w:rFonts w:eastAsia="MS Mincho"/>
        </w:rPr>
        <w:t>(c)</w:t>
      </w:r>
      <w:r w:rsidRPr="0025427A">
        <w:rPr>
          <w:rFonts w:eastAsia="MS Mincho"/>
        </w:rPr>
        <w:tab/>
        <w:t>Insufficient payments of Securitization Default Charge Invoices under Section 26.3.1.2, Insufficient Payments by Invoice Recipients for Securitization Default Charge</w:t>
      </w:r>
      <w:r w:rsidR="005F61C9">
        <w:rPr>
          <w:rFonts w:eastAsia="MS Mincho"/>
        </w:rPr>
        <w:t xml:space="preserve"> Invoices</w:t>
      </w:r>
      <w:r w:rsidR="0082763E">
        <w:rPr>
          <w:rFonts w:eastAsia="MS Mincho"/>
        </w:rPr>
        <w:t>;</w:t>
      </w:r>
      <w:r w:rsidRPr="0025427A">
        <w:rPr>
          <w:rFonts w:eastAsia="MS Mincho"/>
        </w:rPr>
        <w:t xml:space="preserve"> or</w:t>
      </w:r>
    </w:p>
    <w:p w14:paraId="2B704CA5" w14:textId="77777777" w:rsidR="0025427A" w:rsidRPr="0025427A" w:rsidRDefault="0025427A" w:rsidP="0025427A">
      <w:pPr>
        <w:spacing w:after="240"/>
        <w:ind w:left="1440" w:hanging="720"/>
        <w:rPr>
          <w:rFonts w:eastAsia="MS Mincho"/>
        </w:rPr>
      </w:pPr>
      <w:r w:rsidRPr="0025427A">
        <w:rPr>
          <w:rFonts w:eastAsia="MS Mincho"/>
        </w:rPr>
        <w:t>(d)</w:t>
      </w:r>
      <w:r w:rsidRPr="0025427A">
        <w:rPr>
          <w:rFonts w:eastAsia="MS Mincho"/>
        </w:rPr>
        <w:tab/>
        <w:t>Requests for Securitization Default Charge Escrow Deposits under Section 26.5, Securitization Default Charge Escrow Deposit Requirements.</w:t>
      </w:r>
    </w:p>
    <w:p w14:paraId="0E391675" w14:textId="77777777" w:rsidR="0025427A" w:rsidRPr="0025427A" w:rsidRDefault="0025427A" w:rsidP="0025427A">
      <w:pPr>
        <w:keepNext/>
        <w:tabs>
          <w:tab w:val="left" w:pos="1080"/>
        </w:tabs>
        <w:spacing w:before="240" w:after="240"/>
        <w:ind w:left="1080" w:hanging="1080"/>
        <w:outlineLvl w:val="2"/>
        <w:rPr>
          <w:b/>
          <w:bCs/>
          <w:i/>
        </w:rPr>
      </w:pPr>
      <w:bookmarkStart w:id="26" w:name="_Toc141428014"/>
      <w:r w:rsidRPr="0025427A">
        <w:rPr>
          <w:b/>
          <w:bCs/>
          <w:i/>
        </w:rPr>
        <w:lastRenderedPageBreak/>
        <w:t>27.5.4</w:t>
      </w:r>
      <w:r w:rsidRPr="0025427A">
        <w:rPr>
          <w:b/>
          <w:bCs/>
          <w:i/>
        </w:rPr>
        <w:tab/>
        <w:t>Determination of Securitization Uplift Charge Credit Exposure for a Counter-Party</w:t>
      </w:r>
      <w:bookmarkEnd w:id="26"/>
    </w:p>
    <w:p w14:paraId="3F1F490A" w14:textId="77777777" w:rsidR="0025427A" w:rsidRPr="0025427A" w:rsidRDefault="0025427A" w:rsidP="0025427A">
      <w:pPr>
        <w:spacing w:after="240"/>
        <w:ind w:left="720" w:hanging="720"/>
        <w:rPr>
          <w:rFonts w:eastAsia="MS Mincho"/>
        </w:rPr>
      </w:pPr>
      <w:r w:rsidRPr="0025427A">
        <w:rPr>
          <w:rFonts w:eastAsia="MS Mincho"/>
        </w:rPr>
        <w:t>(1)</w:t>
      </w:r>
      <w:r w:rsidRPr="0025427A">
        <w:rPr>
          <w:rFonts w:eastAsia="MS Mincho"/>
        </w:rPr>
        <w:tab/>
        <w:t xml:space="preserve">For each Counter-Party, ERCOT shall calculate the </w:t>
      </w:r>
      <w:bookmarkStart w:id="27" w:name="_Hlk90050456"/>
      <w:r w:rsidRPr="0025427A">
        <w:rPr>
          <w:rFonts w:eastAsia="MS Mincho"/>
        </w:rPr>
        <w:t xml:space="preserve">Securitization Uplift Charge Credit Exposure </w:t>
      </w:r>
      <w:bookmarkEnd w:id="27"/>
      <w:r w:rsidRPr="0025427A">
        <w:rPr>
          <w:rFonts w:eastAsia="MS Mincho"/>
        </w:rPr>
        <w:t>for Securitization Uplift Charge Initial Invoices as follows:</w:t>
      </w:r>
    </w:p>
    <w:p w14:paraId="2E41E9DD" w14:textId="458B9C8C" w:rsidR="0025427A" w:rsidRPr="0025427A" w:rsidRDefault="0025427A" w:rsidP="0025427A">
      <w:pPr>
        <w:spacing w:after="240"/>
        <w:ind w:left="1440" w:hanging="720"/>
        <w:rPr>
          <w:rFonts w:eastAsia="MS Mincho"/>
        </w:rPr>
      </w:pPr>
      <w:r w:rsidRPr="0025427A">
        <w:rPr>
          <w:rFonts w:eastAsia="MS Mincho"/>
        </w:rPr>
        <w:t xml:space="preserve">LASUCCE </w:t>
      </w:r>
      <w:r w:rsidRPr="0025427A">
        <w:rPr>
          <w:rFonts w:eastAsia="MS Mincho"/>
          <w:i/>
          <w:sz w:val="20"/>
          <w:vertAlign w:val="subscript"/>
        </w:rPr>
        <w:t xml:space="preserve">cp </w:t>
      </w:r>
      <w:r w:rsidRPr="0025427A">
        <w:rPr>
          <w:rFonts w:eastAsia="MS Mincho"/>
          <w:sz w:val="20"/>
          <w:vertAlign w:val="subscript"/>
        </w:rPr>
        <w:t xml:space="preserve"> </w:t>
      </w:r>
      <w:r w:rsidRPr="0025427A">
        <w:rPr>
          <w:rFonts w:eastAsia="MS Mincho"/>
        </w:rPr>
        <w:t xml:space="preserve">=  </w:t>
      </w:r>
      <w:r w:rsidRPr="0025427A">
        <w:rPr>
          <w:rFonts w:eastAsia="MS Mincho"/>
          <w:vertAlign w:val="subscript"/>
        </w:rPr>
        <w:t xml:space="preserve">  </w:t>
      </w:r>
      <m:oMath>
        <m:nary>
          <m:naryPr>
            <m:chr m:val="∑"/>
            <m:limLoc m:val="undOvr"/>
            <m:ctrlPr>
              <w:rPr>
                <w:rFonts w:ascii="Cambria Math" w:eastAsia="MS Mincho" w:hAnsi="Cambria Math"/>
                <w:i/>
                <w:iCs/>
                <w:szCs w:val="24"/>
              </w:rPr>
            </m:ctrlPr>
          </m:naryPr>
          <m:sub>
            <m:r>
              <w:rPr>
                <w:rFonts w:ascii="Cambria Math" w:eastAsia="MS Mincho" w:hAnsi="Cambria Math"/>
              </w:rPr>
              <m:t>fmu=1</m:t>
            </m:r>
          </m:sub>
          <m:sup>
            <m:r>
              <w:rPr>
                <w:rFonts w:ascii="Cambria Math" w:eastAsia="MS Mincho" w:hAnsi="Cambria Math"/>
              </w:rPr>
              <m:t>nfmu</m:t>
            </m:r>
          </m:sup>
          <m:e>
            <m:r>
              <w:rPr>
                <w:rFonts w:ascii="Cambria Math" w:eastAsia="MS Mincho" w:hAnsi="Cambria Math"/>
                <w:szCs w:val="24"/>
              </w:rPr>
              <m:t>(</m:t>
            </m:r>
          </m:e>
        </m:nary>
      </m:oMath>
      <w:r w:rsidR="00C56B8F">
        <w:rPr>
          <w:iCs/>
        </w:rPr>
        <w:t>Max (</w:t>
      </w:r>
      <w:r w:rsidRPr="0025427A">
        <w:rPr>
          <w:rFonts w:eastAsia="MS Mincho"/>
        </w:rPr>
        <w:t xml:space="preserve">CPMQSELSELRS </w:t>
      </w:r>
      <w:r w:rsidRPr="0025427A">
        <w:rPr>
          <w:rFonts w:eastAsia="MS Mincho"/>
          <w:i/>
          <w:vertAlign w:val="subscript"/>
        </w:rPr>
        <w:t>cp, om, las</w:t>
      </w:r>
      <w:r w:rsidR="00C56B8F">
        <w:rPr>
          <w:i/>
        </w:rPr>
        <w:t>,</w:t>
      </w:r>
      <w:r w:rsidR="00C56B8F">
        <w:rPr>
          <w:iCs/>
        </w:rPr>
        <w:t xml:space="preserve"> CPIEMLSELRS </w:t>
      </w:r>
      <w:r w:rsidR="00C56B8F">
        <w:rPr>
          <w:i/>
          <w:vertAlign w:val="subscript"/>
        </w:rPr>
        <w:t>cp</w:t>
      </w:r>
      <w:r w:rsidR="00C56B8F">
        <w:rPr>
          <w:iCs/>
        </w:rPr>
        <w:t xml:space="preserve"> up to 40 days after</w:t>
      </w:r>
      <w:r w:rsidR="00C56B8F" w:rsidRPr="001700EC">
        <w:rPr>
          <w:iCs/>
        </w:rPr>
        <w:t xml:space="preserve"> the</w:t>
      </w:r>
      <w:r w:rsidR="00C56B8F">
        <w:rPr>
          <w:iCs/>
        </w:rPr>
        <w:t xml:space="preserve"> operating month in which</w:t>
      </w:r>
      <w:r w:rsidR="00C56B8F" w:rsidRPr="001700EC">
        <w:rPr>
          <w:iCs/>
        </w:rPr>
        <w:t xml:space="preserve"> </w:t>
      </w:r>
      <w:r w:rsidR="00C56B8F">
        <w:rPr>
          <w:iCs/>
        </w:rPr>
        <w:t xml:space="preserve">a </w:t>
      </w:r>
      <w:bookmarkStart w:id="28" w:name="_Hlk95202831"/>
      <w:r w:rsidR="00C56B8F" w:rsidRPr="001700EC">
        <w:rPr>
          <w:iCs/>
        </w:rPr>
        <w:t>non-opted-out</w:t>
      </w:r>
      <w:bookmarkEnd w:id="28"/>
      <w:r w:rsidR="00C56B8F" w:rsidRPr="001700EC">
        <w:rPr>
          <w:iCs/>
        </w:rPr>
        <w:t xml:space="preserve"> Counter-Party</w:t>
      </w:r>
      <w:r w:rsidR="00FE1658" w:rsidRPr="001700EC">
        <w:rPr>
          <w:iCs/>
        </w:rPr>
        <w:t xml:space="preserve"> </w:t>
      </w:r>
      <w:r w:rsidR="00FE1658">
        <w:rPr>
          <w:iCs/>
        </w:rPr>
        <w:t xml:space="preserve">Load Serving Entity (LSE) </w:t>
      </w:r>
      <w:r w:rsidR="00FE1658" w:rsidRPr="001700EC">
        <w:rPr>
          <w:iCs/>
        </w:rPr>
        <w:t xml:space="preserve">commences </w:t>
      </w:r>
      <w:r w:rsidR="00FE1658">
        <w:rPr>
          <w:iCs/>
        </w:rPr>
        <w:t xml:space="preserve">having </w:t>
      </w:r>
      <w:r w:rsidR="00FE1658" w:rsidRPr="000B336B">
        <w:rPr>
          <w:iCs/>
        </w:rPr>
        <w:t>Real-Time Adjusted Metered Load</w:t>
      </w:r>
      <w:r w:rsidR="00FE1658">
        <w:rPr>
          <w:iCs/>
        </w:rPr>
        <w:t xml:space="preserve"> (AML)</w:t>
      </w:r>
      <w:r w:rsidR="00C56B8F">
        <w:rPr>
          <w:iCs/>
        </w:rPr>
        <w:t>)</w:t>
      </w:r>
      <w:r w:rsidRPr="0025427A">
        <w:rPr>
          <w:rFonts w:eastAsia="MS Mincho"/>
          <w:vertAlign w:val="subscript"/>
        </w:rPr>
        <w:t xml:space="preserve"> </w:t>
      </w:r>
      <w:r w:rsidRPr="0025427A">
        <w:rPr>
          <w:rFonts w:eastAsia="MS Mincho"/>
          <w:vertAlign w:val="superscript"/>
        </w:rPr>
        <w:t>*</w:t>
      </w:r>
      <w:r w:rsidRPr="0025427A">
        <w:rPr>
          <w:rFonts w:eastAsia="MS Mincho"/>
        </w:rPr>
        <w:t xml:space="preserve"> MTSUCDA </w:t>
      </w:r>
      <w:r w:rsidRPr="0025427A">
        <w:rPr>
          <w:rFonts w:eastAsia="MS Mincho"/>
          <w:i/>
          <w:vertAlign w:val="subscript"/>
        </w:rPr>
        <w:t>fmu</w:t>
      </w:r>
      <w:r w:rsidRPr="0025427A">
        <w:rPr>
          <w:rFonts w:eastAsia="MS Mincho"/>
        </w:rPr>
        <w:t xml:space="preserve">) </w:t>
      </w:r>
    </w:p>
    <w:p w14:paraId="31B585F9" w14:textId="180178E9" w:rsidR="0025427A" w:rsidRPr="0025427A" w:rsidRDefault="0025427A" w:rsidP="0025427A">
      <w:pPr>
        <w:spacing w:after="240"/>
        <w:ind w:left="1440" w:hanging="720"/>
        <w:rPr>
          <w:rFonts w:eastAsia="MS Mincho"/>
          <w:iCs/>
        </w:rPr>
      </w:pPr>
      <w:r w:rsidRPr="0025427A">
        <w:rPr>
          <w:rFonts w:eastAsia="MS Mincho"/>
        </w:rPr>
        <w:t xml:space="preserve">CPMQSELSELRS </w:t>
      </w:r>
      <w:r w:rsidRPr="0025427A">
        <w:rPr>
          <w:rFonts w:eastAsia="MS Mincho"/>
          <w:i/>
          <w:vertAlign w:val="subscript"/>
        </w:rPr>
        <w:t>cp, om, las</w:t>
      </w:r>
      <w:r w:rsidRPr="0025427A">
        <w:rPr>
          <w:rFonts w:eastAsia="MS Mincho"/>
          <w:iCs/>
        </w:rPr>
        <w:t xml:space="preserve"> = </w:t>
      </w:r>
      <m:oMath>
        <m:nary>
          <m:naryPr>
            <m:chr m:val="∑"/>
            <m:limLoc m:val="subSup"/>
            <m:supHide m:val="1"/>
            <m:ctrlPr>
              <w:rPr>
                <w:rFonts w:ascii="Cambria Math" w:eastAsia="MS Mincho" w:hAnsi="Cambria Math"/>
                <w:i/>
                <w:iCs/>
              </w:rPr>
            </m:ctrlPr>
          </m:naryPr>
          <m:sub>
            <m:r>
              <w:rPr>
                <w:rFonts w:ascii="Cambria Math" w:eastAsia="MS Mincho" w:hAnsi="Cambria Math"/>
              </w:rPr>
              <m:t>q</m:t>
            </m:r>
          </m:sub>
          <m:sup/>
          <m:e>
            <m:r>
              <w:rPr>
                <w:rFonts w:ascii="Cambria Math" w:eastAsia="MS Mincho" w:hAnsi="Cambria Math"/>
              </w:rPr>
              <m:t>(</m:t>
            </m:r>
          </m:e>
        </m:nary>
      </m:oMath>
      <w:r w:rsidRPr="0025427A">
        <w:rPr>
          <w:rFonts w:eastAsia="MS Mincho"/>
          <w:iCs/>
        </w:rPr>
        <w:t xml:space="preserve">MQSELSELRS </w:t>
      </w:r>
      <w:r w:rsidRPr="0025427A">
        <w:rPr>
          <w:rFonts w:eastAsia="MS Mincho"/>
          <w:i/>
          <w:iCs/>
          <w:vertAlign w:val="subscript"/>
        </w:rPr>
        <w:t>q, om</w:t>
      </w:r>
      <w:r w:rsidRPr="0025427A">
        <w:rPr>
          <w:rFonts w:eastAsia="MS Mincho"/>
          <w:iCs/>
        </w:rPr>
        <w:t>)</w:t>
      </w:r>
    </w:p>
    <w:p w14:paraId="0212FE3E" w14:textId="5B7B9EA8" w:rsidR="00C56B8F" w:rsidRDefault="00C56B8F" w:rsidP="00C56B8F">
      <w:pPr>
        <w:pStyle w:val="BodyTextNumbered"/>
        <w:ind w:left="1440"/>
        <w:rPr>
          <w:iCs/>
        </w:rPr>
      </w:pPr>
      <w:bookmarkStart w:id="29" w:name="_Hlk95308285"/>
      <w:r>
        <w:rPr>
          <w:iCs/>
        </w:rPr>
        <w:t>CPIEMLSELRS</w:t>
      </w:r>
      <w:bookmarkEnd w:id="29"/>
      <w:r>
        <w:rPr>
          <w:iCs/>
        </w:rPr>
        <w:t xml:space="preserve"> </w:t>
      </w:r>
      <w:r w:rsidRPr="00CA6ABD">
        <w:rPr>
          <w:i/>
          <w:szCs w:val="24"/>
          <w:vertAlign w:val="subscript"/>
        </w:rPr>
        <w:t>cp</w:t>
      </w:r>
      <w:r>
        <w:rPr>
          <w:iCs/>
        </w:rPr>
        <w:t xml:space="preserve"> = </w:t>
      </w:r>
      <w:r w:rsidRPr="00856A17">
        <w:rPr>
          <w:iCs/>
        </w:rPr>
        <w:t>CPIEMLSE</w:t>
      </w:r>
      <w:r>
        <w:rPr>
          <w:iCs/>
        </w:rPr>
        <w:t xml:space="preserve"> </w:t>
      </w:r>
      <w:r w:rsidRPr="00CA6ABD">
        <w:rPr>
          <w:i/>
          <w:szCs w:val="24"/>
          <w:vertAlign w:val="subscript"/>
        </w:rPr>
        <w:t>cp</w:t>
      </w:r>
      <w:r>
        <w:rPr>
          <w:iCs/>
        </w:rPr>
        <w:t xml:space="preserve"> / (</w:t>
      </w:r>
      <w:r w:rsidRPr="00AD27A9">
        <w:rPr>
          <w:iCs/>
        </w:rPr>
        <w:t>M</w:t>
      </w:r>
      <w:r>
        <w:rPr>
          <w:iCs/>
        </w:rPr>
        <w:t>ERCOT</w:t>
      </w:r>
      <w:r w:rsidRPr="00AD27A9">
        <w:rPr>
          <w:iCs/>
        </w:rPr>
        <w:t>QSELSERTAML</w:t>
      </w:r>
      <w:r>
        <w:rPr>
          <w:iCs/>
        </w:rPr>
        <w:t xml:space="preserve"> </w:t>
      </w:r>
      <w:r w:rsidRPr="00CA6ABD">
        <w:rPr>
          <w:i/>
          <w:szCs w:val="24"/>
          <w:vertAlign w:val="subscript"/>
        </w:rPr>
        <w:t>om</w:t>
      </w:r>
      <w:r>
        <w:rPr>
          <w:iCs/>
        </w:rPr>
        <w:t xml:space="preserve"> + </w:t>
      </w:r>
      <w:bookmarkStart w:id="30" w:name="_Hlk95308321"/>
      <w:r>
        <w:rPr>
          <w:iCs/>
        </w:rPr>
        <w:t>CPIEMLSE</w:t>
      </w:r>
      <w:bookmarkEnd w:id="30"/>
      <w:r>
        <w:rPr>
          <w:iCs/>
        </w:rPr>
        <w:t xml:space="preserve"> </w:t>
      </w:r>
      <w:r>
        <w:rPr>
          <w:i/>
          <w:vertAlign w:val="subscript"/>
        </w:rPr>
        <w:t>cp</w:t>
      </w:r>
      <w:r>
        <w:rPr>
          <w:iCs/>
        </w:rPr>
        <w:t>)</w:t>
      </w:r>
    </w:p>
    <w:p w14:paraId="1BE16E43" w14:textId="77777777" w:rsidR="0025427A" w:rsidRPr="0025427A" w:rsidRDefault="0025427A" w:rsidP="0025427A">
      <w:pPr>
        <w:spacing w:after="240"/>
        <w:ind w:left="1440" w:hanging="720"/>
        <w:rPr>
          <w:rFonts w:eastAsia="MS Mincho"/>
          <w:iCs/>
        </w:rPr>
      </w:pPr>
      <w:r w:rsidRPr="0025427A">
        <w:rPr>
          <w:rFonts w:eastAsia="MS Mincho"/>
          <w:iCs/>
        </w:rPr>
        <w:t xml:space="preserve">MQSELSELRS </w:t>
      </w:r>
      <w:r w:rsidRPr="0025427A">
        <w:rPr>
          <w:rFonts w:eastAsia="MS Mincho"/>
          <w:i/>
          <w:iCs/>
          <w:vertAlign w:val="subscript"/>
        </w:rPr>
        <w:t>q, om</w:t>
      </w:r>
      <w:r w:rsidRPr="0025427A">
        <w:rPr>
          <w:rFonts w:eastAsia="MS Mincho"/>
        </w:rPr>
        <w:t xml:space="preserve"> = </w:t>
      </w:r>
      <w:r w:rsidRPr="0025427A">
        <w:rPr>
          <w:rFonts w:eastAsia="MS Mincho"/>
          <w:iCs/>
        </w:rPr>
        <w:t xml:space="preserve">MQSELSERTAML </w:t>
      </w:r>
      <w:r w:rsidRPr="0025427A">
        <w:rPr>
          <w:rFonts w:eastAsia="MS Mincho"/>
          <w:i/>
          <w:vertAlign w:val="subscript"/>
        </w:rPr>
        <w:t>q, om</w:t>
      </w:r>
      <w:r w:rsidRPr="0025427A">
        <w:rPr>
          <w:rFonts w:eastAsia="MS Mincho"/>
          <w:iCs/>
        </w:rPr>
        <w:t xml:space="preserve"> / MERCOTQSELSERTAML </w:t>
      </w:r>
      <w:r w:rsidRPr="0025427A">
        <w:rPr>
          <w:rFonts w:eastAsia="MS Mincho"/>
          <w:i/>
          <w:vertAlign w:val="subscript"/>
        </w:rPr>
        <w:t>om</w:t>
      </w:r>
    </w:p>
    <w:p w14:paraId="324FBAC9" w14:textId="6B5B1678" w:rsidR="0025427A" w:rsidRPr="0025427A" w:rsidRDefault="0025427A" w:rsidP="0025427A">
      <w:pPr>
        <w:spacing w:after="240"/>
        <w:ind w:firstLine="720"/>
        <w:rPr>
          <w:rFonts w:eastAsia="MS Mincho"/>
          <w:iCs/>
          <w:szCs w:val="24"/>
        </w:rPr>
      </w:pPr>
      <w:r w:rsidRPr="0025427A">
        <w:rPr>
          <w:rFonts w:eastAsia="MS Mincho"/>
          <w:iCs/>
          <w:szCs w:val="24"/>
        </w:rPr>
        <w:t xml:space="preserve">MQSELSERTAML </w:t>
      </w:r>
      <w:r w:rsidRPr="0025427A">
        <w:rPr>
          <w:rFonts w:eastAsia="MS Mincho"/>
          <w:i/>
          <w:szCs w:val="24"/>
          <w:vertAlign w:val="subscript"/>
        </w:rPr>
        <w:t>q, om</w:t>
      </w:r>
      <w:r w:rsidRPr="0025427A">
        <w:rPr>
          <w:rFonts w:eastAsia="MS Mincho"/>
          <w:iCs/>
          <w:szCs w:val="24"/>
        </w:rPr>
        <w:t xml:space="preserve"> = </w:t>
      </w:r>
      <m:oMath>
        <m:nary>
          <m:naryPr>
            <m:chr m:val="∑"/>
            <m:limLoc m:val="subSup"/>
            <m:supHide m:val="1"/>
            <m:ctrlPr>
              <w:rPr>
                <w:rFonts w:ascii="Cambria Math" w:eastAsia="MS Mincho" w:hAnsi="Cambria Math"/>
                <w:i/>
                <w:iCs/>
                <w:szCs w:val="24"/>
              </w:rPr>
            </m:ctrlPr>
          </m:naryPr>
          <m:sub>
            <m:r>
              <w:rPr>
                <w:rFonts w:ascii="Cambria Math" w:eastAsia="MS Mincho" w:hAnsi="Cambria Math"/>
                <w:szCs w:val="24"/>
              </w:rPr>
              <m:t>d</m:t>
            </m:r>
          </m:sub>
          <m:sup/>
          <m:e>
            <m:r>
              <w:rPr>
                <w:rFonts w:ascii="Cambria Math" w:eastAsia="MS Mincho" w:hAnsi="Cambria Math"/>
                <w:szCs w:val="24"/>
              </w:rPr>
              <m:t>(</m:t>
            </m:r>
          </m:e>
        </m:nary>
      </m:oMath>
      <w:r w:rsidRPr="0025427A">
        <w:rPr>
          <w:rFonts w:eastAsia="MS Mincho"/>
          <w:szCs w:val="24"/>
        </w:rPr>
        <w:t xml:space="preserve">DQSELSERTAML </w:t>
      </w:r>
      <w:r w:rsidRPr="0025427A">
        <w:rPr>
          <w:rFonts w:eastAsia="MS Mincho"/>
          <w:i/>
          <w:szCs w:val="24"/>
          <w:vertAlign w:val="subscript"/>
        </w:rPr>
        <w:t>q, d</w:t>
      </w:r>
      <w:r w:rsidRPr="0025427A">
        <w:rPr>
          <w:rFonts w:eastAsia="MS Mincho"/>
          <w:iCs/>
          <w:szCs w:val="24"/>
        </w:rPr>
        <w:t>)</w:t>
      </w:r>
    </w:p>
    <w:p w14:paraId="37BD7E92" w14:textId="33F6B7E9" w:rsidR="0025427A" w:rsidRPr="0025427A" w:rsidRDefault="0025427A" w:rsidP="0025427A">
      <w:pPr>
        <w:spacing w:after="240"/>
        <w:ind w:firstLine="720"/>
        <w:rPr>
          <w:rFonts w:eastAsia="MS Mincho"/>
          <w:iCs/>
          <w:szCs w:val="24"/>
        </w:rPr>
      </w:pPr>
      <w:r w:rsidRPr="0025427A">
        <w:rPr>
          <w:rFonts w:eastAsia="MS Mincho"/>
          <w:iCs/>
          <w:szCs w:val="24"/>
        </w:rPr>
        <w:t xml:space="preserve">MERCOTQSELSERTAML </w:t>
      </w:r>
      <w:r w:rsidRPr="0025427A">
        <w:rPr>
          <w:rFonts w:eastAsia="MS Mincho"/>
          <w:i/>
          <w:szCs w:val="24"/>
          <w:vertAlign w:val="subscript"/>
        </w:rPr>
        <w:t>om</w:t>
      </w:r>
      <w:r w:rsidRPr="0025427A">
        <w:rPr>
          <w:rFonts w:eastAsia="MS Mincho"/>
          <w:iCs/>
          <w:szCs w:val="24"/>
        </w:rPr>
        <w:t xml:space="preserve"> = </w:t>
      </w:r>
      <m:oMath>
        <m:nary>
          <m:naryPr>
            <m:chr m:val="∑"/>
            <m:grow m:val="1"/>
            <m:ctrlPr>
              <w:rPr>
                <w:rFonts w:ascii="Cambria Math" w:eastAsia="MS Mincho" w:hAnsi="Cambria Math"/>
                <w:iCs/>
                <w:szCs w:val="24"/>
                <w:lang w:val="sv-SE"/>
              </w:rPr>
            </m:ctrlPr>
          </m:naryPr>
          <m:sub>
            <m:r>
              <w:rPr>
                <w:rFonts w:ascii="Cambria Math" w:eastAsia="Cambria Math" w:hAnsi="Cambria Math" w:cs="Cambria Math"/>
                <w:szCs w:val="24"/>
                <w:lang w:val="sv-SE"/>
              </w:rPr>
              <m:t>q,  d</m:t>
            </m:r>
          </m:sub>
          <m:sup>
            <m:r>
              <w:rPr>
                <w:rFonts w:ascii="Cambria Math" w:eastAsia="MS Mincho" w:hAnsi="Cambria Math"/>
                <w:szCs w:val="24"/>
                <w:lang w:val="sv-SE"/>
              </w:rPr>
              <m:t xml:space="preserve"> </m:t>
            </m:r>
          </m:sup>
          <m:e>
            <m:r>
              <w:rPr>
                <w:rFonts w:ascii="Cambria Math" w:eastAsia="MS Mincho" w:hAnsi="Cambria Math"/>
                <w:szCs w:val="24"/>
                <w:lang w:val="sv-SE"/>
              </w:rPr>
              <m:t>(</m:t>
            </m:r>
          </m:e>
        </m:nary>
      </m:oMath>
      <w:r w:rsidRPr="0025427A">
        <w:rPr>
          <w:rFonts w:eastAsia="MS Mincho"/>
          <w:szCs w:val="24"/>
        </w:rPr>
        <w:t xml:space="preserve">DQSELSERTAML </w:t>
      </w:r>
      <w:r w:rsidRPr="0025427A">
        <w:rPr>
          <w:rFonts w:eastAsia="MS Mincho"/>
          <w:i/>
          <w:szCs w:val="24"/>
          <w:vertAlign w:val="subscript"/>
        </w:rPr>
        <w:t>q, d</w:t>
      </w:r>
      <w:r w:rsidRPr="0025427A">
        <w:rPr>
          <w:rFonts w:eastAsia="MS Mincho"/>
          <w:iCs/>
          <w:szCs w:val="24"/>
        </w:rPr>
        <w:t>)</w:t>
      </w:r>
    </w:p>
    <w:p w14:paraId="7BAD80CD" w14:textId="77777777" w:rsidR="0025427A" w:rsidRPr="0025427A" w:rsidRDefault="0025427A" w:rsidP="0025427A">
      <w:pPr>
        <w:ind w:left="720" w:hanging="720"/>
        <w:rPr>
          <w:rFonts w:eastAsia="MS Mincho"/>
        </w:rPr>
      </w:pPr>
      <w:r w:rsidRPr="0025427A">
        <w:rPr>
          <w:rFonts w:eastAsia="MS Mincho"/>
        </w:rPr>
        <w:t>The above variables are defined as follows:</w:t>
      </w:r>
    </w:p>
    <w:tbl>
      <w:tblPr>
        <w:tblW w:w="909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83"/>
        <w:gridCol w:w="861"/>
        <w:gridCol w:w="5746"/>
      </w:tblGrid>
      <w:tr w:rsidR="0025427A" w:rsidRPr="0025427A" w14:paraId="741A9FE8" w14:textId="77777777" w:rsidTr="009822AF">
        <w:trPr>
          <w:trHeight w:val="351"/>
          <w:tblHeader/>
        </w:trPr>
        <w:tc>
          <w:tcPr>
            <w:tcW w:w="2483" w:type="dxa"/>
          </w:tcPr>
          <w:p w14:paraId="4A33298A" w14:textId="77777777" w:rsidR="0025427A" w:rsidRPr="0025427A" w:rsidRDefault="0025427A" w:rsidP="009822AF">
            <w:pPr>
              <w:spacing w:after="240"/>
              <w:rPr>
                <w:rFonts w:eastAsia="MS Mincho"/>
                <w:b/>
                <w:iCs/>
                <w:sz w:val="20"/>
              </w:rPr>
            </w:pPr>
            <w:r w:rsidRPr="0025427A">
              <w:rPr>
                <w:rFonts w:eastAsia="MS Mincho"/>
                <w:b/>
                <w:iCs/>
                <w:sz w:val="20"/>
              </w:rPr>
              <w:t>Variable</w:t>
            </w:r>
          </w:p>
        </w:tc>
        <w:tc>
          <w:tcPr>
            <w:tcW w:w="861" w:type="dxa"/>
          </w:tcPr>
          <w:p w14:paraId="27CD70B8" w14:textId="77777777" w:rsidR="0025427A" w:rsidRPr="0025427A" w:rsidRDefault="0025427A" w:rsidP="009822AF">
            <w:pPr>
              <w:spacing w:after="240"/>
              <w:rPr>
                <w:rFonts w:eastAsia="MS Mincho"/>
                <w:b/>
                <w:iCs/>
                <w:sz w:val="20"/>
              </w:rPr>
            </w:pPr>
            <w:r w:rsidRPr="0025427A">
              <w:rPr>
                <w:rFonts w:eastAsia="MS Mincho"/>
                <w:b/>
                <w:iCs/>
                <w:sz w:val="20"/>
              </w:rPr>
              <w:t>Unit</w:t>
            </w:r>
          </w:p>
        </w:tc>
        <w:tc>
          <w:tcPr>
            <w:tcW w:w="5746" w:type="dxa"/>
          </w:tcPr>
          <w:p w14:paraId="0F6A17AA" w14:textId="77777777" w:rsidR="0025427A" w:rsidRPr="0025427A" w:rsidRDefault="0025427A" w:rsidP="009822AF">
            <w:pPr>
              <w:spacing w:after="240"/>
              <w:rPr>
                <w:rFonts w:eastAsia="MS Mincho"/>
                <w:b/>
                <w:iCs/>
                <w:sz w:val="20"/>
              </w:rPr>
            </w:pPr>
            <w:r w:rsidRPr="0025427A">
              <w:rPr>
                <w:rFonts w:eastAsia="MS Mincho"/>
                <w:b/>
                <w:iCs/>
                <w:sz w:val="20"/>
              </w:rPr>
              <w:t>Description</w:t>
            </w:r>
          </w:p>
        </w:tc>
      </w:tr>
      <w:tr w:rsidR="0025427A" w:rsidRPr="0025427A" w14:paraId="67645810" w14:textId="77777777" w:rsidTr="009822AF">
        <w:trPr>
          <w:trHeight w:val="519"/>
        </w:trPr>
        <w:tc>
          <w:tcPr>
            <w:tcW w:w="2483" w:type="dxa"/>
          </w:tcPr>
          <w:p w14:paraId="3C758E9A" w14:textId="77777777" w:rsidR="0025427A" w:rsidRPr="0025427A" w:rsidRDefault="0025427A" w:rsidP="009822AF">
            <w:pPr>
              <w:spacing w:after="60"/>
              <w:rPr>
                <w:rFonts w:eastAsia="MS Mincho"/>
                <w:iCs/>
                <w:sz w:val="20"/>
              </w:rPr>
            </w:pPr>
            <w:r w:rsidRPr="0025427A">
              <w:rPr>
                <w:rFonts w:eastAsia="MS Mincho"/>
                <w:iCs/>
                <w:sz w:val="20"/>
              </w:rPr>
              <w:t>LASUCCE</w:t>
            </w:r>
            <w:r w:rsidRPr="0025427A">
              <w:rPr>
                <w:rFonts w:eastAsia="MS Mincho"/>
                <w:i/>
                <w:sz w:val="20"/>
                <w:vertAlign w:val="subscript"/>
              </w:rPr>
              <w:t xml:space="preserve"> cp</w:t>
            </w:r>
          </w:p>
        </w:tc>
        <w:tc>
          <w:tcPr>
            <w:tcW w:w="861" w:type="dxa"/>
          </w:tcPr>
          <w:p w14:paraId="04EC8596" w14:textId="77777777" w:rsidR="0025427A" w:rsidRPr="0025427A" w:rsidRDefault="0025427A" w:rsidP="009822AF">
            <w:pPr>
              <w:spacing w:after="60"/>
              <w:rPr>
                <w:rFonts w:eastAsia="MS Mincho"/>
                <w:iCs/>
                <w:sz w:val="20"/>
              </w:rPr>
            </w:pPr>
            <w:r w:rsidRPr="0025427A">
              <w:rPr>
                <w:rFonts w:eastAsia="MS Mincho"/>
                <w:iCs/>
                <w:sz w:val="20"/>
              </w:rPr>
              <w:t>$</w:t>
            </w:r>
          </w:p>
        </w:tc>
        <w:tc>
          <w:tcPr>
            <w:tcW w:w="5746" w:type="dxa"/>
          </w:tcPr>
          <w:p w14:paraId="00CD8497" w14:textId="77777777" w:rsidR="0025427A" w:rsidRPr="0025427A" w:rsidRDefault="0025427A" w:rsidP="009822AF">
            <w:pPr>
              <w:spacing w:after="60"/>
              <w:rPr>
                <w:rFonts w:eastAsia="MS Mincho"/>
                <w:i/>
                <w:sz w:val="20"/>
              </w:rPr>
            </w:pPr>
            <w:r w:rsidRPr="0025427A">
              <w:rPr>
                <w:rFonts w:eastAsia="MS Mincho"/>
                <w:i/>
                <w:sz w:val="20"/>
              </w:rPr>
              <w:t xml:space="preserve">Load-Allocated Securitization Uplift Charge Credit Exposure – </w:t>
            </w:r>
            <w:r w:rsidRPr="0025427A">
              <w:rPr>
                <w:rFonts w:eastAsia="MS Mincho"/>
                <w:iCs/>
                <w:sz w:val="20"/>
              </w:rPr>
              <w:t xml:space="preserve">Estimated forward exposure representing unbilled Securitization Uplift Charge Initial Invoices for Counter-Party </w:t>
            </w:r>
            <w:r w:rsidRPr="0025427A">
              <w:rPr>
                <w:rFonts w:eastAsia="MS Mincho"/>
                <w:i/>
                <w:sz w:val="20"/>
              </w:rPr>
              <w:t>cp</w:t>
            </w:r>
            <w:r w:rsidRPr="0025427A">
              <w:rPr>
                <w:rFonts w:eastAsia="MS Mincho"/>
                <w:iCs/>
                <w:sz w:val="20"/>
              </w:rPr>
              <w:t xml:space="preserve"> for</w:t>
            </w:r>
            <w:r w:rsidRPr="0025427A">
              <w:rPr>
                <w:rFonts w:eastAsia="MS Mincho"/>
                <w:i/>
                <w:sz w:val="20"/>
              </w:rPr>
              <w:t xml:space="preserve"> nfmu </w:t>
            </w:r>
            <w:r w:rsidRPr="0025427A">
              <w:rPr>
                <w:rFonts w:eastAsia="MS Mincho"/>
                <w:iCs/>
                <w:sz w:val="20"/>
              </w:rPr>
              <w:t>months.</w:t>
            </w:r>
          </w:p>
        </w:tc>
      </w:tr>
      <w:tr w:rsidR="0025427A" w:rsidRPr="0025427A" w14:paraId="677383DA" w14:textId="77777777" w:rsidTr="009822AF">
        <w:trPr>
          <w:trHeight w:val="519"/>
        </w:trPr>
        <w:tc>
          <w:tcPr>
            <w:tcW w:w="2483" w:type="dxa"/>
          </w:tcPr>
          <w:p w14:paraId="0F935B66" w14:textId="60FFBFA6" w:rsidR="0025427A" w:rsidRPr="0025427A" w:rsidRDefault="0025427A" w:rsidP="009822AF">
            <w:pPr>
              <w:spacing w:after="60"/>
              <w:rPr>
                <w:rFonts w:eastAsia="MS Mincho"/>
                <w:iCs/>
                <w:sz w:val="20"/>
              </w:rPr>
            </w:pPr>
            <w:r w:rsidRPr="0025427A">
              <w:rPr>
                <w:rFonts w:eastAsia="MS Mincho"/>
                <w:iCs/>
                <w:sz w:val="20"/>
              </w:rPr>
              <w:t>CPMQSELSELRS</w:t>
            </w:r>
            <w:r w:rsidRPr="0025427A">
              <w:rPr>
                <w:rFonts w:eastAsia="MS Mincho"/>
                <w:i/>
                <w:iCs/>
                <w:sz w:val="20"/>
                <w:vertAlign w:val="subscript"/>
              </w:rPr>
              <w:t xml:space="preserve"> cp, om, las</w:t>
            </w:r>
          </w:p>
        </w:tc>
        <w:tc>
          <w:tcPr>
            <w:tcW w:w="861" w:type="dxa"/>
          </w:tcPr>
          <w:p w14:paraId="2326011E" w14:textId="43B9FD12" w:rsidR="0025427A" w:rsidRPr="0025427A" w:rsidRDefault="00037B90" w:rsidP="009822AF">
            <w:pPr>
              <w:spacing w:after="60"/>
              <w:rPr>
                <w:rFonts w:eastAsia="MS Mincho"/>
                <w:iCs/>
                <w:sz w:val="20"/>
              </w:rPr>
            </w:pPr>
            <w:r w:rsidRPr="0025427A">
              <w:rPr>
                <w:rFonts w:eastAsia="MS Mincho"/>
                <w:iCs/>
                <w:sz w:val="20"/>
              </w:rPr>
              <w:t>N</w:t>
            </w:r>
            <w:r w:rsidR="0025427A" w:rsidRPr="0025427A">
              <w:rPr>
                <w:rFonts w:eastAsia="MS Mincho"/>
                <w:iCs/>
                <w:sz w:val="20"/>
              </w:rPr>
              <w:t>one</w:t>
            </w:r>
          </w:p>
        </w:tc>
        <w:tc>
          <w:tcPr>
            <w:tcW w:w="5746" w:type="dxa"/>
          </w:tcPr>
          <w:p w14:paraId="0405A40F" w14:textId="6DFC7BAD" w:rsidR="0025427A" w:rsidRPr="0025427A" w:rsidRDefault="0025427A" w:rsidP="009822AF">
            <w:pPr>
              <w:spacing w:after="60"/>
              <w:rPr>
                <w:rFonts w:eastAsia="MS Mincho"/>
                <w:i/>
                <w:sz w:val="20"/>
              </w:rPr>
            </w:pPr>
            <w:r w:rsidRPr="0025427A">
              <w:rPr>
                <w:rFonts w:eastAsia="MS Mincho"/>
                <w:i/>
                <w:sz w:val="20"/>
              </w:rPr>
              <w:t>Counter-Party Monthly QSE Non-Opted-Out LSE Load Ratio Share</w:t>
            </w:r>
            <w:r w:rsidRPr="0025427A">
              <w:rPr>
                <w:rFonts w:eastAsia="MS Mincho"/>
                <w:i/>
                <w:iCs/>
                <w:sz w:val="20"/>
              </w:rPr>
              <w:t xml:space="preserve"> — </w:t>
            </w:r>
            <w:r w:rsidRPr="0025427A">
              <w:rPr>
                <w:rFonts w:eastAsia="MS Mincho"/>
                <w:sz w:val="20"/>
              </w:rPr>
              <w:t xml:space="preserve">MQSELSELRS for all the QSEs represented by the Counter-Party </w:t>
            </w:r>
            <w:r w:rsidRPr="0025427A">
              <w:rPr>
                <w:rFonts w:eastAsia="MS Mincho"/>
                <w:i/>
                <w:iCs/>
                <w:sz w:val="20"/>
              </w:rPr>
              <w:t>cp</w:t>
            </w:r>
            <w:r w:rsidRPr="0025427A">
              <w:rPr>
                <w:rFonts w:eastAsia="MS Mincho"/>
                <w:sz w:val="20"/>
              </w:rPr>
              <w:t xml:space="preserve"> representing the daily</w:t>
            </w:r>
            <w:r w:rsidRPr="0025427A">
              <w:rPr>
                <w:rFonts w:eastAsia="MS Mincho"/>
                <w:iCs/>
                <w:sz w:val="20"/>
              </w:rPr>
              <w:t xml:space="preserve"> ratios of </w:t>
            </w:r>
            <w:r w:rsidR="0082763E">
              <w:rPr>
                <w:rFonts w:eastAsia="MS Mincho"/>
                <w:iCs/>
                <w:sz w:val="20"/>
              </w:rPr>
              <w:t xml:space="preserve">AML </w:t>
            </w:r>
            <w:r w:rsidRPr="0025427A">
              <w:rPr>
                <w:rFonts w:eastAsia="MS Mincho"/>
                <w:iCs/>
                <w:sz w:val="20"/>
              </w:rPr>
              <w:t xml:space="preserve">to the total </w:t>
            </w:r>
            <w:r w:rsidR="0082763E">
              <w:rPr>
                <w:rFonts w:eastAsia="MS Mincho"/>
                <w:iCs/>
                <w:sz w:val="20"/>
              </w:rPr>
              <w:t>AML</w:t>
            </w:r>
            <w:r w:rsidRPr="0025427A">
              <w:rPr>
                <w:rFonts w:eastAsia="MS Mincho"/>
                <w:iCs/>
                <w:sz w:val="20"/>
              </w:rPr>
              <w:t xml:space="preserve">, excluding the </w:t>
            </w:r>
            <w:r w:rsidR="0082763E">
              <w:rPr>
                <w:rFonts w:eastAsia="MS Mincho"/>
                <w:iCs/>
                <w:sz w:val="20"/>
              </w:rPr>
              <w:t>AML</w:t>
            </w:r>
            <w:r w:rsidRPr="0025427A">
              <w:rPr>
                <w:rFonts w:eastAsia="MS Mincho"/>
                <w:iCs/>
                <w:sz w:val="20"/>
              </w:rPr>
              <w:t xml:space="preserve"> for Securitization Uplift Charge Opt-Out Entities and </w:t>
            </w:r>
            <w:r w:rsidR="0082763E">
              <w:rPr>
                <w:rFonts w:eastAsia="MS Mincho"/>
                <w:iCs/>
                <w:sz w:val="20"/>
              </w:rPr>
              <w:t>Direct Current Tie (</w:t>
            </w:r>
            <w:r w:rsidRPr="0025427A">
              <w:rPr>
                <w:rFonts w:eastAsia="MS Mincho"/>
                <w:iCs/>
                <w:sz w:val="20"/>
              </w:rPr>
              <w:t>DC Tie</w:t>
            </w:r>
            <w:r w:rsidR="0082763E">
              <w:rPr>
                <w:rFonts w:eastAsia="MS Mincho"/>
                <w:iCs/>
                <w:sz w:val="20"/>
              </w:rPr>
              <w:t>)</w:t>
            </w:r>
            <w:r w:rsidRPr="0025427A">
              <w:rPr>
                <w:rFonts w:eastAsia="MS Mincho"/>
                <w:iCs/>
                <w:sz w:val="20"/>
              </w:rPr>
              <w:t xml:space="preserve"> exports, for a QSE, for all the Operating Days </w:t>
            </w:r>
            <w:r w:rsidRPr="0025427A">
              <w:rPr>
                <w:rFonts w:eastAsia="MS Mincho"/>
                <w:i/>
                <w:sz w:val="20"/>
              </w:rPr>
              <w:t xml:space="preserve">d </w:t>
            </w:r>
            <w:r w:rsidRPr="0025427A">
              <w:rPr>
                <w:rFonts w:eastAsia="MS Mincho"/>
                <w:iCs/>
                <w:sz w:val="20"/>
              </w:rPr>
              <w:t xml:space="preserve">in the operating month </w:t>
            </w:r>
            <w:r w:rsidRPr="0025427A">
              <w:rPr>
                <w:rFonts w:eastAsia="MS Mincho"/>
                <w:i/>
                <w:sz w:val="20"/>
              </w:rPr>
              <w:t xml:space="preserve">om </w:t>
            </w:r>
            <w:r w:rsidRPr="0025427A">
              <w:rPr>
                <w:rFonts w:eastAsia="MS Mincho"/>
                <w:iCs/>
                <w:sz w:val="20"/>
              </w:rPr>
              <w:t xml:space="preserve">for the Settlement Type </w:t>
            </w:r>
            <w:r w:rsidRPr="0025427A">
              <w:rPr>
                <w:rFonts w:eastAsia="MS Mincho"/>
                <w:i/>
                <w:sz w:val="20"/>
              </w:rPr>
              <w:t>las</w:t>
            </w:r>
            <w:r w:rsidRPr="0025427A">
              <w:rPr>
                <w:rFonts w:eastAsia="MS Mincho"/>
                <w:iCs/>
                <w:sz w:val="20"/>
              </w:rPr>
              <w:t xml:space="preserve">.  </w:t>
            </w:r>
          </w:p>
        </w:tc>
      </w:tr>
      <w:tr w:rsidR="00C56B8F" w:rsidRPr="0025427A" w14:paraId="1D4ADE96" w14:textId="77777777" w:rsidTr="009822AF">
        <w:trPr>
          <w:trHeight w:val="519"/>
        </w:trPr>
        <w:tc>
          <w:tcPr>
            <w:tcW w:w="2483" w:type="dxa"/>
          </w:tcPr>
          <w:p w14:paraId="34E08FB3" w14:textId="139E22FC" w:rsidR="00C56B8F" w:rsidRPr="00C56B8F" w:rsidRDefault="00C56B8F" w:rsidP="00C56B8F">
            <w:pPr>
              <w:spacing w:after="60"/>
              <w:rPr>
                <w:rFonts w:eastAsia="MS Mincho"/>
                <w:iCs/>
                <w:sz w:val="20"/>
                <w:szCs w:val="16"/>
              </w:rPr>
            </w:pPr>
            <w:r w:rsidRPr="00C56B8F">
              <w:rPr>
                <w:sz w:val="20"/>
                <w:szCs w:val="16"/>
              </w:rPr>
              <w:t xml:space="preserve">CPIEMLSE </w:t>
            </w:r>
            <w:r w:rsidRPr="00C56B8F">
              <w:rPr>
                <w:i/>
                <w:sz w:val="20"/>
                <w:szCs w:val="16"/>
                <w:vertAlign w:val="subscript"/>
              </w:rPr>
              <w:t>cp</w:t>
            </w:r>
          </w:p>
        </w:tc>
        <w:tc>
          <w:tcPr>
            <w:tcW w:w="861" w:type="dxa"/>
          </w:tcPr>
          <w:p w14:paraId="25F59E38" w14:textId="34B0CDA7" w:rsidR="00C56B8F" w:rsidRPr="00C56B8F" w:rsidRDefault="00C56B8F" w:rsidP="00C56B8F">
            <w:pPr>
              <w:spacing w:after="60"/>
              <w:rPr>
                <w:rFonts w:eastAsia="MS Mincho"/>
                <w:iCs/>
                <w:sz w:val="20"/>
                <w:szCs w:val="16"/>
              </w:rPr>
            </w:pPr>
            <w:r w:rsidRPr="00C56B8F">
              <w:rPr>
                <w:sz w:val="20"/>
                <w:szCs w:val="16"/>
              </w:rPr>
              <w:t>MWh</w:t>
            </w:r>
          </w:p>
        </w:tc>
        <w:tc>
          <w:tcPr>
            <w:tcW w:w="5746" w:type="dxa"/>
          </w:tcPr>
          <w:p w14:paraId="5AC39C2A" w14:textId="7067FC6D" w:rsidR="00C56B8F" w:rsidRPr="00C56B8F" w:rsidRDefault="00C56B8F" w:rsidP="00C56B8F">
            <w:pPr>
              <w:spacing w:after="60"/>
              <w:rPr>
                <w:rFonts w:eastAsia="MS Mincho"/>
                <w:i/>
                <w:sz w:val="20"/>
                <w:szCs w:val="16"/>
              </w:rPr>
            </w:pPr>
            <w:r w:rsidRPr="00C56B8F">
              <w:rPr>
                <w:i/>
                <w:sz w:val="20"/>
                <w:szCs w:val="16"/>
              </w:rPr>
              <w:t>Counter-Party Initial Estimated Monthly Non-Opted-Out LSE Load —</w:t>
            </w:r>
            <w:r w:rsidRPr="00C56B8F">
              <w:rPr>
                <w:sz w:val="20"/>
                <w:szCs w:val="16"/>
              </w:rPr>
              <w:t xml:space="preserve"> The average estimated load for a full month provided by a non-opted-out Counter-Party</w:t>
            </w:r>
            <w:r w:rsidRPr="00C56B8F">
              <w:rPr>
                <w:i/>
                <w:sz w:val="20"/>
                <w:szCs w:val="16"/>
              </w:rPr>
              <w:t xml:space="preserve"> cp</w:t>
            </w:r>
            <w:r w:rsidRPr="00C56B8F">
              <w:rPr>
                <w:sz w:val="20"/>
                <w:szCs w:val="16"/>
              </w:rPr>
              <w:t xml:space="preserve"> that does not yet have</w:t>
            </w:r>
            <w:r w:rsidR="00FE1658" w:rsidRPr="00C56B8F">
              <w:rPr>
                <w:sz w:val="20"/>
                <w:szCs w:val="16"/>
              </w:rPr>
              <w:t xml:space="preserve"> </w:t>
            </w:r>
            <w:r w:rsidR="00FE1658">
              <w:rPr>
                <w:sz w:val="20"/>
                <w:szCs w:val="16"/>
              </w:rPr>
              <w:t>AML.</w:t>
            </w:r>
          </w:p>
        </w:tc>
      </w:tr>
      <w:tr w:rsidR="00C56B8F" w:rsidRPr="0025427A" w14:paraId="75679BD2" w14:textId="77777777" w:rsidTr="009822AF">
        <w:trPr>
          <w:trHeight w:val="519"/>
        </w:trPr>
        <w:tc>
          <w:tcPr>
            <w:tcW w:w="2483" w:type="dxa"/>
          </w:tcPr>
          <w:p w14:paraId="5A920A55" w14:textId="6E137B81" w:rsidR="00C56B8F" w:rsidRPr="00C56B8F" w:rsidRDefault="00C56B8F" w:rsidP="00C56B8F">
            <w:pPr>
              <w:spacing w:after="60"/>
              <w:rPr>
                <w:rFonts w:eastAsia="MS Mincho"/>
                <w:iCs/>
                <w:sz w:val="20"/>
                <w:szCs w:val="16"/>
              </w:rPr>
            </w:pPr>
            <w:r w:rsidRPr="00C56B8F">
              <w:rPr>
                <w:sz w:val="20"/>
                <w:szCs w:val="16"/>
              </w:rPr>
              <w:t xml:space="preserve">CPIEMLSELRS </w:t>
            </w:r>
            <w:r w:rsidRPr="00C56B8F">
              <w:rPr>
                <w:i/>
                <w:sz w:val="20"/>
                <w:szCs w:val="16"/>
                <w:vertAlign w:val="subscript"/>
              </w:rPr>
              <w:t>cp</w:t>
            </w:r>
          </w:p>
        </w:tc>
        <w:tc>
          <w:tcPr>
            <w:tcW w:w="861" w:type="dxa"/>
          </w:tcPr>
          <w:p w14:paraId="2FA34CF3" w14:textId="7B6B9DA9" w:rsidR="00C56B8F" w:rsidRPr="00C56B8F" w:rsidRDefault="00037B90" w:rsidP="00C56B8F">
            <w:pPr>
              <w:spacing w:after="60"/>
              <w:rPr>
                <w:rFonts w:eastAsia="MS Mincho"/>
                <w:iCs/>
                <w:sz w:val="20"/>
                <w:szCs w:val="16"/>
              </w:rPr>
            </w:pPr>
            <w:r w:rsidRPr="00C56B8F">
              <w:rPr>
                <w:sz w:val="20"/>
                <w:szCs w:val="16"/>
              </w:rPr>
              <w:t>N</w:t>
            </w:r>
            <w:r w:rsidR="00C56B8F" w:rsidRPr="00C56B8F">
              <w:rPr>
                <w:sz w:val="20"/>
                <w:szCs w:val="16"/>
              </w:rPr>
              <w:t>one</w:t>
            </w:r>
          </w:p>
        </w:tc>
        <w:tc>
          <w:tcPr>
            <w:tcW w:w="5746" w:type="dxa"/>
          </w:tcPr>
          <w:p w14:paraId="26CBD999" w14:textId="17D645C1" w:rsidR="00C56B8F" w:rsidRPr="00C56B8F" w:rsidRDefault="00C56B8F" w:rsidP="00C56B8F">
            <w:pPr>
              <w:spacing w:after="60"/>
              <w:rPr>
                <w:rFonts w:eastAsia="MS Mincho"/>
                <w:i/>
                <w:sz w:val="20"/>
                <w:szCs w:val="16"/>
              </w:rPr>
            </w:pPr>
            <w:r w:rsidRPr="00C56B8F">
              <w:rPr>
                <w:i/>
                <w:sz w:val="20"/>
                <w:szCs w:val="16"/>
              </w:rPr>
              <w:t xml:space="preserve">Counter-Party Initial Estimated Monthly Non-Opted-Out LSE Load Ratio Share — </w:t>
            </w:r>
            <w:r w:rsidRPr="00C56B8F">
              <w:rPr>
                <w:sz w:val="20"/>
                <w:szCs w:val="16"/>
              </w:rPr>
              <w:t xml:space="preserve">The Load Ratio Share </w:t>
            </w:r>
            <w:r>
              <w:rPr>
                <w:sz w:val="20"/>
                <w:szCs w:val="16"/>
              </w:rPr>
              <w:t xml:space="preserve">(LRS) </w:t>
            </w:r>
            <w:r w:rsidRPr="00C56B8F">
              <w:rPr>
                <w:sz w:val="20"/>
                <w:szCs w:val="16"/>
              </w:rPr>
              <w:t xml:space="preserve">for a Counter-Party </w:t>
            </w:r>
            <w:r w:rsidRPr="00C56B8F">
              <w:rPr>
                <w:i/>
                <w:sz w:val="20"/>
                <w:szCs w:val="16"/>
              </w:rPr>
              <w:t>cp</w:t>
            </w:r>
            <w:r w:rsidRPr="00C56B8F">
              <w:rPr>
                <w:sz w:val="20"/>
                <w:szCs w:val="16"/>
              </w:rPr>
              <w:t xml:space="preserve"> that does not yet have </w:t>
            </w:r>
            <w:r>
              <w:rPr>
                <w:sz w:val="20"/>
                <w:szCs w:val="16"/>
              </w:rPr>
              <w:t>AML</w:t>
            </w:r>
            <w:r w:rsidRPr="00C56B8F">
              <w:rPr>
                <w:sz w:val="20"/>
                <w:szCs w:val="16"/>
              </w:rPr>
              <w:t>, computed using CPIEMLSE.</w:t>
            </w:r>
          </w:p>
        </w:tc>
      </w:tr>
      <w:tr w:rsidR="0025427A" w:rsidRPr="0025427A" w14:paraId="0D4C5323" w14:textId="77777777" w:rsidTr="009822AF">
        <w:trPr>
          <w:trHeight w:val="519"/>
        </w:trPr>
        <w:tc>
          <w:tcPr>
            <w:tcW w:w="2483" w:type="dxa"/>
          </w:tcPr>
          <w:p w14:paraId="55962912" w14:textId="77777777" w:rsidR="0025427A" w:rsidRPr="0025427A" w:rsidRDefault="0025427A" w:rsidP="009822AF">
            <w:pPr>
              <w:spacing w:after="60"/>
              <w:rPr>
                <w:rFonts w:eastAsia="MS Mincho"/>
                <w:iCs/>
                <w:sz w:val="20"/>
              </w:rPr>
            </w:pPr>
            <w:r w:rsidRPr="0025427A">
              <w:rPr>
                <w:rFonts w:eastAsia="MS Mincho"/>
                <w:iCs/>
                <w:sz w:val="20"/>
              </w:rPr>
              <w:t>MTSUCDA</w:t>
            </w:r>
          </w:p>
        </w:tc>
        <w:tc>
          <w:tcPr>
            <w:tcW w:w="861" w:type="dxa"/>
          </w:tcPr>
          <w:p w14:paraId="7CB2806F" w14:textId="77777777" w:rsidR="0025427A" w:rsidRPr="0025427A" w:rsidRDefault="0025427A" w:rsidP="009822AF">
            <w:pPr>
              <w:spacing w:after="60"/>
              <w:rPr>
                <w:rFonts w:eastAsia="MS Mincho"/>
                <w:iCs/>
                <w:sz w:val="20"/>
              </w:rPr>
            </w:pPr>
            <w:r w:rsidRPr="0025427A">
              <w:rPr>
                <w:rFonts w:eastAsia="MS Mincho"/>
                <w:iCs/>
                <w:sz w:val="20"/>
              </w:rPr>
              <w:t>$</w:t>
            </w:r>
          </w:p>
        </w:tc>
        <w:tc>
          <w:tcPr>
            <w:tcW w:w="5746" w:type="dxa"/>
          </w:tcPr>
          <w:p w14:paraId="66F62DEA" w14:textId="604BC7A6" w:rsidR="0025427A" w:rsidRPr="0025427A" w:rsidRDefault="0025427A" w:rsidP="009822AF">
            <w:pPr>
              <w:spacing w:after="60"/>
              <w:rPr>
                <w:rFonts w:eastAsia="MS Mincho"/>
                <w:i/>
                <w:sz w:val="20"/>
              </w:rPr>
            </w:pPr>
            <w:r w:rsidRPr="0025427A">
              <w:rPr>
                <w:rFonts w:eastAsia="MS Mincho"/>
                <w:i/>
                <w:sz w:val="20"/>
              </w:rPr>
              <w:t xml:space="preserve">Monthly Total of Securitization Uplift Charge Daily Amounts </w:t>
            </w:r>
            <w:r w:rsidRPr="0025427A">
              <w:rPr>
                <w:rFonts w:eastAsia="MS Mincho"/>
                <w:iCs/>
                <w:sz w:val="20"/>
              </w:rPr>
              <w:t xml:space="preserve">– The monthly sum of the amounts to be uplifted for all the Operating Days </w:t>
            </w:r>
            <w:r w:rsidRPr="0025427A">
              <w:rPr>
                <w:rFonts w:eastAsia="MS Mincho"/>
                <w:i/>
                <w:sz w:val="20"/>
              </w:rPr>
              <w:t>od</w:t>
            </w:r>
            <w:r w:rsidRPr="0025427A">
              <w:rPr>
                <w:rFonts w:eastAsia="MS Mincho"/>
                <w:iCs/>
                <w:sz w:val="20"/>
              </w:rPr>
              <w:t xml:space="preserve"> in operating month </w:t>
            </w:r>
            <w:r w:rsidRPr="0025427A">
              <w:rPr>
                <w:rFonts w:eastAsia="MS Mincho"/>
                <w:i/>
                <w:sz w:val="20"/>
              </w:rPr>
              <w:t>om</w:t>
            </w:r>
            <w:r w:rsidRPr="0025427A">
              <w:rPr>
                <w:rFonts w:eastAsia="MS Mincho"/>
                <w:iCs/>
                <w:sz w:val="20"/>
              </w:rPr>
              <w:t xml:space="preserve">. </w:t>
            </w:r>
          </w:p>
        </w:tc>
      </w:tr>
      <w:tr w:rsidR="0025427A" w:rsidRPr="0025427A" w14:paraId="32AFA122" w14:textId="77777777" w:rsidTr="009822AF">
        <w:trPr>
          <w:trHeight w:val="519"/>
        </w:trPr>
        <w:tc>
          <w:tcPr>
            <w:tcW w:w="2483" w:type="dxa"/>
          </w:tcPr>
          <w:p w14:paraId="441E131F" w14:textId="77777777" w:rsidR="0025427A" w:rsidRPr="0025427A" w:rsidRDefault="0025427A" w:rsidP="009822AF">
            <w:pPr>
              <w:spacing w:after="60"/>
              <w:rPr>
                <w:rFonts w:eastAsia="MS Mincho"/>
                <w:iCs/>
                <w:sz w:val="20"/>
              </w:rPr>
            </w:pPr>
            <w:r w:rsidRPr="0025427A">
              <w:rPr>
                <w:rFonts w:eastAsia="MS Mincho"/>
                <w:iCs/>
                <w:sz w:val="20"/>
              </w:rPr>
              <w:t xml:space="preserve">DQSELSERTAML </w:t>
            </w:r>
            <w:r w:rsidRPr="0025427A">
              <w:rPr>
                <w:rFonts w:eastAsia="MS Mincho"/>
                <w:i/>
                <w:iCs/>
                <w:sz w:val="20"/>
                <w:vertAlign w:val="subscript"/>
              </w:rPr>
              <w:t>q, d</w:t>
            </w:r>
          </w:p>
        </w:tc>
        <w:tc>
          <w:tcPr>
            <w:tcW w:w="861" w:type="dxa"/>
          </w:tcPr>
          <w:p w14:paraId="50D068F3" w14:textId="77777777" w:rsidR="0025427A" w:rsidRPr="0025427A" w:rsidRDefault="0025427A" w:rsidP="009822AF">
            <w:pPr>
              <w:spacing w:after="60"/>
              <w:rPr>
                <w:rFonts w:eastAsia="MS Mincho"/>
                <w:iCs/>
                <w:sz w:val="20"/>
              </w:rPr>
            </w:pPr>
            <w:r w:rsidRPr="0025427A">
              <w:rPr>
                <w:rFonts w:eastAsia="MS Mincho"/>
                <w:iCs/>
                <w:sz w:val="20"/>
              </w:rPr>
              <w:t>MWH</w:t>
            </w:r>
          </w:p>
        </w:tc>
        <w:tc>
          <w:tcPr>
            <w:tcW w:w="5746" w:type="dxa"/>
          </w:tcPr>
          <w:p w14:paraId="66570033" w14:textId="5637146E" w:rsidR="0025427A" w:rsidRPr="0025427A" w:rsidRDefault="0025427A" w:rsidP="009822AF">
            <w:pPr>
              <w:spacing w:after="60"/>
              <w:rPr>
                <w:rFonts w:eastAsia="MS Mincho"/>
                <w:i/>
                <w:sz w:val="20"/>
              </w:rPr>
            </w:pPr>
            <w:r w:rsidRPr="0025427A">
              <w:rPr>
                <w:rFonts w:eastAsia="MS Mincho"/>
                <w:i/>
                <w:iCs/>
                <w:sz w:val="20"/>
              </w:rPr>
              <w:t xml:space="preserve">Daily QSE </w:t>
            </w:r>
            <w:r w:rsidRPr="0025427A">
              <w:rPr>
                <w:rFonts w:eastAsia="MS Mincho"/>
                <w:i/>
                <w:sz w:val="20"/>
              </w:rPr>
              <w:t>Non-Opted-Out</w:t>
            </w:r>
            <w:r w:rsidRPr="0025427A">
              <w:rPr>
                <w:rFonts w:eastAsia="MS Mincho"/>
                <w:i/>
                <w:iCs/>
                <w:sz w:val="20"/>
              </w:rPr>
              <w:t xml:space="preserve"> LSE Real-Time Adjusted Metered Load </w:t>
            </w:r>
            <w:r w:rsidRPr="0025427A">
              <w:rPr>
                <w:rFonts w:eastAsia="MS Mincho"/>
                <w:iCs/>
                <w:sz w:val="20"/>
              </w:rPr>
              <w:t xml:space="preserve">— The Real-Time Adjusted Metered Load (RTAML) </w:t>
            </w:r>
            <w:r w:rsidRPr="0025427A">
              <w:rPr>
                <w:rFonts w:eastAsia="MS Mincho"/>
                <w:bCs/>
                <w:iCs/>
                <w:sz w:val="20"/>
              </w:rPr>
              <w:t>excluding the RTAML for Securitization Uplift Charge Opt-Out Entities and DC Tie exports</w:t>
            </w:r>
            <w:r w:rsidRPr="0025427A">
              <w:rPr>
                <w:rFonts w:eastAsia="MS Mincho"/>
                <w:iCs/>
                <w:sz w:val="20"/>
              </w:rPr>
              <w:t>,</w:t>
            </w:r>
            <w:r w:rsidRPr="0025427A">
              <w:rPr>
                <w:rFonts w:eastAsia="MS Mincho"/>
                <w:bCs/>
                <w:iCs/>
                <w:sz w:val="20"/>
              </w:rPr>
              <w:t xml:space="preserve"> for a QSE </w:t>
            </w:r>
            <w:r w:rsidRPr="0025427A">
              <w:rPr>
                <w:rFonts w:eastAsia="MS Mincho"/>
                <w:bCs/>
                <w:i/>
                <w:sz w:val="20"/>
              </w:rPr>
              <w:t>q</w:t>
            </w:r>
            <w:r w:rsidRPr="0025427A">
              <w:rPr>
                <w:rFonts w:eastAsia="MS Mincho"/>
                <w:bCs/>
                <w:iCs/>
                <w:sz w:val="20"/>
              </w:rPr>
              <w:t xml:space="preserve">, </w:t>
            </w:r>
            <w:r w:rsidRPr="0025427A">
              <w:rPr>
                <w:rFonts w:eastAsia="MS Mincho"/>
                <w:iCs/>
                <w:sz w:val="20"/>
              </w:rPr>
              <w:t xml:space="preserve">for the Operating Day </w:t>
            </w:r>
            <w:r w:rsidRPr="0025427A">
              <w:rPr>
                <w:rFonts w:eastAsia="MS Mincho"/>
                <w:i/>
                <w:sz w:val="20"/>
              </w:rPr>
              <w:t>d</w:t>
            </w:r>
            <w:r w:rsidRPr="0025427A">
              <w:rPr>
                <w:rFonts w:eastAsia="MS Mincho"/>
                <w:iCs/>
                <w:sz w:val="20"/>
              </w:rPr>
              <w:t>.</w:t>
            </w:r>
          </w:p>
        </w:tc>
      </w:tr>
      <w:tr w:rsidR="0025427A" w:rsidRPr="0025427A" w14:paraId="6BB8A6A7" w14:textId="77777777" w:rsidTr="00C56B8F">
        <w:trPr>
          <w:trHeight w:val="323"/>
        </w:trPr>
        <w:tc>
          <w:tcPr>
            <w:tcW w:w="2483" w:type="dxa"/>
          </w:tcPr>
          <w:p w14:paraId="16C571D1" w14:textId="77777777" w:rsidR="0025427A" w:rsidRPr="0025427A" w:rsidRDefault="0025427A" w:rsidP="009822AF">
            <w:pPr>
              <w:spacing w:after="60"/>
              <w:rPr>
                <w:rFonts w:eastAsia="MS Mincho"/>
                <w:iCs/>
                <w:sz w:val="20"/>
              </w:rPr>
            </w:pPr>
            <w:r w:rsidRPr="0025427A">
              <w:rPr>
                <w:rFonts w:eastAsia="MS Mincho"/>
                <w:iCs/>
                <w:sz w:val="20"/>
              </w:rPr>
              <w:t>MQSELSE</w:t>
            </w:r>
            <w:r w:rsidRPr="0025427A">
              <w:rPr>
                <w:rFonts w:eastAsia="MS Mincho"/>
                <w:sz w:val="20"/>
              </w:rPr>
              <w:t>LRS</w:t>
            </w:r>
            <w:r w:rsidRPr="0025427A">
              <w:rPr>
                <w:rFonts w:eastAsia="MS Mincho"/>
                <w:iCs/>
                <w:sz w:val="20"/>
              </w:rPr>
              <w:t xml:space="preserve"> </w:t>
            </w:r>
            <w:r w:rsidRPr="0025427A">
              <w:rPr>
                <w:rFonts w:eastAsia="MS Mincho"/>
                <w:i/>
                <w:iCs/>
                <w:sz w:val="20"/>
                <w:vertAlign w:val="subscript"/>
              </w:rPr>
              <w:t xml:space="preserve">q, </w:t>
            </w:r>
            <w:r w:rsidRPr="0025427A">
              <w:rPr>
                <w:rFonts w:eastAsia="MS Mincho"/>
                <w:i/>
                <w:sz w:val="20"/>
                <w:vertAlign w:val="subscript"/>
              </w:rPr>
              <w:t>o</w:t>
            </w:r>
            <w:r w:rsidRPr="0025427A">
              <w:rPr>
                <w:rFonts w:eastAsia="MS Mincho"/>
                <w:i/>
                <w:iCs/>
                <w:sz w:val="20"/>
                <w:vertAlign w:val="subscript"/>
              </w:rPr>
              <w:t>m</w:t>
            </w:r>
          </w:p>
        </w:tc>
        <w:tc>
          <w:tcPr>
            <w:tcW w:w="861" w:type="dxa"/>
          </w:tcPr>
          <w:p w14:paraId="2FAC17F3" w14:textId="77777777" w:rsidR="0025427A" w:rsidRPr="0025427A" w:rsidRDefault="0025427A" w:rsidP="009822AF">
            <w:pPr>
              <w:spacing w:after="60"/>
              <w:rPr>
                <w:rFonts w:eastAsia="MS Mincho"/>
                <w:iCs/>
                <w:sz w:val="20"/>
              </w:rPr>
            </w:pPr>
            <w:r w:rsidRPr="0025427A">
              <w:rPr>
                <w:rFonts w:eastAsia="MS Mincho"/>
                <w:iCs/>
                <w:sz w:val="20"/>
              </w:rPr>
              <w:t>none</w:t>
            </w:r>
          </w:p>
        </w:tc>
        <w:tc>
          <w:tcPr>
            <w:tcW w:w="5746" w:type="dxa"/>
          </w:tcPr>
          <w:p w14:paraId="781F8184" w14:textId="1A1793BC" w:rsidR="0025427A" w:rsidRPr="0025427A" w:rsidRDefault="0025427A" w:rsidP="009822AF">
            <w:pPr>
              <w:spacing w:after="60"/>
              <w:rPr>
                <w:rFonts w:eastAsia="MS Mincho"/>
                <w:i/>
                <w:sz w:val="20"/>
              </w:rPr>
            </w:pPr>
            <w:r w:rsidRPr="0025427A">
              <w:rPr>
                <w:rFonts w:eastAsia="MS Mincho"/>
                <w:i/>
                <w:sz w:val="20"/>
              </w:rPr>
              <w:t>Monthly QSE Non-Opted-Out LSE Load Ratio Share</w:t>
            </w:r>
            <w:r w:rsidRPr="0025427A">
              <w:rPr>
                <w:rFonts w:eastAsia="MS Mincho"/>
                <w:i/>
                <w:iCs/>
                <w:sz w:val="20"/>
              </w:rPr>
              <w:t xml:space="preserve"> — </w:t>
            </w:r>
            <w:r w:rsidRPr="0025427A">
              <w:rPr>
                <w:rFonts w:eastAsia="MS Mincho"/>
                <w:iCs/>
                <w:sz w:val="20"/>
              </w:rPr>
              <w:t xml:space="preserve">The ratio of </w:t>
            </w:r>
            <w:r w:rsidR="005624FB">
              <w:rPr>
                <w:rFonts w:eastAsia="MS Mincho"/>
                <w:iCs/>
                <w:sz w:val="20"/>
              </w:rPr>
              <w:t>AML</w:t>
            </w:r>
            <w:r w:rsidRPr="0025427A">
              <w:rPr>
                <w:rFonts w:eastAsia="MS Mincho"/>
                <w:iCs/>
                <w:sz w:val="20"/>
              </w:rPr>
              <w:t xml:space="preserve"> to the total </w:t>
            </w:r>
            <w:r w:rsidR="005624FB">
              <w:rPr>
                <w:rFonts w:eastAsia="MS Mincho"/>
                <w:iCs/>
                <w:sz w:val="20"/>
              </w:rPr>
              <w:t>AML</w:t>
            </w:r>
            <w:r w:rsidRPr="0025427A">
              <w:rPr>
                <w:rFonts w:eastAsia="MS Mincho"/>
                <w:iCs/>
                <w:sz w:val="20"/>
              </w:rPr>
              <w:t xml:space="preserve">, </w:t>
            </w:r>
            <w:r w:rsidRPr="0025427A">
              <w:rPr>
                <w:rFonts w:eastAsia="MS Mincho"/>
                <w:bCs/>
                <w:iCs/>
                <w:sz w:val="20"/>
              </w:rPr>
              <w:t xml:space="preserve">excluding the </w:t>
            </w:r>
            <w:r w:rsidR="005624FB">
              <w:rPr>
                <w:rFonts w:eastAsia="MS Mincho"/>
                <w:iCs/>
                <w:sz w:val="20"/>
              </w:rPr>
              <w:t>AML</w:t>
            </w:r>
            <w:r w:rsidRPr="0025427A">
              <w:rPr>
                <w:rFonts w:eastAsia="MS Mincho"/>
                <w:iCs/>
                <w:sz w:val="20"/>
              </w:rPr>
              <w:t xml:space="preserve"> </w:t>
            </w:r>
            <w:r w:rsidRPr="0025427A">
              <w:rPr>
                <w:rFonts w:eastAsia="MS Mincho"/>
                <w:bCs/>
                <w:iCs/>
                <w:sz w:val="20"/>
              </w:rPr>
              <w:t>for Securitization Uplift Charge Opt-Out Entities and DC Tie exports</w:t>
            </w:r>
            <w:r w:rsidRPr="0025427A">
              <w:rPr>
                <w:rFonts w:eastAsia="MS Mincho"/>
                <w:iCs/>
                <w:sz w:val="20"/>
              </w:rPr>
              <w:t>, for a QSE</w:t>
            </w:r>
            <w:r w:rsidRPr="0025427A">
              <w:rPr>
                <w:rFonts w:eastAsia="MS Mincho"/>
                <w:bCs/>
                <w:iCs/>
                <w:sz w:val="20"/>
              </w:rPr>
              <w:t xml:space="preserve"> </w:t>
            </w:r>
            <w:r w:rsidRPr="0025427A">
              <w:rPr>
                <w:rFonts w:eastAsia="MS Mincho"/>
                <w:bCs/>
                <w:i/>
                <w:sz w:val="20"/>
              </w:rPr>
              <w:t>q</w:t>
            </w:r>
            <w:r w:rsidRPr="0025427A">
              <w:rPr>
                <w:rFonts w:eastAsia="MS Mincho"/>
                <w:iCs/>
                <w:sz w:val="20"/>
              </w:rPr>
              <w:t xml:space="preserve">, for all the Operating Days </w:t>
            </w:r>
            <w:r w:rsidRPr="0025427A">
              <w:rPr>
                <w:rFonts w:eastAsia="MS Mincho"/>
                <w:i/>
                <w:sz w:val="20"/>
              </w:rPr>
              <w:t xml:space="preserve">d </w:t>
            </w:r>
            <w:r w:rsidRPr="0025427A">
              <w:rPr>
                <w:rFonts w:eastAsia="MS Mincho"/>
                <w:iCs/>
                <w:sz w:val="20"/>
              </w:rPr>
              <w:t xml:space="preserve">in the operating month </w:t>
            </w:r>
            <w:r w:rsidRPr="0025427A">
              <w:rPr>
                <w:rFonts w:eastAsia="MS Mincho"/>
                <w:i/>
                <w:sz w:val="20"/>
              </w:rPr>
              <w:t>om.</w:t>
            </w:r>
          </w:p>
        </w:tc>
      </w:tr>
      <w:tr w:rsidR="0025427A" w:rsidRPr="0025427A" w14:paraId="4BA9C9D4" w14:textId="77777777" w:rsidTr="009822AF">
        <w:trPr>
          <w:trHeight w:val="519"/>
        </w:trPr>
        <w:tc>
          <w:tcPr>
            <w:tcW w:w="2483" w:type="dxa"/>
          </w:tcPr>
          <w:p w14:paraId="25DE3EB2" w14:textId="77777777" w:rsidR="0025427A" w:rsidRPr="0025427A" w:rsidRDefault="0025427A" w:rsidP="009822AF">
            <w:pPr>
              <w:spacing w:after="60"/>
              <w:rPr>
                <w:rFonts w:eastAsia="MS Mincho"/>
                <w:iCs/>
                <w:sz w:val="20"/>
              </w:rPr>
            </w:pPr>
            <w:r w:rsidRPr="0025427A">
              <w:rPr>
                <w:rFonts w:eastAsia="MS Mincho"/>
                <w:sz w:val="20"/>
              </w:rPr>
              <w:lastRenderedPageBreak/>
              <w:t xml:space="preserve">MQSELSERTAML </w:t>
            </w:r>
            <w:r w:rsidRPr="0025427A">
              <w:rPr>
                <w:rFonts w:eastAsia="MS Mincho"/>
                <w:i/>
                <w:sz w:val="20"/>
                <w:vertAlign w:val="subscript"/>
              </w:rPr>
              <w:t xml:space="preserve">q, </w:t>
            </w:r>
            <w:r w:rsidRPr="0025427A">
              <w:rPr>
                <w:rFonts w:eastAsia="MS Mincho"/>
                <w:i/>
                <w:iCs/>
                <w:sz w:val="20"/>
                <w:vertAlign w:val="subscript"/>
              </w:rPr>
              <w:t>o</w:t>
            </w:r>
            <w:r w:rsidRPr="0025427A">
              <w:rPr>
                <w:rFonts w:eastAsia="MS Mincho"/>
                <w:i/>
                <w:sz w:val="20"/>
                <w:vertAlign w:val="subscript"/>
              </w:rPr>
              <w:t>m</w:t>
            </w:r>
          </w:p>
        </w:tc>
        <w:tc>
          <w:tcPr>
            <w:tcW w:w="861" w:type="dxa"/>
          </w:tcPr>
          <w:p w14:paraId="5A17E70A" w14:textId="77777777" w:rsidR="0025427A" w:rsidRPr="0025427A" w:rsidRDefault="0025427A" w:rsidP="009822AF">
            <w:pPr>
              <w:spacing w:after="60"/>
              <w:rPr>
                <w:rFonts w:eastAsia="MS Mincho"/>
                <w:iCs/>
                <w:sz w:val="20"/>
              </w:rPr>
            </w:pPr>
            <w:r w:rsidRPr="0025427A">
              <w:rPr>
                <w:rFonts w:eastAsia="MS Mincho"/>
                <w:iCs/>
                <w:sz w:val="20"/>
              </w:rPr>
              <w:t>MWH</w:t>
            </w:r>
          </w:p>
        </w:tc>
        <w:tc>
          <w:tcPr>
            <w:tcW w:w="5746" w:type="dxa"/>
          </w:tcPr>
          <w:p w14:paraId="62074332" w14:textId="45DCB6F0" w:rsidR="0025427A" w:rsidRPr="0025427A" w:rsidRDefault="0025427A" w:rsidP="009822AF">
            <w:pPr>
              <w:spacing w:after="60"/>
              <w:rPr>
                <w:rFonts w:eastAsia="MS Mincho"/>
                <w:i/>
                <w:sz w:val="20"/>
              </w:rPr>
            </w:pPr>
            <w:r w:rsidRPr="0025427A">
              <w:rPr>
                <w:rFonts w:eastAsia="MS Mincho"/>
                <w:i/>
                <w:iCs/>
                <w:sz w:val="20"/>
              </w:rPr>
              <w:t xml:space="preserve">Monthly QSE </w:t>
            </w:r>
            <w:r w:rsidRPr="0025427A">
              <w:rPr>
                <w:rFonts w:eastAsia="MS Mincho"/>
                <w:i/>
                <w:sz w:val="20"/>
              </w:rPr>
              <w:t>Non-Opted-Out</w:t>
            </w:r>
            <w:r w:rsidRPr="0025427A">
              <w:rPr>
                <w:rFonts w:eastAsia="MS Mincho"/>
                <w:i/>
                <w:iCs/>
                <w:sz w:val="20"/>
              </w:rPr>
              <w:t xml:space="preserve"> LSE Real-Time Adjusted Metered Load </w:t>
            </w:r>
            <w:r w:rsidRPr="0025427A">
              <w:rPr>
                <w:rFonts w:eastAsia="MS Mincho"/>
                <w:iCs/>
                <w:sz w:val="20"/>
              </w:rPr>
              <w:t xml:space="preserve">— The RTAML </w:t>
            </w:r>
            <w:r w:rsidRPr="0025427A">
              <w:rPr>
                <w:rFonts w:eastAsia="MS Mincho"/>
                <w:bCs/>
                <w:iCs/>
                <w:sz w:val="20"/>
              </w:rPr>
              <w:t>excluding the RTAML for Securitization Uplift Charge Opt-Out Entities and DC Tie exports</w:t>
            </w:r>
            <w:r w:rsidRPr="0025427A">
              <w:rPr>
                <w:rFonts w:eastAsia="MS Mincho"/>
                <w:iCs/>
                <w:sz w:val="20"/>
              </w:rPr>
              <w:t>,</w:t>
            </w:r>
            <w:r w:rsidRPr="0025427A" w:rsidDel="003203A4">
              <w:rPr>
                <w:rFonts w:eastAsia="MS Mincho"/>
                <w:bCs/>
                <w:iCs/>
                <w:sz w:val="20"/>
              </w:rPr>
              <w:t xml:space="preserve"> </w:t>
            </w:r>
            <w:r w:rsidRPr="0025427A">
              <w:rPr>
                <w:rFonts w:eastAsia="MS Mincho"/>
                <w:bCs/>
                <w:iCs/>
                <w:sz w:val="20"/>
              </w:rPr>
              <w:t xml:space="preserve">for a QSE </w:t>
            </w:r>
            <w:r w:rsidRPr="0025427A">
              <w:rPr>
                <w:rFonts w:eastAsia="MS Mincho"/>
                <w:bCs/>
                <w:i/>
                <w:sz w:val="20"/>
              </w:rPr>
              <w:t>q</w:t>
            </w:r>
            <w:r w:rsidRPr="0025427A">
              <w:rPr>
                <w:rFonts w:eastAsia="MS Mincho"/>
                <w:bCs/>
                <w:iCs/>
                <w:sz w:val="20"/>
              </w:rPr>
              <w:t xml:space="preserve">, </w:t>
            </w:r>
            <w:r w:rsidRPr="0025427A">
              <w:rPr>
                <w:rFonts w:eastAsia="MS Mincho"/>
                <w:iCs/>
                <w:sz w:val="20"/>
              </w:rPr>
              <w:t xml:space="preserve">for all the Operating Days </w:t>
            </w:r>
            <w:r w:rsidRPr="0025427A">
              <w:rPr>
                <w:rFonts w:eastAsia="MS Mincho"/>
                <w:i/>
                <w:sz w:val="20"/>
              </w:rPr>
              <w:t xml:space="preserve">d </w:t>
            </w:r>
            <w:r w:rsidRPr="0025427A">
              <w:rPr>
                <w:rFonts w:eastAsia="MS Mincho"/>
                <w:iCs/>
                <w:sz w:val="20"/>
              </w:rPr>
              <w:t xml:space="preserve">in the operating month </w:t>
            </w:r>
            <w:r w:rsidRPr="0025427A">
              <w:rPr>
                <w:rFonts w:eastAsia="MS Mincho"/>
                <w:i/>
                <w:sz w:val="20"/>
              </w:rPr>
              <w:t>om.</w:t>
            </w:r>
          </w:p>
        </w:tc>
      </w:tr>
      <w:tr w:rsidR="0025427A" w:rsidRPr="0025427A" w14:paraId="68D2C39D" w14:textId="77777777" w:rsidTr="009822AF">
        <w:trPr>
          <w:trHeight w:val="519"/>
        </w:trPr>
        <w:tc>
          <w:tcPr>
            <w:tcW w:w="2483" w:type="dxa"/>
          </w:tcPr>
          <w:p w14:paraId="4BB09CBC" w14:textId="77777777" w:rsidR="0025427A" w:rsidRPr="0025427A" w:rsidRDefault="0025427A" w:rsidP="009822AF">
            <w:pPr>
              <w:spacing w:after="60"/>
              <w:rPr>
                <w:rFonts w:eastAsia="MS Mincho"/>
                <w:iCs/>
                <w:sz w:val="20"/>
              </w:rPr>
            </w:pPr>
            <w:r w:rsidRPr="0025427A">
              <w:rPr>
                <w:rFonts w:eastAsia="MS Mincho"/>
                <w:sz w:val="20"/>
              </w:rPr>
              <w:t xml:space="preserve">MERCOTQSELSERTAML </w:t>
            </w:r>
            <w:r w:rsidRPr="0025427A">
              <w:rPr>
                <w:rFonts w:eastAsia="MS Mincho"/>
                <w:i/>
                <w:iCs/>
                <w:sz w:val="20"/>
                <w:vertAlign w:val="subscript"/>
              </w:rPr>
              <w:t>o</w:t>
            </w:r>
            <w:r w:rsidRPr="0025427A">
              <w:rPr>
                <w:rFonts w:eastAsia="MS Mincho"/>
                <w:i/>
                <w:sz w:val="20"/>
                <w:vertAlign w:val="subscript"/>
              </w:rPr>
              <w:t>m</w:t>
            </w:r>
          </w:p>
        </w:tc>
        <w:tc>
          <w:tcPr>
            <w:tcW w:w="861" w:type="dxa"/>
          </w:tcPr>
          <w:p w14:paraId="5179C684" w14:textId="77777777" w:rsidR="0025427A" w:rsidRPr="0025427A" w:rsidRDefault="0025427A" w:rsidP="009822AF">
            <w:pPr>
              <w:spacing w:after="60"/>
              <w:rPr>
                <w:rFonts w:eastAsia="MS Mincho"/>
                <w:iCs/>
                <w:sz w:val="20"/>
              </w:rPr>
            </w:pPr>
            <w:r w:rsidRPr="0025427A">
              <w:rPr>
                <w:rFonts w:eastAsia="MS Mincho"/>
                <w:iCs/>
                <w:sz w:val="20"/>
              </w:rPr>
              <w:t>MWH</w:t>
            </w:r>
          </w:p>
        </w:tc>
        <w:tc>
          <w:tcPr>
            <w:tcW w:w="5746" w:type="dxa"/>
          </w:tcPr>
          <w:p w14:paraId="47C19736" w14:textId="4ED52F9B" w:rsidR="0025427A" w:rsidRPr="0025427A" w:rsidRDefault="0025427A" w:rsidP="009822AF">
            <w:pPr>
              <w:spacing w:after="60"/>
              <w:rPr>
                <w:rFonts w:eastAsia="MS Mincho"/>
                <w:i/>
                <w:sz w:val="20"/>
              </w:rPr>
            </w:pPr>
            <w:r w:rsidRPr="0025427A">
              <w:rPr>
                <w:rFonts w:eastAsia="MS Mincho"/>
                <w:i/>
                <w:iCs/>
                <w:sz w:val="20"/>
              </w:rPr>
              <w:t xml:space="preserve">Monthly ERCOT QSE </w:t>
            </w:r>
            <w:r w:rsidRPr="0025427A">
              <w:rPr>
                <w:rFonts w:eastAsia="MS Mincho"/>
                <w:i/>
                <w:sz w:val="20"/>
              </w:rPr>
              <w:t>Non-Opted-Out</w:t>
            </w:r>
            <w:r w:rsidRPr="0025427A">
              <w:rPr>
                <w:rFonts w:eastAsia="MS Mincho"/>
                <w:i/>
                <w:iCs/>
                <w:sz w:val="20"/>
              </w:rPr>
              <w:t xml:space="preserve"> LSE Real-Time Adjusted Metered Load </w:t>
            </w:r>
            <w:r w:rsidRPr="0025427A">
              <w:rPr>
                <w:rFonts w:eastAsia="MS Mincho"/>
                <w:iCs/>
                <w:sz w:val="20"/>
              </w:rPr>
              <w:t xml:space="preserve">— The ERCOT total RTAML </w:t>
            </w:r>
            <w:r w:rsidRPr="0025427A">
              <w:rPr>
                <w:rFonts w:eastAsia="MS Mincho"/>
                <w:bCs/>
                <w:iCs/>
                <w:sz w:val="20"/>
              </w:rPr>
              <w:t>excluding the RTAML for Securitization Uplift Charge Opt-Out Entities and DC Tie exports</w:t>
            </w:r>
            <w:r w:rsidRPr="0025427A">
              <w:rPr>
                <w:rFonts w:eastAsia="MS Mincho"/>
                <w:iCs/>
                <w:sz w:val="20"/>
              </w:rPr>
              <w:t>,</w:t>
            </w:r>
            <w:r w:rsidRPr="0025427A" w:rsidDel="003203A4">
              <w:rPr>
                <w:rFonts w:eastAsia="MS Mincho"/>
                <w:bCs/>
                <w:iCs/>
                <w:sz w:val="20"/>
              </w:rPr>
              <w:t xml:space="preserve"> </w:t>
            </w:r>
            <w:r w:rsidRPr="0025427A">
              <w:rPr>
                <w:rFonts w:eastAsia="MS Mincho"/>
                <w:iCs/>
                <w:sz w:val="20"/>
              </w:rPr>
              <w:t xml:space="preserve">for all the Operating Days </w:t>
            </w:r>
            <w:r w:rsidRPr="0025427A">
              <w:rPr>
                <w:rFonts w:eastAsia="MS Mincho"/>
                <w:i/>
                <w:sz w:val="20"/>
              </w:rPr>
              <w:t xml:space="preserve">d </w:t>
            </w:r>
            <w:r w:rsidRPr="0025427A">
              <w:rPr>
                <w:rFonts w:eastAsia="MS Mincho"/>
                <w:iCs/>
                <w:sz w:val="20"/>
              </w:rPr>
              <w:t xml:space="preserve">in the operating month </w:t>
            </w:r>
            <w:r w:rsidRPr="0025427A">
              <w:rPr>
                <w:rFonts w:eastAsia="MS Mincho"/>
                <w:i/>
                <w:sz w:val="20"/>
              </w:rPr>
              <w:t>om.</w:t>
            </w:r>
          </w:p>
        </w:tc>
      </w:tr>
      <w:tr w:rsidR="0025427A" w:rsidRPr="0025427A" w14:paraId="37AFE78C" w14:textId="77777777" w:rsidTr="009822AF">
        <w:trPr>
          <w:trHeight w:val="305"/>
        </w:trPr>
        <w:tc>
          <w:tcPr>
            <w:tcW w:w="2483" w:type="dxa"/>
          </w:tcPr>
          <w:p w14:paraId="78A7456F" w14:textId="77777777" w:rsidR="0025427A" w:rsidRPr="0025427A" w:rsidRDefault="0025427A" w:rsidP="009822AF">
            <w:pPr>
              <w:spacing w:after="60"/>
              <w:rPr>
                <w:rFonts w:eastAsia="MS Mincho"/>
                <w:i/>
                <w:sz w:val="20"/>
              </w:rPr>
            </w:pPr>
            <w:r w:rsidRPr="0025427A">
              <w:rPr>
                <w:rFonts w:eastAsia="MS Mincho"/>
                <w:i/>
                <w:sz w:val="20"/>
              </w:rPr>
              <w:t>cp</w:t>
            </w:r>
          </w:p>
        </w:tc>
        <w:tc>
          <w:tcPr>
            <w:tcW w:w="861" w:type="dxa"/>
          </w:tcPr>
          <w:p w14:paraId="441FA6A4" w14:textId="77777777" w:rsidR="0025427A" w:rsidRPr="0025427A" w:rsidRDefault="0025427A" w:rsidP="009822AF">
            <w:pPr>
              <w:spacing w:after="60"/>
              <w:rPr>
                <w:rFonts w:eastAsia="MS Mincho"/>
                <w:iCs/>
                <w:sz w:val="20"/>
              </w:rPr>
            </w:pPr>
            <w:r w:rsidRPr="0025427A">
              <w:rPr>
                <w:rFonts w:eastAsia="MS Mincho"/>
                <w:iCs/>
                <w:sz w:val="20"/>
              </w:rPr>
              <w:t>none</w:t>
            </w:r>
          </w:p>
        </w:tc>
        <w:tc>
          <w:tcPr>
            <w:tcW w:w="5746" w:type="dxa"/>
          </w:tcPr>
          <w:p w14:paraId="0D48AA0A" w14:textId="27C047F2" w:rsidR="0025427A" w:rsidRPr="0025427A" w:rsidRDefault="0025427A" w:rsidP="009822AF">
            <w:pPr>
              <w:spacing w:after="60"/>
              <w:rPr>
                <w:rFonts w:eastAsia="MS Mincho"/>
                <w:i/>
                <w:sz w:val="20"/>
              </w:rPr>
            </w:pPr>
            <w:r w:rsidRPr="0025427A">
              <w:rPr>
                <w:rFonts w:eastAsia="MS Mincho"/>
                <w:iCs/>
                <w:sz w:val="20"/>
              </w:rPr>
              <w:t>A registered Counter-Party</w:t>
            </w:r>
            <w:r w:rsidR="005624FB">
              <w:rPr>
                <w:rFonts w:eastAsia="MS Mincho"/>
                <w:iCs/>
                <w:sz w:val="20"/>
              </w:rPr>
              <w:t>.</w:t>
            </w:r>
          </w:p>
        </w:tc>
      </w:tr>
      <w:tr w:rsidR="0025427A" w:rsidRPr="0025427A" w14:paraId="046168D9" w14:textId="77777777" w:rsidTr="009822AF">
        <w:trPr>
          <w:trHeight w:val="519"/>
        </w:trPr>
        <w:tc>
          <w:tcPr>
            <w:tcW w:w="2483" w:type="dxa"/>
          </w:tcPr>
          <w:p w14:paraId="7252BC40" w14:textId="77777777" w:rsidR="0025427A" w:rsidRPr="0025427A" w:rsidRDefault="0025427A" w:rsidP="009822AF">
            <w:pPr>
              <w:spacing w:after="60"/>
              <w:rPr>
                <w:rFonts w:eastAsia="MS Mincho"/>
                <w:i/>
                <w:sz w:val="20"/>
              </w:rPr>
            </w:pPr>
            <w:r w:rsidRPr="0025427A">
              <w:rPr>
                <w:rFonts w:eastAsia="MS Mincho"/>
                <w:i/>
                <w:sz w:val="20"/>
              </w:rPr>
              <w:t>om</w:t>
            </w:r>
          </w:p>
        </w:tc>
        <w:tc>
          <w:tcPr>
            <w:tcW w:w="861" w:type="dxa"/>
          </w:tcPr>
          <w:p w14:paraId="6B0CCDA5" w14:textId="77777777" w:rsidR="0025427A" w:rsidRPr="0025427A" w:rsidRDefault="0025427A" w:rsidP="009822AF">
            <w:pPr>
              <w:spacing w:after="60"/>
              <w:rPr>
                <w:rFonts w:eastAsia="MS Mincho"/>
                <w:iCs/>
                <w:sz w:val="20"/>
              </w:rPr>
            </w:pPr>
            <w:r w:rsidRPr="0025427A">
              <w:rPr>
                <w:rFonts w:eastAsia="MS Mincho"/>
                <w:iCs/>
                <w:sz w:val="20"/>
              </w:rPr>
              <w:t>none</w:t>
            </w:r>
          </w:p>
        </w:tc>
        <w:tc>
          <w:tcPr>
            <w:tcW w:w="5746" w:type="dxa"/>
          </w:tcPr>
          <w:p w14:paraId="653A3072" w14:textId="24FF90B3" w:rsidR="0025427A" w:rsidRPr="0025427A" w:rsidRDefault="0025427A" w:rsidP="009822AF">
            <w:pPr>
              <w:spacing w:after="60"/>
              <w:rPr>
                <w:rFonts w:eastAsia="MS Mincho"/>
                <w:iCs/>
                <w:sz w:val="20"/>
              </w:rPr>
            </w:pPr>
            <w:r w:rsidRPr="0025427A">
              <w:rPr>
                <w:rFonts w:eastAsia="MS Mincho"/>
                <w:i/>
                <w:sz w:val="20"/>
              </w:rPr>
              <w:t>Operating Month</w:t>
            </w:r>
            <w:r w:rsidRPr="0025427A">
              <w:rPr>
                <w:rFonts w:eastAsia="MS Mincho"/>
                <w:iCs/>
                <w:sz w:val="20"/>
              </w:rPr>
              <w:t xml:space="preserve"> </w:t>
            </w:r>
            <w:r w:rsidR="005624FB" w:rsidRPr="0025427A">
              <w:rPr>
                <w:rFonts w:eastAsia="MS Mincho"/>
                <w:i/>
                <w:iCs/>
                <w:sz w:val="20"/>
              </w:rPr>
              <w:t>–</w:t>
            </w:r>
            <w:r w:rsidRPr="0025427A">
              <w:rPr>
                <w:rFonts w:eastAsia="MS Mincho"/>
                <w:iCs/>
                <w:sz w:val="20"/>
              </w:rPr>
              <w:t xml:space="preserve"> </w:t>
            </w:r>
            <w:r w:rsidR="005624FB">
              <w:rPr>
                <w:rFonts w:eastAsia="MS Mincho"/>
                <w:iCs/>
                <w:sz w:val="20"/>
              </w:rPr>
              <w:t>T</w:t>
            </w:r>
            <w:r w:rsidRPr="0025427A">
              <w:rPr>
                <w:rFonts w:eastAsia="MS Mincho"/>
                <w:iCs/>
                <w:sz w:val="20"/>
              </w:rPr>
              <w:t xml:space="preserve">he most recent month for which all the daily ratios of </w:t>
            </w:r>
            <w:r w:rsidR="00FE1658">
              <w:rPr>
                <w:rFonts w:eastAsia="MS Mincho"/>
                <w:iCs/>
                <w:sz w:val="20"/>
              </w:rPr>
              <w:t>AML</w:t>
            </w:r>
            <w:r w:rsidRPr="0025427A">
              <w:rPr>
                <w:rFonts w:eastAsia="MS Mincho"/>
                <w:iCs/>
                <w:sz w:val="20"/>
              </w:rPr>
              <w:t xml:space="preserve"> to the total </w:t>
            </w:r>
            <w:r w:rsidR="00FE1658">
              <w:rPr>
                <w:rFonts w:eastAsia="MS Mincho"/>
                <w:iCs/>
                <w:sz w:val="20"/>
              </w:rPr>
              <w:t>AML</w:t>
            </w:r>
            <w:r w:rsidRPr="0025427A">
              <w:rPr>
                <w:rFonts w:eastAsia="MS Mincho"/>
                <w:iCs/>
                <w:sz w:val="20"/>
              </w:rPr>
              <w:t xml:space="preserve">, excluding the </w:t>
            </w:r>
            <w:r w:rsidR="00FE1658">
              <w:rPr>
                <w:rFonts w:eastAsia="MS Mincho"/>
                <w:iCs/>
                <w:sz w:val="20"/>
              </w:rPr>
              <w:t>AML</w:t>
            </w:r>
            <w:r w:rsidRPr="0025427A">
              <w:rPr>
                <w:rFonts w:eastAsia="MS Mincho"/>
                <w:iCs/>
                <w:sz w:val="20"/>
              </w:rPr>
              <w:t xml:space="preserve"> for Securitization Uplift Charge Opt-Out Entities and DC Tie exports, for a QSE are available for all days of the month.</w:t>
            </w:r>
          </w:p>
        </w:tc>
      </w:tr>
      <w:tr w:rsidR="0025427A" w:rsidRPr="0025427A" w14:paraId="5231E8FF" w14:textId="77777777" w:rsidTr="009822AF">
        <w:trPr>
          <w:trHeight w:val="519"/>
        </w:trPr>
        <w:tc>
          <w:tcPr>
            <w:tcW w:w="2483" w:type="dxa"/>
          </w:tcPr>
          <w:p w14:paraId="280001BC" w14:textId="77777777" w:rsidR="0025427A" w:rsidRPr="0025427A" w:rsidRDefault="0025427A" w:rsidP="009822AF">
            <w:pPr>
              <w:spacing w:after="60"/>
              <w:rPr>
                <w:rFonts w:eastAsia="MS Mincho"/>
                <w:i/>
                <w:sz w:val="20"/>
              </w:rPr>
            </w:pPr>
            <w:r w:rsidRPr="0025427A">
              <w:rPr>
                <w:rFonts w:eastAsia="MS Mincho"/>
                <w:i/>
                <w:sz w:val="20"/>
              </w:rPr>
              <w:t>fmu</w:t>
            </w:r>
          </w:p>
        </w:tc>
        <w:tc>
          <w:tcPr>
            <w:tcW w:w="861" w:type="dxa"/>
          </w:tcPr>
          <w:p w14:paraId="234F45EA" w14:textId="66CC6726" w:rsidR="0025427A" w:rsidRPr="0025427A" w:rsidRDefault="005624FB" w:rsidP="009822AF">
            <w:pPr>
              <w:spacing w:after="60"/>
              <w:rPr>
                <w:rFonts w:eastAsia="MS Mincho"/>
                <w:iCs/>
                <w:sz w:val="20"/>
              </w:rPr>
            </w:pPr>
            <w:r>
              <w:rPr>
                <w:rFonts w:eastAsia="MS Mincho"/>
                <w:iCs/>
                <w:sz w:val="20"/>
              </w:rPr>
              <w:t>n</w:t>
            </w:r>
            <w:r w:rsidR="0025427A" w:rsidRPr="0025427A">
              <w:rPr>
                <w:rFonts w:eastAsia="MS Mincho"/>
                <w:iCs/>
                <w:sz w:val="20"/>
              </w:rPr>
              <w:t>one</w:t>
            </w:r>
          </w:p>
        </w:tc>
        <w:tc>
          <w:tcPr>
            <w:tcW w:w="5746" w:type="dxa"/>
          </w:tcPr>
          <w:p w14:paraId="3339F9D3" w14:textId="4BAE8E14" w:rsidR="0025427A" w:rsidRPr="0025427A" w:rsidDel="006E6B51" w:rsidRDefault="0025427A" w:rsidP="009822AF">
            <w:pPr>
              <w:spacing w:after="60"/>
              <w:rPr>
                <w:rFonts w:eastAsia="MS Mincho"/>
                <w:i/>
                <w:sz w:val="20"/>
              </w:rPr>
            </w:pPr>
            <w:r w:rsidRPr="0025427A">
              <w:rPr>
                <w:rFonts w:eastAsia="MS Mincho"/>
                <w:i/>
                <w:iCs/>
                <w:sz w:val="20"/>
              </w:rPr>
              <w:t xml:space="preserve">Forward Month – </w:t>
            </w:r>
            <w:r w:rsidR="005624FB">
              <w:rPr>
                <w:rFonts w:eastAsia="MS Mincho"/>
                <w:iCs/>
                <w:sz w:val="20"/>
              </w:rPr>
              <w:t>A</w:t>
            </w:r>
            <w:r w:rsidRPr="0025427A">
              <w:rPr>
                <w:rFonts w:eastAsia="MS Mincho"/>
                <w:iCs/>
                <w:sz w:val="20"/>
              </w:rPr>
              <w:t xml:space="preserve"> month from Securitization Uplift Charge forward months</w:t>
            </w:r>
            <w:r w:rsidR="005624FB">
              <w:rPr>
                <w:rFonts w:eastAsia="MS Mincho"/>
                <w:iCs/>
                <w:sz w:val="20"/>
              </w:rPr>
              <w:t>.</w:t>
            </w:r>
          </w:p>
        </w:tc>
      </w:tr>
      <w:tr w:rsidR="0025427A" w:rsidRPr="0025427A" w14:paraId="02B26A6E" w14:textId="77777777" w:rsidTr="009822AF">
        <w:trPr>
          <w:trHeight w:val="519"/>
        </w:trPr>
        <w:tc>
          <w:tcPr>
            <w:tcW w:w="2483" w:type="dxa"/>
          </w:tcPr>
          <w:p w14:paraId="5FC45434" w14:textId="77777777" w:rsidR="0025427A" w:rsidRPr="0025427A" w:rsidRDefault="0025427A" w:rsidP="009822AF">
            <w:pPr>
              <w:spacing w:after="60"/>
              <w:rPr>
                <w:rFonts w:eastAsia="MS Mincho"/>
                <w:i/>
                <w:sz w:val="20"/>
              </w:rPr>
            </w:pPr>
            <w:r w:rsidRPr="0025427A">
              <w:rPr>
                <w:rFonts w:eastAsia="MS Mincho"/>
                <w:i/>
                <w:sz w:val="20"/>
              </w:rPr>
              <w:t>nfmu</w:t>
            </w:r>
          </w:p>
        </w:tc>
        <w:tc>
          <w:tcPr>
            <w:tcW w:w="861" w:type="dxa"/>
          </w:tcPr>
          <w:p w14:paraId="09DF395E" w14:textId="77777777" w:rsidR="0025427A" w:rsidRPr="0025427A" w:rsidRDefault="0025427A" w:rsidP="009822AF">
            <w:pPr>
              <w:spacing w:after="60"/>
              <w:rPr>
                <w:rFonts w:eastAsia="MS Mincho"/>
                <w:iCs/>
                <w:sz w:val="20"/>
              </w:rPr>
            </w:pPr>
            <w:r w:rsidRPr="0025427A">
              <w:rPr>
                <w:rFonts w:eastAsia="MS Mincho"/>
                <w:iCs/>
                <w:sz w:val="20"/>
              </w:rPr>
              <w:t>none</w:t>
            </w:r>
          </w:p>
        </w:tc>
        <w:tc>
          <w:tcPr>
            <w:tcW w:w="5746" w:type="dxa"/>
          </w:tcPr>
          <w:p w14:paraId="53A882E5" w14:textId="1CEFB08A" w:rsidR="0025427A" w:rsidRPr="0025427A" w:rsidRDefault="0025427A" w:rsidP="009822AF">
            <w:pPr>
              <w:spacing w:after="60"/>
              <w:rPr>
                <w:rFonts w:eastAsia="MS Mincho"/>
                <w:i/>
                <w:sz w:val="20"/>
              </w:rPr>
            </w:pPr>
            <w:r w:rsidRPr="0025427A">
              <w:rPr>
                <w:rFonts w:eastAsia="MS Mincho"/>
                <w:i/>
                <w:sz w:val="20"/>
              </w:rPr>
              <w:t>Number of forward months</w:t>
            </w:r>
            <w:r w:rsidRPr="0025427A">
              <w:rPr>
                <w:rFonts w:eastAsia="MS Mincho"/>
                <w:iCs/>
                <w:sz w:val="20"/>
              </w:rPr>
              <w:t xml:space="preserve"> </w:t>
            </w:r>
            <w:r w:rsidR="005624FB" w:rsidRPr="0025427A">
              <w:rPr>
                <w:rFonts w:eastAsia="MS Mincho"/>
                <w:i/>
                <w:iCs/>
                <w:sz w:val="20"/>
              </w:rPr>
              <w:t>–</w:t>
            </w:r>
            <w:r w:rsidRPr="0025427A">
              <w:rPr>
                <w:rFonts w:eastAsia="MS Mincho"/>
                <w:iCs/>
                <w:sz w:val="20"/>
              </w:rPr>
              <w:t xml:space="preserve"> </w:t>
            </w:r>
            <w:r w:rsidR="005624FB">
              <w:rPr>
                <w:rFonts w:eastAsia="MS Mincho"/>
                <w:iCs/>
                <w:sz w:val="20"/>
              </w:rPr>
              <w:t>T</w:t>
            </w:r>
            <w:r w:rsidRPr="0025427A">
              <w:rPr>
                <w:rFonts w:eastAsia="MS Mincho"/>
                <w:iCs/>
                <w:sz w:val="20"/>
              </w:rPr>
              <w:t>otal number of forward months Monthly Securitization Uplift Charge is extrapolated</w:t>
            </w:r>
            <w:r w:rsidR="005624FB">
              <w:rPr>
                <w:rFonts w:eastAsia="MS Mincho"/>
                <w:iCs/>
                <w:sz w:val="20"/>
              </w:rPr>
              <w:t>.</w:t>
            </w:r>
          </w:p>
        </w:tc>
      </w:tr>
      <w:tr w:rsidR="0025427A" w:rsidRPr="0025427A" w14:paraId="604E0D18" w14:textId="77777777" w:rsidTr="009822AF">
        <w:trPr>
          <w:trHeight w:val="368"/>
        </w:trPr>
        <w:tc>
          <w:tcPr>
            <w:tcW w:w="2483" w:type="dxa"/>
          </w:tcPr>
          <w:p w14:paraId="11A9AC45" w14:textId="77777777" w:rsidR="0025427A" w:rsidRPr="0025427A" w:rsidDel="00FB0933" w:rsidRDefault="0025427A" w:rsidP="009822AF">
            <w:pPr>
              <w:spacing w:after="60"/>
              <w:rPr>
                <w:rFonts w:eastAsia="MS Mincho"/>
                <w:i/>
                <w:sz w:val="20"/>
              </w:rPr>
            </w:pPr>
            <w:r w:rsidRPr="0025427A">
              <w:rPr>
                <w:rFonts w:eastAsia="MS Mincho"/>
                <w:i/>
                <w:sz w:val="20"/>
              </w:rPr>
              <w:t>d</w:t>
            </w:r>
          </w:p>
        </w:tc>
        <w:tc>
          <w:tcPr>
            <w:tcW w:w="861" w:type="dxa"/>
          </w:tcPr>
          <w:p w14:paraId="35429049" w14:textId="77777777" w:rsidR="0025427A" w:rsidRPr="0025427A" w:rsidRDefault="0025427A" w:rsidP="009822AF">
            <w:pPr>
              <w:spacing w:after="60"/>
              <w:rPr>
                <w:rFonts w:eastAsia="MS Mincho"/>
                <w:iCs/>
                <w:sz w:val="20"/>
              </w:rPr>
            </w:pPr>
            <w:r w:rsidRPr="0025427A">
              <w:rPr>
                <w:rFonts w:eastAsia="MS Mincho"/>
                <w:iCs/>
                <w:sz w:val="20"/>
              </w:rPr>
              <w:t>none</w:t>
            </w:r>
          </w:p>
        </w:tc>
        <w:tc>
          <w:tcPr>
            <w:tcW w:w="5746" w:type="dxa"/>
          </w:tcPr>
          <w:p w14:paraId="55A61A5C" w14:textId="79ED82CF" w:rsidR="0025427A" w:rsidRPr="0025427A" w:rsidRDefault="0025427A" w:rsidP="009822AF">
            <w:pPr>
              <w:spacing w:after="60"/>
              <w:rPr>
                <w:rFonts w:eastAsia="MS Mincho"/>
                <w:i/>
                <w:sz w:val="20"/>
              </w:rPr>
            </w:pPr>
            <w:r w:rsidRPr="0025427A">
              <w:rPr>
                <w:rFonts w:eastAsia="MS Mincho"/>
                <w:iCs/>
                <w:sz w:val="20"/>
              </w:rPr>
              <w:t>An Operating Day</w:t>
            </w:r>
            <w:r w:rsidR="005624FB">
              <w:rPr>
                <w:rFonts w:eastAsia="MS Mincho"/>
                <w:iCs/>
                <w:sz w:val="20"/>
              </w:rPr>
              <w:t>.</w:t>
            </w:r>
          </w:p>
        </w:tc>
      </w:tr>
    </w:tbl>
    <w:p w14:paraId="2D592B1C" w14:textId="77777777" w:rsidR="0025427A" w:rsidRPr="0025427A" w:rsidRDefault="0025427A" w:rsidP="0025427A">
      <w:pPr>
        <w:spacing w:before="240"/>
        <w:rPr>
          <w:rFonts w:eastAsia="MS Mincho"/>
          <w:szCs w:val="24"/>
        </w:rPr>
      </w:pPr>
      <w:r w:rsidRPr="0025427A">
        <w:rPr>
          <w:rFonts w:eastAsia="MS Mincho"/>
          <w:iCs/>
          <w:szCs w:val="24"/>
        </w:rPr>
        <w:t>The above parameters are defined as follows:</w:t>
      </w:r>
    </w:p>
    <w:tbl>
      <w:tblPr>
        <w:tblW w:w="909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153"/>
        <w:gridCol w:w="2300"/>
        <w:gridCol w:w="4637"/>
      </w:tblGrid>
      <w:tr w:rsidR="0025427A" w:rsidRPr="0025427A" w14:paraId="00425B62" w14:textId="77777777" w:rsidTr="009822AF">
        <w:trPr>
          <w:trHeight w:val="351"/>
          <w:tblHeader/>
        </w:trPr>
        <w:tc>
          <w:tcPr>
            <w:tcW w:w="2153" w:type="dxa"/>
          </w:tcPr>
          <w:p w14:paraId="50D79F65" w14:textId="77777777" w:rsidR="0025427A" w:rsidRPr="0025427A" w:rsidRDefault="0025427A" w:rsidP="009822AF">
            <w:pPr>
              <w:spacing w:after="240"/>
              <w:rPr>
                <w:rFonts w:eastAsia="MS Mincho"/>
                <w:b/>
                <w:iCs/>
                <w:sz w:val="20"/>
              </w:rPr>
            </w:pPr>
            <w:r w:rsidRPr="0025427A">
              <w:rPr>
                <w:rFonts w:eastAsia="MS Mincho"/>
                <w:b/>
                <w:iCs/>
                <w:sz w:val="20"/>
              </w:rPr>
              <w:t>Parameter</w:t>
            </w:r>
          </w:p>
        </w:tc>
        <w:tc>
          <w:tcPr>
            <w:tcW w:w="2300" w:type="dxa"/>
          </w:tcPr>
          <w:p w14:paraId="7B0AD7CE" w14:textId="77777777" w:rsidR="0025427A" w:rsidRPr="0025427A" w:rsidRDefault="0025427A" w:rsidP="009822AF">
            <w:pPr>
              <w:spacing w:after="240"/>
              <w:rPr>
                <w:rFonts w:eastAsia="MS Mincho"/>
                <w:b/>
                <w:iCs/>
                <w:sz w:val="20"/>
              </w:rPr>
            </w:pPr>
            <w:r w:rsidRPr="0025427A">
              <w:rPr>
                <w:rFonts w:eastAsia="MS Mincho"/>
                <w:b/>
                <w:iCs/>
                <w:sz w:val="20"/>
              </w:rPr>
              <w:t>Unit</w:t>
            </w:r>
          </w:p>
        </w:tc>
        <w:tc>
          <w:tcPr>
            <w:tcW w:w="4637" w:type="dxa"/>
          </w:tcPr>
          <w:p w14:paraId="6A05EC2D" w14:textId="77777777" w:rsidR="0025427A" w:rsidRPr="0025427A" w:rsidRDefault="0025427A" w:rsidP="009822AF">
            <w:pPr>
              <w:spacing w:after="240"/>
              <w:rPr>
                <w:rFonts w:eastAsia="MS Mincho"/>
                <w:b/>
                <w:iCs/>
                <w:sz w:val="20"/>
              </w:rPr>
            </w:pPr>
            <w:r w:rsidRPr="0025427A">
              <w:rPr>
                <w:rFonts w:eastAsia="MS Mincho"/>
                <w:b/>
                <w:iCs/>
                <w:sz w:val="20"/>
              </w:rPr>
              <w:t>Current Value</w:t>
            </w:r>
          </w:p>
        </w:tc>
      </w:tr>
      <w:tr w:rsidR="0025427A" w:rsidRPr="0025427A" w14:paraId="22D2A882" w14:textId="77777777" w:rsidTr="009822AF">
        <w:trPr>
          <w:trHeight w:val="368"/>
        </w:trPr>
        <w:tc>
          <w:tcPr>
            <w:tcW w:w="2153" w:type="dxa"/>
          </w:tcPr>
          <w:p w14:paraId="0CB87AB3" w14:textId="77777777" w:rsidR="0025427A" w:rsidRPr="0025427A" w:rsidRDefault="0025427A" w:rsidP="009822AF">
            <w:pPr>
              <w:spacing w:after="60"/>
              <w:rPr>
                <w:rFonts w:eastAsia="MS Mincho"/>
                <w:i/>
                <w:iCs/>
                <w:sz w:val="20"/>
              </w:rPr>
            </w:pPr>
            <w:r w:rsidRPr="0025427A">
              <w:rPr>
                <w:rFonts w:eastAsia="MS Mincho"/>
                <w:i/>
                <w:iCs/>
                <w:sz w:val="20"/>
              </w:rPr>
              <w:t>nfmu</w:t>
            </w:r>
          </w:p>
        </w:tc>
        <w:tc>
          <w:tcPr>
            <w:tcW w:w="2300" w:type="dxa"/>
          </w:tcPr>
          <w:p w14:paraId="1C47CC12" w14:textId="77777777" w:rsidR="0025427A" w:rsidRPr="0025427A" w:rsidRDefault="0025427A" w:rsidP="009822AF">
            <w:pPr>
              <w:spacing w:after="60"/>
              <w:rPr>
                <w:rFonts w:eastAsia="MS Mincho"/>
                <w:iCs/>
                <w:sz w:val="20"/>
              </w:rPr>
            </w:pPr>
            <w:r w:rsidRPr="0025427A">
              <w:rPr>
                <w:rFonts w:eastAsia="MS Mincho"/>
                <w:iCs/>
                <w:sz w:val="20"/>
              </w:rPr>
              <w:t>Months</w:t>
            </w:r>
          </w:p>
        </w:tc>
        <w:tc>
          <w:tcPr>
            <w:tcW w:w="4637" w:type="dxa"/>
          </w:tcPr>
          <w:p w14:paraId="096C8262" w14:textId="77777777" w:rsidR="0025427A" w:rsidRPr="0025427A" w:rsidRDefault="0025427A" w:rsidP="009822AF">
            <w:pPr>
              <w:spacing w:after="60"/>
              <w:rPr>
                <w:rFonts w:eastAsia="MS Mincho"/>
                <w:iCs/>
                <w:sz w:val="20"/>
              </w:rPr>
            </w:pPr>
            <w:r w:rsidRPr="0025427A">
              <w:rPr>
                <w:rFonts w:eastAsia="MS Mincho"/>
                <w:iCs/>
                <w:sz w:val="20"/>
              </w:rPr>
              <w:t>2</w:t>
            </w:r>
          </w:p>
        </w:tc>
      </w:tr>
      <w:tr w:rsidR="0025427A" w:rsidRPr="0025427A" w14:paraId="4AC9E3E9" w14:textId="77777777" w:rsidTr="009822AF">
        <w:trPr>
          <w:trHeight w:val="341"/>
        </w:trPr>
        <w:tc>
          <w:tcPr>
            <w:tcW w:w="2153" w:type="dxa"/>
          </w:tcPr>
          <w:p w14:paraId="06973638" w14:textId="77777777" w:rsidR="0025427A" w:rsidRPr="0025427A" w:rsidRDefault="0025427A" w:rsidP="009822AF">
            <w:pPr>
              <w:spacing w:after="60"/>
              <w:rPr>
                <w:rFonts w:eastAsia="MS Mincho"/>
                <w:i/>
                <w:iCs/>
                <w:sz w:val="20"/>
              </w:rPr>
            </w:pPr>
            <w:r w:rsidRPr="0025427A">
              <w:rPr>
                <w:rFonts w:eastAsia="MS Mincho"/>
                <w:i/>
                <w:iCs/>
                <w:sz w:val="20"/>
              </w:rPr>
              <w:t>las</w:t>
            </w:r>
          </w:p>
        </w:tc>
        <w:tc>
          <w:tcPr>
            <w:tcW w:w="2300" w:type="dxa"/>
          </w:tcPr>
          <w:p w14:paraId="7207B9E6" w14:textId="77777777" w:rsidR="0025427A" w:rsidRPr="0025427A" w:rsidRDefault="0025427A" w:rsidP="009822AF">
            <w:pPr>
              <w:spacing w:after="60"/>
              <w:rPr>
                <w:rFonts w:eastAsia="MS Mincho"/>
                <w:iCs/>
                <w:sz w:val="20"/>
              </w:rPr>
            </w:pPr>
            <w:r w:rsidRPr="0025427A">
              <w:rPr>
                <w:rFonts w:eastAsia="MS Mincho"/>
                <w:iCs/>
                <w:sz w:val="20"/>
              </w:rPr>
              <w:t>Settlement Type</w:t>
            </w:r>
          </w:p>
        </w:tc>
        <w:tc>
          <w:tcPr>
            <w:tcW w:w="4637" w:type="dxa"/>
          </w:tcPr>
          <w:p w14:paraId="2D73B3EA" w14:textId="77777777" w:rsidR="0025427A" w:rsidRPr="0025427A" w:rsidRDefault="0025427A" w:rsidP="009822AF">
            <w:pPr>
              <w:spacing w:after="60"/>
              <w:rPr>
                <w:rFonts w:eastAsia="MS Mincho"/>
                <w:iCs/>
                <w:sz w:val="20"/>
              </w:rPr>
            </w:pPr>
            <w:r w:rsidRPr="0025427A">
              <w:rPr>
                <w:rFonts w:eastAsia="MS Mincho"/>
                <w:iCs/>
                <w:sz w:val="20"/>
              </w:rPr>
              <w:t>Load-Allocated Initial Settlements</w:t>
            </w:r>
          </w:p>
        </w:tc>
      </w:tr>
    </w:tbl>
    <w:p w14:paraId="3E393B8F" w14:textId="77777777" w:rsidR="0025427A" w:rsidRPr="0025427A" w:rsidRDefault="0025427A" w:rsidP="00632469">
      <w:pPr>
        <w:keepNext/>
        <w:tabs>
          <w:tab w:val="left" w:pos="1080"/>
        </w:tabs>
        <w:spacing w:before="480" w:after="240"/>
        <w:ind w:left="1080" w:hanging="1080"/>
        <w:outlineLvl w:val="2"/>
        <w:rPr>
          <w:b/>
          <w:bCs/>
          <w:i/>
        </w:rPr>
      </w:pPr>
      <w:bookmarkStart w:id="31" w:name="_Toc141428015"/>
      <w:r w:rsidRPr="0025427A">
        <w:rPr>
          <w:b/>
          <w:bCs/>
          <w:i/>
        </w:rPr>
        <w:t>27.5.5</w:t>
      </w:r>
      <w:r w:rsidRPr="0025427A">
        <w:rPr>
          <w:b/>
          <w:bCs/>
          <w:i/>
        </w:rPr>
        <w:tab/>
        <w:t>Monitoring of a Counter-Party’s Securitization Uplift Charge Credit Exposure by ERCOT</w:t>
      </w:r>
      <w:bookmarkEnd w:id="31"/>
    </w:p>
    <w:p w14:paraId="34AEB597" w14:textId="77777777" w:rsidR="0025427A" w:rsidRPr="0025427A" w:rsidRDefault="0025427A" w:rsidP="0025427A">
      <w:pPr>
        <w:spacing w:after="240"/>
        <w:ind w:left="720" w:hanging="720"/>
        <w:rPr>
          <w:rFonts w:eastAsia="MS Mincho"/>
        </w:rPr>
      </w:pPr>
      <w:r w:rsidRPr="0025427A">
        <w:rPr>
          <w:rFonts w:eastAsia="MS Mincho"/>
        </w:rPr>
        <w:t>(1)</w:t>
      </w:r>
      <w:r w:rsidRPr="0025427A">
        <w:rPr>
          <w:rFonts w:eastAsia="MS Mincho"/>
        </w:rPr>
        <w:tab/>
        <w:t xml:space="preserve">Pursuant to Section 16.11.5, Monitoring of a Counter-Party’s Creditworthiness and Credit Exposure by ERCOT, ERCOT shall monitor the credit exposure of each Counter-Party, including Securitization Uplift Charge Credit Exposure.  </w:t>
      </w:r>
    </w:p>
    <w:p w14:paraId="2D793720" w14:textId="77777777" w:rsidR="0025427A" w:rsidRPr="0025427A" w:rsidRDefault="0025427A" w:rsidP="0025427A">
      <w:pPr>
        <w:spacing w:after="240"/>
        <w:ind w:left="720" w:hanging="720"/>
        <w:rPr>
          <w:rFonts w:eastAsia="MS Mincho"/>
          <w:szCs w:val="24"/>
        </w:rPr>
      </w:pPr>
      <w:r w:rsidRPr="0025427A">
        <w:rPr>
          <w:rFonts w:eastAsia="MS Mincho"/>
          <w:szCs w:val="24"/>
        </w:rPr>
        <w:t>(2)</w:t>
      </w:r>
      <w:r w:rsidRPr="0025427A">
        <w:rPr>
          <w:rFonts w:eastAsia="MS Mincho"/>
          <w:szCs w:val="24"/>
        </w:rPr>
        <w:tab/>
        <w:t xml:space="preserve">A Counter-Party is responsible at all times for maintaining Securitization Uplift Charge escrow deposits in an amount equal to or greater than that Counter-Party’s Securitization Uplift Charge Credit Exposure. </w:t>
      </w:r>
    </w:p>
    <w:p w14:paraId="1E44953A" w14:textId="77777777" w:rsidR="0025427A" w:rsidRPr="0025427A" w:rsidRDefault="0025427A" w:rsidP="0025427A">
      <w:pPr>
        <w:spacing w:after="240"/>
        <w:ind w:left="720" w:hanging="720"/>
        <w:rPr>
          <w:rFonts w:eastAsia="MS Mincho"/>
          <w:szCs w:val="24"/>
        </w:rPr>
      </w:pPr>
      <w:r w:rsidRPr="0025427A">
        <w:rPr>
          <w:rFonts w:eastAsia="MS Mincho"/>
          <w:szCs w:val="24"/>
        </w:rPr>
        <w:t>(3)</w:t>
      </w:r>
      <w:r w:rsidRPr="0025427A">
        <w:rPr>
          <w:rFonts w:eastAsia="MS Mincho"/>
          <w:szCs w:val="24"/>
        </w:rPr>
        <w:tab/>
        <w:t xml:space="preserve">ERCOT shall promptly notify each Counter-Party of the need to increase its Securitization Uplift Charge escrow deposit and allow the Counter-Party time, as provided in paragraph (5) below, to provide additional Securitization Uplift Charge escrow deposits to maintain compliance with this Section. </w:t>
      </w:r>
    </w:p>
    <w:p w14:paraId="481D9A4D" w14:textId="77777777" w:rsidR="0025427A" w:rsidRPr="0025427A" w:rsidRDefault="0025427A" w:rsidP="0025427A">
      <w:pPr>
        <w:spacing w:after="240"/>
        <w:ind w:left="720" w:hanging="720"/>
        <w:rPr>
          <w:rFonts w:eastAsia="MS Mincho"/>
          <w:szCs w:val="24"/>
        </w:rPr>
      </w:pPr>
      <w:r w:rsidRPr="0025427A">
        <w:rPr>
          <w:rFonts w:eastAsia="MS Mincho"/>
          <w:szCs w:val="24"/>
        </w:rPr>
        <w:t>(4)</w:t>
      </w:r>
      <w:r w:rsidRPr="0025427A">
        <w:rPr>
          <w:rFonts w:eastAsia="MS Mincho"/>
          <w:szCs w:val="24"/>
        </w:rPr>
        <w:tab/>
        <w:t xml:space="preserve">ERCOT may suspend a Counter-Party when that Counter-Party’s LASUCCE, as defined in Section 27.5.4, </w:t>
      </w:r>
      <w:r w:rsidRPr="0025427A">
        <w:rPr>
          <w:szCs w:val="24"/>
        </w:rPr>
        <w:t>Determination of Securitization Uplift Charge Credit Exposure for a Counter-Party,</w:t>
      </w:r>
      <w:r w:rsidRPr="0025427A">
        <w:rPr>
          <w:rFonts w:eastAsia="MS Mincho"/>
          <w:szCs w:val="24"/>
        </w:rPr>
        <w:t xml:space="preserve"> equals or exceeds 100% of its Securitization Uplift Charge escrow deposit.  Any failure by ERCOT to send a Notice as set forth in this Section does not </w:t>
      </w:r>
      <w:r w:rsidRPr="0025427A">
        <w:rPr>
          <w:rFonts w:eastAsia="MS Mincho"/>
          <w:szCs w:val="24"/>
        </w:rPr>
        <w:lastRenderedPageBreak/>
        <w:t xml:space="preserve">relieve the Counter-Party from the obligation to maintain appropriate Securitization Uplift Charge escrow deposits in amounts equal to or greater than that Counter-Party’s LASUCFME. </w:t>
      </w:r>
    </w:p>
    <w:p w14:paraId="32B559B6" w14:textId="77777777" w:rsidR="0025427A" w:rsidRPr="0025427A" w:rsidRDefault="0025427A" w:rsidP="0025427A">
      <w:pPr>
        <w:spacing w:after="240"/>
        <w:ind w:left="720" w:hanging="720"/>
        <w:rPr>
          <w:rFonts w:eastAsia="MS Mincho"/>
          <w:szCs w:val="24"/>
        </w:rPr>
      </w:pPr>
      <w:r w:rsidRPr="0025427A">
        <w:rPr>
          <w:rFonts w:eastAsia="MS Mincho"/>
          <w:szCs w:val="24"/>
        </w:rPr>
        <w:t>(5)</w:t>
      </w:r>
      <w:r w:rsidRPr="0025427A">
        <w:rPr>
          <w:rFonts w:eastAsia="MS Mincho"/>
          <w:szCs w:val="24"/>
        </w:rPr>
        <w:tab/>
        <w:t>To the extent that a Counter-Party fails to maintain Securitization Uplift Charge escrow deposits in amounts equal to or greater than its LASUCCE, as defined in Section 27.5.4:</w:t>
      </w:r>
    </w:p>
    <w:p w14:paraId="723F5782" w14:textId="77777777" w:rsidR="0025427A" w:rsidRPr="0025427A" w:rsidRDefault="0025427A" w:rsidP="0025427A">
      <w:pPr>
        <w:spacing w:after="240"/>
        <w:ind w:left="1440" w:hanging="720"/>
        <w:rPr>
          <w:rFonts w:eastAsia="MS Mincho"/>
          <w:szCs w:val="24"/>
        </w:rPr>
      </w:pPr>
      <w:r w:rsidRPr="0025427A">
        <w:rPr>
          <w:rFonts w:eastAsia="MS Mincho"/>
          <w:szCs w:val="24"/>
        </w:rPr>
        <w:t>(a)</w:t>
      </w:r>
      <w:r w:rsidRPr="0025427A">
        <w:rPr>
          <w:rFonts w:eastAsia="MS Mincho"/>
          <w:szCs w:val="24"/>
        </w:rPr>
        <w:tab/>
        <w:t xml:space="preserve">ERCOT shall promptly notify the Counter-Party of the amount by which its Securitization Uplift Charge escrow deposit must be increased and allow it: </w:t>
      </w:r>
    </w:p>
    <w:p w14:paraId="030CFF81" w14:textId="77777777" w:rsidR="0025427A" w:rsidRPr="0025427A" w:rsidRDefault="0025427A" w:rsidP="0025427A">
      <w:pPr>
        <w:spacing w:after="240"/>
        <w:ind w:left="2160" w:hanging="720"/>
        <w:rPr>
          <w:rFonts w:eastAsia="MS Mincho"/>
        </w:rPr>
      </w:pPr>
      <w:r w:rsidRPr="0025427A">
        <w:rPr>
          <w:rFonts w:eastAsia="MS Mincho"/>
        </w:rPr>
        <w:t>(i)</w:t>
      </w:r>
      <w:r w:rsidRPr="0025427A">
        <w:rPr>
          <w:rFonts w:eastAsia="MS Mincho"/>
        </w:rPr>
        <w:tab/>
        <w:t xml:space="preserve">Until 1500 on the second Bank Business Day from the date on which ERCOT delivered the Notice to increase its Securitization Uplift Charge escrow deposit if ERCOT delivered its Notice before 1500; or </w:t>
      </w:r>
    </w:p>
    <w:p w14:paraId="24B2B349" w14:textId="77777777" w:rsidR="0025427A" w:rsidRPr="0025427A" w:rsidRDefault="0025427A" w:rsidP="0025427A">
      <w:pPr>
        <w:spacing w:after="240"/>
        <w:ind w:left="2160" w:hanging="720"/>
        <w:rPr>
          <w:rFonts w:eastAsia="MS Mincho"/>
        </w:rPr>
      </w:pPr>
      <w:r w:rsidRPr="0025427A">
        <w:rPr>
          <w:rFonts w:eastAsia="MS Mincho"/>
        </w:rPr>
        <w:t>(ii)</w:t>
      </w:r>
      <w:r w:rsidRPr="0025427A">
        <w:rPr>
          <w:rFonts w:eastAsia="MS Mincho"/>
        </w:rPr>
        <w:tab/>
        <w:t xml:space="preserve">Until 1700 on the second Bank Business Day from the date on which ERCOT delivered Notification to increase its Securitization Uplift Charge escrow deposit if ERCOT delivered its Notice after 1500 but prior to 1700.  </w:t>
      </w:r>
    </w:p>
    <w:p w14:paraId="7F7E43A4" w14:textId="77777777" w:rsidR="000C35B5" w:rsidRDefault="000C35B5" w:rsidP="000C35B5">
      <w:pPr>
        <w:spacing w:after="240"/>
        <w:ind w:left="1440" w:hanging="720"/>
      </w:pPr>
      <w:r>
        <w:t>(b)</w:t>
      </w:r>
      <w:r>
        <w:tab/>
        <w:t xml:space="preserve">If the Counter-Party does not increase its Securitization Uplift Charge escrow deposit to the required amount by the specified time, ERCOT may utilize Financial Security held with respect to other ERCOT market activities as determined under Section 16.11.4, </w:t>
      </w:r>
      <w:r w:rsidRPr="00BA0745">
        <w:t>Determination and Monitoring of Counter-Party Credit Exposure</w:t>
      </w:r>
      <w:r>
        <w:t xml:space="preserve">, up to the amount of the Securitization Uplift Charge escrow deposit shortfall. </w:t>
      </w:r>
    </w:p>
    <w:p w14:paraId="29F5F13A" w14:textId="77777777" w:rsidR="000C35B5" w:rsidRDefault="000C35B5" w:rsidP="000C35B5">
      <w:pPr>
        <w:pStyle w:val="List"/>
      </w:pPr>
      <w:r>
        <w:t>(c)</w:t>
      </w:r>
      <w:r>
        <w:tab/>
        <w:t>In the event that a Counter-Party is required to increase both its Securitization Default Charge escrow deposit and its Securitzation Uplift Charge escrow deposit, and ERCOT utilizes the Counter-Party’s Financ</w:t>
      </w:r>
      <w:r w:rsidRPr="00007CCE">
        <w:t>ial Security, available Financial Security funds will be allocated on a pro rata basis</w:t>
      </w:r>
      <w:r>
        <w:t xml:space="preserve"> to Securitization Uplift Charge and Securitization Default Charge escrow deposit requirements.</w:t>
      </w:r>
    </w:p>
    <w:p w14:paraId="7694AC91" w14:textId="7B5EF778" w:rsidR="0025427A" w:rsidRPr="0025427A" w:rsidRDefault="0025427A" w:rsidP="0025427A">
      <w:pPr>
        <w:spacing w:after="240"/>
        <w:ind w:left="1440" w:hanging="720"/>
        <w:rPr>
          <w:rFonts w:eastAsia="MS Mincho"/>
        </w:rPr>
      </w:pPr>
      <w:r w:rsidRPr="0025427A">
        <w:rPr>
          <w:rFonts w:eastAsia="MS Mincho"/>
        </w:rPr>
        <w:t>(</w:t>
      </w:r>
      <w:r w:rsidR="000C35B5">
        <w:rPr>
          <w:rFonts w:eastAsia="MS Mincho"/>
        </w:rPr>
        <w:t>d</w:t>
      </w:r>
      <w:r w:rsidRPr="0025427A">
        <w:rPr>
          <w:rFonts w:eastAsia="MS Mincho"/>
        </w:rPr>
        <w:t>)</w:t>
      </w:r>
      <w:r w:rsidRPr="0025427A">
        <w:rPr>
          <w:rFonts w:eastAsia="MS Mincho"/>
        </w:rPr>
        <w:tab/>
        <w:t>ERCOT shall notify the QSE’s Authorized Representative(s) and Credit Contact if it has not received the required security by 1530 on the Bank Business Day on which the security was due; however, failure to notify the Counter-Party’s representatives or credit contacts that the required security was not received does not prevent ERCOT from exercising any of its other rights under this Section.</w:t>
      </w:r>
    </w:p>
    <w:p w14:paraId="40AD3E99" w14:textId="0548ABA3" w:rsidR="0025427A" w:rsidRPr="0025427A" w:rsidRDefault="0025427A" w:rsidP="0025427A">
      <w:pPr>
        <w:spacing w:after="240"/>
        <w:ind w:left="1440" w:hanging="720"/>
        <w:rPr>
          <w:rFonts w:eastAsia="MS Mincho"/>
          <w:szCs w:val="24"/>
        </w:rPr>
      </w:pPr>
      <w:r w:rsidRPr="0025427A">
        <w:rPr>
          <w:rFonts w:eastAsia="MS Mincho"/>
          <w:szCs w:val="24"/>
        </w:rPr>
        <w:t>(</w:t>
      </w:r>
      <w:r w:rsidR="000C35B5">
        <w:rPr>
          <w:rFonts w:eastAsia="MS Mincho"/>
          <w:szCs w:val="24"/>
        </w:rPr>
        <w:t>e</w:t>
      </w:r>
      <w:r w:rsidRPr="0025427A">
        <w:rPr>
          <w:rFonts w:eastAsia="MS Mincho"/>
          <w:szCs w:val="24"/>
        </w:rPr>
        <w:t>)</w:t>
      </w:r>
      <w:r w:rsidRPr="0025427A">
        <w:rPr>
          <w:rFonts w:eastAsia="MS Mincho"/>
          <w:szCs w:val="24"/>
        </w:rPr>
        <w:tab/>
        <w:t xml:space="preserve">ERCOT is not required to make any payment to that Counter-Party unless and until the Counter-Party increases its Securitization Uplift Charge escrow deposit to an amount equal to or greater than that Counter-Party’s LASUCCE.  The payments that ERCOT will not make to a Counter-Party include Invoice receipts, CRR revenues, </w:t>
      </w:r>
      <w:smartTag w:uri="urn:schemas-microsoft-com:office:smarttags" w:element="stockticker">
        <w:r w:rsidRPr="0025427A">
          <w:rPr>
            <w:rFonts w:eastAsia="MS Mincho"/>
            <w:szCs w:val="24"/>
          </w:rPr>
          <w:t>CRR</w:t>
        </w:r>
      </w:smartTag>
      <w:r w:rsidRPr="0025427A">
        <w:rPr>
          <w:rFonts w:eastAsia="MS Mincho"/>
          <w:szCs w:val="24"/>
        </w:rPr>
        <w:t xml:space="preserve"> credits, reimbursements for short payments, and any other reimbursements or credits under any other agreement between the Market Participant and ERCOT.  ERCOT may retain all such amounts until the Counter-Party has fully discharged all payment obligations owed to ERCOT under the Counter-Party Agreement, other agreements, and these Protocols. </w:t>
      </w:r>
    </w:p>
    <w:p w14:paraId="51473A3D" w14:textId="77777777" w:rsidR="0025427A" w:rsidRPr="0025427A" w:rsidRDefault="0025427A" w:rsidP="0025427A">
      <w:pPr>
        <w:spacing w:after="240"/>
        <w:ind w:left="720" w:hanging="720"/>
        <w:rPr>
          <w:rFonts w:eastAsia="MS Mincho"/>
        </w:rPr>
      </w:pPr>
      <w:r w:rsidRPr="0025427A">
        <w:rPr>
          <w:rFonts w:eastAsia="MS Mincho"/>
        </w:rPr>
        <w:lastRenderedPageBreak/>
        <w:t>(6)</w:t>
      </w:r>
      <w:r w:rsidRPr="0025427A">
        <w:rPr>
          <w:rFonts w:eastAsia="MS Mincho"/>
        </w:rPr>
        <w:tab/>
        <w:t>If a Counter-Party increases its Securitization Uplift Charge escrow deposit as required by ERCOT by the deadline in paragraph (5)(a) above, then ERCOT shall release any payments held, providing the Counter-Party has no other payment deficiencies with respect to any other activity under these Protocols.</w:t>
      </w:r>
    </w:p>
    <w:p w14:paraId="34921B04" w14:textId="77777777" w:rsidR="0025427A" w:rsidRPr="0025427A" w:rsidRDefault="0025427A" w:rsidP="0025427A">
      <w:pPr>
        <w:keepNext/>
        <w:tabs>
          <w:tab w:val="left" w:pos="1080"/>
        </w:tabs>
        <w:spacing w:before="240" w:after="240"/>
        <w:ind w:left="1080" w:hanging="1080"/>
        <w:outlineLvl w:val="2"/>
        <w:rPr>
          <w:b/>
          <w:bCs/>
          <w:i/>
        </w:rPr>
      </w:pPr>
      <w:bookmarkStart w:id="32" w:name="_Toc141428016"/>
      <w:r w:rsidRPr="0025427A">
        <w:rPr>
          <w:b/>
          <w:bCs/>
          <w:i/>
        </w:rPr>
        <w:t>27.5.6</w:t>
      </w:r>
      <w:r w:rsidRPr="0025427A">
        <w:rPr>
          <w:b/>
          <w:bCs/>
          <w:i/>
        </w:rPr>
        <w:tab/>
        <w:t>Payment Breach and Late Payments by Market Participants</w:t>
      </w:r>
      <w:bookmarkEnd w:id="32"/>
    </w:p>
    <w:p w14:paraId="64232EA9" w14:textId="77777777" w:rsidR="0025427A" w:rsidRPr="0025427A" w:rsidRDefault="0025427A" w:rsidP="0025427A">
      <w:pPr>
        <w:spacing w:after="240"/>
        <w:ind w:left="720" w:hanging="720"/>
        <w:rPr>
          <w:rFonts w:eastAsia="MS Mincho"/>
        </w:rPr>
      </w:pPr>
      <w:r w:rsidRPr="0025427A">
        <w:rPr>
          <w:rFonts w:eastAsia="MS Mincho"/>
        </w:rPr>
        <w:t>(1)</w:t>
      </w:r>
      <w:r w:rsidRPr="0025427A">
        <w:rPr>
          <w:rFonts w:eastAsia="MS Mincho"/>
        </w:rPr>
        <w:tab/>
        <w:t>In the event of a Payment Breach or Late Payment by a Market Participant with respect to Securitization Uplift Charge Initial Invoices, Securitization Uplift Charge Reallocation Invoices, or required Securitization Uplift Charge escrow deposits, all remedies specified in Section 16.11.6, Payment Breach and Late Payments by Market Participants, are applicable.</w:t>
      </w:r>
    </w:p>
    <w:p w14:paraId="34C1EACD" w14:textId="77777777" w:rsidR="0025427A" w:rsidRPr="0025427A" w:rsidRDefault="0025427A" w:rsidP="0025427A">
      <w:pPr>
        <w:keepNext/>
        <w:tabs>
          <w:tab w:val="left" w:pos="1080"/>
        </w:tabs>
        <w:spacing w:before="240" w:after="240"/>
        <w:ind w:left="1080" w:hanging="1080"/>
        <w:outlineLvl w:val="2"/>
        <w:rPr>
          <w:b/>
          <w:bCs/>
          <w:i/>
        </w:rPr>
      </w:pPr>
      <w:bookmarkStart w:id="33" w:name="_Toc141428017"/>
      <w:r w:rsidRPr="0025427A">
        <w:rPr>
          <w:b/>
          <w:bCs/>
          <w:i/>
        </w:rPr>
        <w:t>27.5.7</w:t>
      </w:r>
      <w:r w:rsidRPr="0025427A">
        <w:rPr>
          <w:b/>
          <w:bCs/>
          <w:i/>
        </w:rPr>
        <w:tab/>
        <w:t>Release of a Market Participant’s Securitization Uplift Charge Escrow Deposit Requirement</w:t>
      </w:r>
      <w:bookmarkEnd w:id="33"/>
    </w:p>
    <w:p w14:paraId="0E599969" w14:textId="77777777" w:rsidR="0025427A" w:rsidRPr="0025427A" w:rsidRDefault="0025427A" w:rsidP="0025427A">
      <w:pPr>
        <w:spacing w:after="240"/>
        <w:ind w:left="720" w:hanging="720"/>
        <w:rPr>
          <w:rFonts w:eastAsia="MS Mincho"/>
        </w:rPr>
      </w:pPr>
      <w:r w:rsidRPr="0025427A">
        <w:rPr>
          <w:rFonts w:eastAsia="MS Mincho"/>
        </w:rPr>
        <w:t>(1)</w:t>
      </w:r>
      <w:r w:rsidRPr="0025427A">
        <w:rPr>
          <w:rFonts w:eastAsia="MS Mincho"/>
        </w:rPr>
        <w:tab/>
        <w:t>Following the termination of a Market Participant’s Standard Form Market Participant Agreement, ERCOT shall retain all Securitization Uplift Charge escrow deposits to cover, if necessary, potential future obligations for Securitization Uplift Charge Initial Invoices and Securitization Uplift Charge Reallocation Invoices.</w:t>
      </w:r>
    </w:p>
    <w:p w14:paraId="4539AF3E" w14:textId="6E2B75AF" w:rsidR="00D24933" w:rsidRPr="0025427A" w:rsidRDefault="0025427A" w:rsidP="00BB7310">
      <w:pPr>
        <w:spacing w:after="240"/>
        <w:ind w:left="720" w:hanging="720"/>
      </w:pPr>
      <w:r w:rsidRPr="0025427A">
        <w:rPr>
          <w:rFonts w:eastAsia="MS Mincho"/>
          <w:szCs w:val="24"/>
        </w:rPr>
        <w:t>(2)</w:t>
      </w:r>
      <w:r w:rsidRPr="0025427A">
        <w:rPr>
          <w:rFonts w:eastAsia="MS Mincho"/>
          <w:szCs w:val="24"/>
        </w:rPr>
        <w:tab/>
        <w:t>Upon ERCOT’s sole determination that all potential Securitization Uplift Charge Initial Invoices and Securitization Uplift Charge Reallocation Invoices have been paid, ERCOT shall return or release any remaining Securitization Uplift Charge escrow deposits to the terminated Market Participant.</w:t>
      </w:r>
    </w:p>
    <w:sectPr w:rsidR="00D24933" w:rsidRPr="0025427A" w:rsidSect="002F5868">
      <w:headerReference w:type="default" r:id="rId14"/>
      <w:footerReference w:type="default" r:id="rId15"/>
      <w:pgSz w:w="12240" w:h="15840" w:code="1"/>
      <w:pgMar w:top="1440" w:right="1440" w:bottom="1440" w:left="1440" w:header="720" w:footer="720" w:gutter="0"/>
      <w:pgNumType w:start="1" w:chapStyle="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DBF05B" w14:textId="77777777" w:rsidR="006332F2" w:rsidRDefault="006332F2">
      <w:r>
        <w:separator/>
      </w:r>
    </w:p>
  </w:endnote>
  <w:endnote w:type="continuationSeparator" w:id="0">
    <w:p w14:paraId="65891712" w14:textId="77777777" w:rsidR="006332F2" w:rsidRDefault="006332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DBC91A" w14:textId="77777777" w:rsidR="0025427A" w:rsidRDefault="0025427A">
    <w:pPr>
      <w:pStyle w:val="Footer"/>
      <w:spacing w:before="0" w:after="0"/>
    </w:pPr>
    <w:r>
      <w:t>ERCOT Nodal Protocols – March 1, 2019</w:t>
    </w:r>
  </w:p>
  <w:p w14:paraId="48BEC8C8" w14:textId="77777777" w:rsidR="0025427A" w:rsidRDefault="0025427A">
    <w:pPr>
      <w:pStyle w:val="Footer"/>
      <w:spacing w:before="0" w:after="0"/>
      <w:jc w:val="center"/>
    </w:pPr>
    <w:r>
      <w:t>PUBLIC</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5E6770" w14:textId="77777777" w:rsidR="0025427A" w:rsidRDefault="0025427A">
    <w:pPr>
      <w:pStyle w:val="Footer"/>
      <w:pBdr>
        <w:top w:val="none" w:sz="0" w:space="0" w:color="auto"/>
      </w:pBdr>
      <w:jc w:val="center"/>
    </w:pPr>
    <w:r>
      <w:t>PUBLIC</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4CD874" w14:textId="0F5167BC" w:rsidR="0025427A" w:rsidRDefault="0025427A">
    <w:pPr>
      <w:pStyle w:val="Footer"/>
      <w:spacing w:before="0" w:after="0"/>
    </w:pPr>
    <w:r>
      <w:t xml:space="preserve">ERCOT Nodal Protocols – </w:t>
    </w:r>
    <w:r w:rsidR="00205E61">
      <w:t>August</w:t>
    </w:r>
    <w:r>
      <w:t xml:space="preserve"> 1, 202</w:t>
    </w:r>
    <w:r w:rsidR="00205E61">
      <w:t>3</w:t>
    </w:r>
  </w:p>
  <w:p w14:paraId="3918B721" w14:textId="77777777" w:rsidR="0025427A" w:rsidRDefault="0025427A">
    <w:pPr>
      <w:pStyle w:val="Footer"/>
      <w:spacing w:before="0" w:after="0"/>
      <w:jc w:val="center"/>
    </w:pPr>
    <w:r>
      <w:t>PUBLIC</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9A029D" w14:textId="6993C53D" w:rsidR="00D24933" w:rsidRDefault="00D24933">
    <w:pPr>
      <w:pStyle w:val="Footer"/>
      <w:spacing w:before="0" w:after="0"/>
      <w:rPr>
        <w:rStyle w:val="PageNumber"/>
      </w:rPr>
    </w:pPr>
    <w:r>
      <w:t xml:space="preserve">ERCOT Nodal Protocols – </w:t>
    </w:r>
    <w:r w:rsidR="00205E61">
      <w:t>August</w:t>
    </w:r>
    <w:r>
      <w:t xml:space="preserve"> 1, </w:t>
    </w:r>
    <w:proofErr w:type="gramStart"/>
    <w:r>
      <w:t>202</w:t>
    </w:r>
    <w:r w:rsidR="00205E61">
      <w:t>3</w:t>
    </w:r>
    <w:proofErr w:type="gramEnd"/>
    <w:r>
      <w:tab/>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25-18</w:t>
    </w:r>
    <w:r>
      <w:rPr>
        <w:rStyle w:val="PageNumber"/>
      </w:rPr>
      <w:fldChar w:fldCharType="end"/>
    </w:r>
  </w:p>
  <w:p w14:paraId="56632C8E" w14:textId="77777777" w:rsidR="00D24933" w:rsidRDefault="00D24933">
    <w:pPr>
      <w:pStyle w:val="Footer"/>
      <w:spacing w:before="0" w:after="0"/>
      <w:jc w:val="center"/>
    </w:pPr>
    <w:r>
      <w:rPr>
        <w:rStyle w:val="PageNumber"/>
      </w:rPr>
      <w:t>PUBLIC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ABE71D" w14:textId="77777777" w:rsidR="006332F2" w:rsidRDefault="006332F2">
      <w:r>
        <w:separator/>
      </w:r>
    </w:p>
  </w:footnote>
  <w:footnote w:type="continuationSeparator" w:id="0">
    <w:p w14:paraId="644DCDFC" w14:textId="77777777" w:rsidR="006332F2" w:rsidRDefault="006332F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0D3040" w14:textId="77777777" w:rsidR="0025427A" w:rsidRDefault="0025427A">
    <w:pPr>
      <w:pStyle w:val="Header"/>
    </w:pPr>
    <w:r>
      <w:t xml:space="preserve">Section </w:t>
    </w:r>
    <w:r>
      <w:rPr>
        <w:lang w:val="en-US"/>
      </w:rPr>
      <w:t>25</w:t>
    </w:r>
    <w:r>
      <w:t>: Table of Contents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7E60A2" w14:textId="77777777" w:rsidR="0025427A" w:rsidRDefault="0025427A">
    <w:pPr>
      <w:pStyle w:val="Header"/>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2C04F0" w14:textId="77777777" w:rsidR="0025427A" w:rsidRDefault="0025427A">
    <w:pPr>
      <w:pStyle w:val="Header"/>
    </w:pPr>
    <w:r>
      <w:t xml:space="preserve">Section </w:t>
    </w:r>
    <w:r>
      <w:rPr>
        <w:lang w:val="en-US"/>
      </w:rPr>
      <w:t>27</w:t>
    </w:r>
    <w:r>
      <w:t>:  Table of Contents</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1DF1EC" w14:textId="2D3C4ACA" w:rsidR="00D24933" w:rsidRDefault="00D24933">
    <w:pPr>
      <w:pStyle w:val="Header"/>
    </w:pPr>
    <w:r>
      <w:t xml:space="preserve">Section </w:t>
    </w:r>
    <w:r>
      <w:rPr>
        <w:lang w:val="en-US"/>
      </w:rPr>
      <w:t>2</w:t>
    </w:r>
    <w:r w:rsidR="0025427A">
      <w:rPr>
        <w:lang w:val="en-US"/>
      </w:rPr>
      <w:t>7</w:t>
    </w:r>
    <w:r>
      <w:t xml:space="preserve">:  </w:t>
    </w:r>
    <w:r w:rsidRPr="00D24933">
      <w:t xml:space="preserve">Securitization </w:t>
    </w:r>
    <w:r w:rsidR="0025427A">
      <w:rPr>
        <w:lang w:val="en-US"/>
      </w:rPr>
      <w:t>Uplift</w:t>
    </w:r>
    <w:r w:rsidRPr="00D24933">
      <w:t xml:space="preserve"> Charges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B12593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1428DC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634147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1372636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C2C6CEC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FF4C3B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8B22399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EC6A946"/>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B6E03B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AEBCE49C"/>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000004"/>
    <w:multiLevelType w:val="multilevel"/>
    <w:tmpl w:val="BC5A5418"/>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1" w15:restartNumberingAfterBreak="0">
    <w:nsid w:val="00000018"/>
    <w:multiLevelType w:val="singleLevel"/>
    <w:tmpl w:val="DFB241A2"/>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0A2F6AE9"/>
    <w:multiLevelType w:val="multilevel"/>
    <w:tmpl w:val="7F86B8BA"/>
    <w:lvl w:ilvl="0">
      <w:start w:val="26"/>
      <w:numFmt w:val="decimal"/>
      <w:lvlText w:val="%1"/>
      <w:lvlJc w:val="left"/>
      <w:pPr>
        <w:ind w:left="420" w:hanging="420"/>
      </w:pPr>
      <w:rPr>
        <w:rFonts w:hint="default"/>
      </w:rPr>
    </w:lvl>
    <w:lvl w:ilvl="1">
      <w:start w:val="6"/>
      <w:numFmt w:val="decimal"/>
      <w:lvlText w:val="%1.%2"/>
      <w:lvlJc w:val="left"/>
      <w:pPr>
        <w:ind w:left="780" w:hanging="4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3" w15:restartNumberingAfterBreak="0">
    <w:nsid w:val="0C1F42C5"/>
    <w:multiLevelType w:val="hybridMultilevel"/>
    <w:tmpl w:val="B678ABC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D99547E"/>
    <w:multiLevelType w:val="hybridMultilevel"/>
    <w:tmpl w:val="2F1A594E"/>
    <w:lvl w:ilvl="0" w:tplc="0700C7CA">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36F434C"/>
    <w:multiLevelType w:val="hybridMultilevel"/>
    <w:tmpl w:val="EF46D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0DF51AB"/>
    <w:multiLevelType w:val="hybridMultilevel"/>
    <w:tmpl w:val="C41A9A32"/>
    <w:lvl w:ilvl="0" w:tplc="CDF0F1E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634546E"/>
    <w:multiLevelType w:val="hybridMultilevel"/>
    <w:tmpl w:val="95B24F24"/>
    <w:lvl w:ilvl="0" w:tplc="FBBAB3DA">
      <w:start w:val="1"/>
      <w:numFmt w:val="bullet"/>
      <w:lvlText w:val=""/>
      <w:lvlJc w:val="left"/>
      <w:pPr>
        <w:ind w:left="975"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C8E27E3"/>
    <w:multiLevelType w:val="hybridMultilevel"/>
    <w:tmpl w:val="AFFE38F2"/>
    <w:lvl w:ilvl="0" w:tplc="76CE34FE">
      <w:start w:val="1"/>
      <w:numFmt w:val="lowerLetter"/>
      <w:lvlText w:val="(%1)"/>
      <w:lvlJc w:val="left"/>
      <w:pPr>
        <w:ind w:left="216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B2848CB"/>
    <w:multiLevelType w:val="hybridMultilevel"/>
    <w:tmpl w:val="8FDA0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BB43FCB"/>
    <w:multiLevelType w:val="hybridMultilevel"/>
    <w:tmpl w:val="2D0A61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15:restartNumberingAfterBreak="0">
    <w:nsid w:val="65802E81"/>
    <w:multiLevelType w:val="hybridMultilevel"/>
    <w:tmpl w:val="AFBC2F24"/>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2" w15:restartNumberingAfterBreak="0">
    <w:nsid w:val="66510064"/>
    <w:multiLevelType w:val="multilevel"/>
    <w:tmpl w:val="69124956"/>
    <w:lvl w:ilvl="0">
      <w:start w:val="27"/>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1440"/>
        </w:tabs>
        <w:ind w:left="1440" w:hanging="720"/>
      </w:pPr>
      <w:rPr>
        <w:rFonts w:hint="default"/>
      </w:rPr>
    </w:lvl>
    <w:lvl w:ilvl="3">
      <w:start w:val="1"/>
      <w:numFmt w:val="decimal"/>
      <w:pStyle w:val="Heading4"/>
      <w:lvlText w:val="%1.%2.%3.%4"/>
      <w:lvlJc w:val="left"/>
      <w:pPr>
        <w:tabs>
          <w:tab w:val="num" w:pos="954"/>
        </w:tabs>
        <w:ind w:left="95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3" w15:restartNumberingAfterBreak="0">
    <w:nsid w:val="66CF6858"/>
    <w:multiLevelType w:val="hybridMultilevel"/>
    <w:tmpl w:val="84063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BA329B3"/>
    <w:multiLevelType w:val="hybridMultilevel"/>
    <w:tmpl w:val="3EB282C8"/>
    <w:lvl w:ilvl="0" w:tplc="708C4898">
      <w:start w:val="3"/>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5" w15:restartNumberingAfterBreak="0">
    <w:nsid w:val="6E2B350E"/>
    <w:multiLevelType w:val="hybridMultilevel"/>
    <w:tmpl w:val="0504B118"/>
    <w:lvl w:ilvl="0" w:tplc="FDA41542">
      <w:start w:val="3"/>
      <w:numFmt w:val="decimal"/>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 w15:restartNumberingAfterBreak="0">
    <w:nsid w:val="7125694A"/>
    <w:multiLevelType w:val="hybridMultilevel"/>
    <w:tmpl w:val="7BA25B1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6060C90"/>
    <w:multiLevelType w:val="hybridMultilevel"/>
    <w:tmpl w:val="246208DE"/>
    <w:lvl w:ilvl="0" w:tplc="9434FC1A">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8" w15:restartNumberingAfterBreak="0">
    <w:nsid w:val="7B331525"/>
    <w:multiLevelType w:val="singleLevel"/>
    <w:tmpl w:val="0AB409BE"/>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7D3D5E76"/>
    <w:multiLevelType w:val="hybridMultilevel"/>
    <w:tmpl w:val="2738E0BE"/>
    <w:lvl w:ilvl="0" w:tplc="874E4EE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94861753">
    <w:abstractNumId w:val="22"/>
  </w:num>
  <w:num w:numId="2" w16cid:durableId="632826729">
    <w:abstractNumId w:val="9"/>
  </w:num>
  <w:num w:numId="3" w16cid:durableId="1857770701">
    <w:abstractNumId w:val="7"/>
  </w:num>
  <w:num w:numId="4" w16cid:durableId="1570992997">
    <w:abstractNumId w:val="6"/>
  </w:num>
  <w:num w:numId="5" w16cid:durableId="1331523791">
    <w:abstractNumId w:val="5"/>
  </w:num>
  <w:num w:numId="6" w16cid:durableId="776170096">
    <w:abstractNumId w:val="4"/>
  </w:num>
  <w:num w:numId="7" w16cid:durableId="1830443714">
    <w:abstractNumId w:val="8"/>
  </w:num>
  <w:num w:numId="8" w16cid:durableId="301733339">
    <w:abstractNumId w:val="3"/>
  </w:num>
  <w:num w:numId="9" w16cid:durableId="1101878969">
    <w:abstractNumId w:val="2"/>
  </w:num>
  <w:num w:numId="10" w16cid:durableId="569273780">
    <w:abstractNumId w:val="1"/>
  </w:num>
  <w:num w:numId="11" w16cid:durableId="1416515650">
    <w:abstractNumId w:val="0"/>
  </w:num>
  <w:num w:numId="12" w16cid:durableId="1483691414">
    <w:abstractNumId w:val="10"/>
  </w:num>
  <w:num w:numId="13" w16cid:durableId="1263949760">
    <w:abstractNumId w:val="27"/>
  </w:num>
  <w:num w:numId="14" w16cid:durableId="2099250696">
    <w:abstractNumId w:val="28"/>
  </w:num>
  <w:num w:numId="15" w16cid:durableId="1905752225">
    <w:abstractNumId w:val="11"/>
  </w:num>
  <w:num w:numId="16" w16cid:durableId="1368793682">
    <w:abstractNumId w:val="16"/>
  </w:num>
  <w:num w:numId="17" w16cid:durableId="169491194">
    <w:abstractNumId w:val="21"/>
  </w:num>
  <w:num w:numId="18" w16cid:durableId="1240675120">
    <w:abstractNumId w:val="24"/>
  </w:num>
  <w:num w:numId="19" w16cid:durableId="440271501">
    <w:abstractNumId w:val="26"/>
  </w:num>
  <w:num w:numId="20" w16cid:durableId="453643860">
    <w:abstractNumId w:val="17"/>
  </w:num>
  <w:num w:numId="21" w16cid:durableId="1351569792">
    <w:abstractNumId w:val="23"/>
  </w:num>
  <w:num w:numId="22" w16cid:durableId="630793130">
    <w:abstractNumId w:val="15"/>
  </w:num>
  <w:num w:numId="23" w16cid:durableId="463041570">
    <w:abstractNumId w:val="19"/>
  </w:num>
  <w:num w:numId="24" w16cid:durableId="2038653561">
    <w:abstractNumId w:val="13"/>
  </w:num>
  <w:num w:numId="25" w16cid:durableId="51316445">
    <w:abstractNumId w:val="12"/>
  </w:num>
  <w:num w:numId="26" w16cid:durableId="1651014383">
    <w:abstractNumId w:val="18"/>
  </w:num>
  <w:num w:numId="27" w16cid:durableId="1472677820">
    <w:abstractNumId w:val="29"/>
  </w:num>
  <w:num w:numId="28" w16cid:durableId="1189182043">
    <w:abstractNumId w:val="14"/>
  </w:num>
  <w:num w:numId="29" w16cid:durableId="520627863">
    <w:abstractNumId w:val="25"/>
  </w:num>
  <w:num w:numId="30" w16cid:durableId="73763418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063141689">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81548673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2116636520">
    <w:abstractNumId w:val="2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3788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5868"/>
    <w:rsid w:val="000000C5"/>
    <w:rsid w:val="00001F8D"/>
    <w:rsid w:val="000035E6"/>
    <w:rsid w:val="000037CE"/>
    <w:rsid w:val="0000544B"/>
    <w:rsid w:val="00006895"/>
    <w:rsid w:val="000068BD"/>
    <w:rsid w:val="000136C7"/>
    <w:rsid w:val="00023C8A"/>
    <w:rsid w:val="000251BE"/>
    <w:rsid w:val="000253C4"/>
    <w:rsid w:val="0002714F"/>
    <w:rsid w:val="00027150"/>
    <w:rsid w:val="00030273"/>
    <w:rsid w:val="000320CD"/>
    <w:rsid w:val="0003274B"/>
    <w:rsid w:val="00033C22"/>
    <w:rsid w:val="00033F48"/>
    <w:rsid w:val="00035E9F"/>
    <w:rsid w:val="00036BB6"/>
    <w:rsid w:val="00037B90"/>
    <w:rsid w:val="0004101E"/>
    <w:rsid w:val="000460A8"/>
    <w:rsid w:val="00047280"/>
    <w:rsid w:val="000505C8"/>
    <w:rsid w:val="00054A8E"/>
    <w:rsid w:val="00056548"/>
    <w:rsid w:val="0006082B"/>
    <w:rsid w:val="00063EF0"/>
    <w:rsid w:val="00066B18"/>
    <w:rsid w:val="00067966"/>
    <w:rsid w:val="000708EE"/>
    <w:rsid w:val="00071147"/>
    <w:rsid w:val="000755E1"/>
    <w:rsid w:val="00082CB5"/>
    <w:rsid w:val="00083BFB"/>
    <w:rsid w:val="00085B8E"/>
    <w:rsid w:val="00085EAD"/>
    <w:rsid w:val="00093653"/>
    <w:rsid w:val="00094D3D"/>
    <w:rsid w:val="000A0FDB"/>
    <w:rsid w:val="000A226C"/>
    <w:rsid w:val="000A2A47"/>
    <w:rsid w:val="000A3652"/>
    <w:rsid w:val="000A384D"/>
    <w:rsid w:val="000A5460"/>
    <w:rsid w:val="000A5E65"/>
    <w:rsid w:val="000A75FE"/>
    <w:rsid w:val="000A7801"/>
    <w:rsid w:val="000B0996"/>
    <w:rsid w:val="000B1CA3"/>
    <w:rsid w:val="000B38B6"/>
    <w:rsid w:val="000B61FF"/>
    <w:rsid w:val="000B7C5F"/>
    <w:rsid w:val="000B7DF0"/>
    <w:rsid w:val="000C2A50"/>
    <w:rsid w:val="000C2AC0"/>
    <w:rsid w:val="000C35B5"/>
    <w:rsid w:val="000C37A7"/>
    <w:rsid w:val="000C57A5"/>
    <w:rsid w:val="000C6618"/>
    <w:rsid w:val="000C67FC"/>
    <w:rsid w:val="000E0BA1"/>
    <w:rsid w:val="000E1301"/>
    <w:rsid w:val="000E23F9"/>
    <w:rsid w:val="000E6BBB"/>
    <w:rsid w:val="000E7284"/>
    <w:rsid w:val="000F1BF0"/>
    <w:rsid w:val="000F1C3A"/>
    <w:rsid w:val="000F1DC0"/>
    <w:rsid w:val="000F2071"/>
    <w:rsid w:val="000F6026"/>
    <w:rsid w:val="000F7AF0"/>
    <w:rsid w:val="000F7C60"/>
    <w:rsid w:val="001009FD"/>
    <w:rsid w:val="001012EA"/>
    <w:rsid w:val="00102381"/>
    <w:rsid w:val="0010494F"/>
    <w:rsid w:val="001121BB"/>
    <w:rsid w:val="001125D3"/>
    <w:rsid w:val="00117151"/>
    <w:rsid w:val="0012035F"/>
    <w:rsid w:val="00120CFD"/>
    <w:rsid w:val="00124699"/>
    <w:rsid w:val="001258ED"/>
    <w:rsid w:val="001322AF"/>
    <w:rsid w:val="00133F0B"/>
    <w:rsid w:val="001349D5"/>
    <w:rsid w:val="001364E1"/>
    <w:rsid w:val="00140D6D"/>
    <w:rsid w:val="0014132B"/>
    <w:rsid w:val="001430C8"/>
    <w:rsid w:val="001435D4"/>
    <w:rsid w:val="00147169"/>
    <w:rsid w:val="00147DBF"/>
    <w:rsid w:val="00150057"/>
    <w:rsid w:val="00160DE6"/>
    <w:rsid w:val="00160F14"/>
    <w:rsid w:val="00161EB6"/>
    <w:rsid w:val="00163446"/>
    <w:rsid w:val="001648A3"/>
    <w:rsid w:val="0016529C"/>
    <w:rsid w:val="0016715C"/>
    <w:rsid w:val="00171BE5"/>
    <w:rsid w:val="001745B7"/>
    <w:rsid w:val="001802E6"/>
    <w:rsid w:val="00180464"/>
    <w:rsid w:val="00180C70"/>
    <w:rsid w:val="00183051"/>
    <w:rsid w:val="001844E7"/>
    <w:rsid w:val="00186525"/>
    <w:rsid w:val="0018761D"/>
    <w:rsid w:val="001918D1"/>
    <w:rsid w:val="00191A7A"/>
    <w:rsid w:val="001A0C65"/>
    <w:rsid w:val="001A2B58"/>
    <w:rsid w:val="001A56DD"/>
    <w:rsid w:val="001A5D5B"/>
    <w:rsid w:val="001A64FC"/>
    <w:rsid w:val="001A6BAA"/>
    <w:rsid w:val="001A72B8"/>
    <w:rsid w:val="001B1100"/>
    <w:rsid w:val="001B2D9D"/>
    <w:rsid w:val="001B55F8"/>
    <w:rsid w:val="001B5C4D"/>
    <w:rsid w:val="001C0B6C"/>
    <w:rsid w:val="001C48D1"/>
    <w:rsid w:val="001C6D26"/>
    <w:rsid w:val="001D043B"/>
    <w:rsid w:val="001D38FF"/>
    <w:rsid w:val="001E0643"/>
    <w:rsid w:val="001E138A"/>
    <w:rsid w:val="001E5F4E"/>
    <w:rsid w:val="001E7A6D"/>
    <w:rsid w:val="001F68CA"/>
    <w:rsid w:val="002002D1"/>
    <w:rsid w:val="00201626"/>
    <w:rsid w:val="00201A4C"/>
    <w:rsid w:val="0020301C"/>
    <w:rsid w:val="00204362"/>
    <w:rsid w:val="00205879"/>
    <w:rsid w:val="00205E61"/>
    <w:rsid w:val="00206CF3"/>
    <w:rsid w:val="002071AA"/>
    <w:rsid w:val="00211EBD"/>
    <w:rsid w:val="00214538"/>
    <w:rsid w:val="00214A0B"/>
    <w:rsid w:val="00216F13"/>
    <w:rsid w:val="002175B0"/>
    <w:rsid w:val="00217E06"/>
    <w:rsid w:val="002232DC"/>
    <w:rsid w:val="0022450A"/>
    <w:rsid w:val="00226522"/>
    <w:rsid w:val="00234DC8"/>
    <w:rsid w:val="00235107"/>
    <w:rsid w:val="00236629"/>
    <w:rsid w:val="0024094E"/>
    <w:rsid w:val="00242528"/>
    <w:rsid w:val="00242B20"/>
    <w:rsid w:val="002441AB"/>
    <w:rsid w:val="00246FD3"/>
    <w:rsid w:val="00250433"/>
    <w:rsid w:val="00250643"/>
    <w:rsid w:val="00251909"/>
    <w:rsid w:val="00252948"/>
    <w:rsid w:val="00253557"/>
    <w:rsid w:val="00253C93"/>
    <w:rsid w:val="0025427A"/>
    <w:rsid w:val="00261EB0"/>
    <w:rsid w:val="0026307F"/>
    <w:rsid w:val="0026416B"/>
    <w:rsid w:val="00265942"/>
    <w:rsid w:val="0027128D"/>
    <w:rsid w:val="002730E1"/>
    <w:rsid w:val="0027779A"/>
    <w:rsid w:val="002800C9"/>
    <w:rsid w:val="00281166"/>
    <w:rsid w:val="00283DAD"/>
    <w:rsid w:val="002856DA"/>
    <w:rsid w:val="00285F2A"/>
    <w:rsid w:val="00290A7B"/>
    <w:rsid w:val="00291EC0"/>
    <w:rsid w:val="00292C62"/>
    <w:rsid w:val="00293CA4"/>
    <w:rsid w:val="00293E99"/>
    <w:rsid w:val="00294083"/>
    <w:rsid w:val="002951E2"/>
    <w:rsid w:val="00296824"/>
    <w:rsid w:val="002A1127"/>
    <w:rsid w:val="002A13DC"/>
    <w:rsid w:val="002A16B0"/>
    <w:rsid w:val="002A1D73"/>
    <w:rsid w:val="002A2A80"/>
    <w:rsid w:val="002B138E"/>
    <w:rsid w:val="002B3B59"/>
    <w:rsid w:val="002B4DC7"/>
    <w:rsid w:val="002B56CF"/>
    <w:rsid w:val="002B6842"/>
    <w:rsid w:val="002B7F89"/>
    <w:rsid w:val="002C3780"/>
    <w:rsid w:val="002C7153"/>
    <w:rsid w:val="002D002D"/>
    <w:rsid w:val="002D20CF"/>
    <w:rsid w:val="002D55E3"/>
    <w:rsid w:val="002D6B9C"/>
    <w:rsid w:val="002D6D19"/>
    <w:rsid w:val="002D6E97"/>
    <w:rsid w:val="002E18E2"/>
    <w:rsid w:val="002E37E9"/>
    <w:rsid w:val="002E4F8A"/>
    <w:rsid w:val="002E51C0"/>
    <w:rsid w:val="002E6E6E"/>
    <w:rsid w:val="002F2B12"/>
    <w:rsid w:val="002F5868"/>
    <w:rsid w:val="00303D8F"/>
    <w:rsid w:val="003060F3"/>
    <w:rsid w:val="003061A0"/>
    <w:rsid w:val="00306A37"/>
    <w:rsid w:val="00310475"/>
    <w:rsid w:val="00311602"/>
    <w:rsid w:val="00311E1F"/>
    <w:rsid w:val="003135A1"/>
    <w:rsid w:val="00313E64"/>
    <w:rsid w:val="00321B52"/>
    <w:rsid w:val="00322069"/>
    <w:rsid w:val="00326226"/>
    <w:rsid w:val="00343EDE"/>
    <w:rsid w:val="003459E3"/>
    <w:rsid w:val="003460D2"/>
    <w:rsid w:val="00350834"/>
    <w:rsid w:val="00351268"/>
    <w:rsid w:val="00351A42"/>
    <w:rsid w:val="0035251C"/>
    <w:rsid w:val="00353E26"/>
    <w:rsid w:val="003543A9"/>
    <w:rsid w:val="0036205D"/>
    <w:rsid w:val="00364431"/>
    <w:rsid w:val="00367A8D"/>
    <w:rsid w:val="003711CE"/>
    <w:rsid w:val="00372438"/>
    <w:rsid w:val="00374222"/>
    <w:rsid w:val="00376976"/>
    <w:rsid w:val="0038222B"/>
    <w:rsid w:val="0038246D"/>
    <w:rsid w:val="003858AA"/>
    <w:rsid w:val="00390863"/>
    <w:rsid w:val="003919AB"/>
    <w:rsid w:val="0039567D"/>
    <w:rsid w:val="0039611D"/>
    <w:rsid w:val="00396995"/>
    <w:rsid w:val="003A1BE2"/>
    <w:rsid w:val="003A4253"/>
    <w:rsid w:val="003A4817"/>
    <w:rsid w:val="003A49A0"/>
    <w:rsid w:val="003A5B80"/>
    <w:rsid w:val="003A5FD2"/>
    <w:rsid w:val="003B1EED"/>
    <w:rsid w:val="003B64A7"/>
    <w:rsid w:val="003B6C4D"/>
    <w:rsid w:val="003C5049"/>
    <w:rsid w:val="003D26CE"/>
    <w:rsid w:val="003D6DF8"/>
    <w:rsid w:val="003E07D7"/>
    <w:rsid w:val="003E1247"/>
    <w:rsid w:val="003E15FE"/>
    <w:rsid w:val="003E66E6"/>
    <w:rsid w:val="003F197D"/>
    <w:rsid w:val="003F391C"/>
    <w:rsid w:val="003F4A82"/>
    <w:rsid w:val="003F580A"/>
    <w:rsid w:val="00402766"/>
    <w:rsid w:val="00402E00"/>
    <w:rsid w:val="00403487"/>
    <w:rsid w:val="00403ADC"/>
    <w:rsid w:val="0040428D"/>
    <w:rsid w:val="004107CF"/>
    <w:rsid w:val="00412101"/>
    <w:rsid w:val="00415636"/>
    <w:rsid w:val="00417F93"/>
    <w:rsid w:val="00421041"/>
    <w:rsid w:val="00423B63"/>
    <w:rsid w:val="00424F6A"/>
    <w:rsid w:val="00425E3A"/>
    <w:rsid w:val="00426217"/>
    <w:rsid w:val="004270F7"/>
    <w:rsid w:val="004275E0"/>
    <w:rsid w:val="004313A1"/>
    <w:rsid w:val="0043210C"/>
    <w:rsid w:val="00432B04"/>
    <w:rsid w:val="004354AA"/>
    <w:rsid w:val="00445B41"/>
    <w:rsid w:val="00445B98"/>
    <w:rsid w:val="00446EFA"/>
    <w:rsid w:val="00447305"/>
    <w:rsid w:val="00447DED"/>
    <w:rsid w:val="00456467"/>
    <w:rsid w:val="00457834"/>
    <w:rsid w:val="00462F4A"/>
    <w:rsid w:val="00463C16"/>
    <w:rsid w:val="004650F4"/>
    <w:rsid w:val="0046574D"/>
    <w:rsid w:val="004658AF"/>
    <w:rsid w:val="004715D5"/>
    <w:rsid w:val="00472482"/>
    <w:rsid w:val="00475AF6"/>
    <w:rsid w:val="00477FF2"/>
    <w:rsid w:val="0048286E"/>
    <w:rsid w:val="00483A4E"/>
    <w:rsid w:val="004910D9"/>
    <w:rsid w:val="00491329"/>
    <w:rsid w:val="004935E4"/>
    <w:rsid w:val="0049412E"/>
    <w:rsid w:val="00496044"/>
    <w:rsid w:val="004A11AF"/>
    <w:rsid w:val="004A46F4"/>
    <w:rsid w:val="004B209B"/>
    <w:rsid w:val="004B44A5"/>
    <w:rsid w:val="004B5FAB"/>
    <w:rsid w:val="004B66C1"/>
    <w:rsid w:val="004B7604"/>
    <w:rsid w:val="004B7A25"/>
    <w:rsid w:val="004C2C73"/>
    <w:rsid w:val="004C526D"/>
    <w:rsid w:val="004C5654"/>
    <w:rsid w:val="004D1242"/>
    <w:rsid w:val="004D3B1C"/>
    <w:rsid w:val="004D4792"/>
    <w:rsid w:val="004D574D"/>
    <w:rsid w:val="004E038F"/>
    <w:rsid w:val="004E080B"/>
    <w:rsid w:val="004E2C89"/>
    <w:rsid w:val="004E7C37"/>
    <w:rsid w:val="004F28FF"/>
    <w:rsid w:val="004F3D2C"/>
    <w:rsid w:val="004F5535"/>
    <w:rsid w:val="004F6967"/>
    <w:rsid w:val="005003EA"/>
    <w:rsid w:val="0050306A"/>
    <w:rsid w:val="00504253"/>
    <w:rsid w:val="00505105"/>
    <w:rsid w:val="00512504"/>
    <w:rsid w:val="005125D9"/>
    <w:rsid w:val="00515754"/>
    <w:rsid w:val="00517288"/>
    <w:rsid w:val="00517D5E"/>
    <w:rsid w:val="00520303"/>
    <w:rsid w:val="00521229"/>
    <w:rsid w:val="00522B6A"/>
    <w:rsid w:val="00523B63"/>
    <w:rsid w:val="005243C6"/>
    <w:rsid w:val="00527F0A"/>
    <w:rsid w:val="00530CDD"/>
    <w:rsid w:val="00531478"/>
    <w:rsid w:val="005317FF"/>
    <w:rsid w:val="0053522E"/>
    <w:rsid w:val="0053718F"/>
    <w:rsid w:val="00541972"/>
    <w:rsid w:val="005438B0"/>
    <w:rsid w:val="00544F85"/>
    <w:rsid w:val="0054792C"/>
    <w:rsid w:val="00547BEB"/>
    <w:rsid w:val="00551866"/>
    <w:rsid w:val="00560A5E"/>
    <w:rsid w:val="005624FB"/>
    <w:rsid w:val="005627BA"/>
    <w:rsid w:val="005637BA"/>
    <w:rsid w:val="00581EC4"/>
    <w:rsid w:val="00582F8A"/>
    <w:rsid w:val="00585AFA"/>
    <w:rsid w:val="00587BE3"/>
    <w:rsid w:val="005908C4"/>
    <w:rsid w:val="005938C0"/>
    <w:rsid w:val="005944AA"/>
    <w:rsid w:val="0059696A"/>
    <w:rsid w:val="005A6716"/>
    <w:rsid w:val="005B1517"/>
    <w:rsid w:val="005B1CA7"/>
    <w:rsid w:val="005B4116"/>
    <w:rsid w:val="005B4921"/>
    <w:rsid w:val="005B5951"/>
    <w:rsid w:val="005B6FDB"/>
    <w:rsid w:val="005C1687"/>
    <w:rsid w:val="005C29D8"/>
    <w:rsid w:val="005C544C"/>
    <w:rsid w:val="005C7D70"/>
    <w:rsid w:val="005D281B"/>
    <w:rsid w:val="005D4619"/>
    <w:rsid w:val="005D5E8B"/>
    <w:rsid w:val="005E1A1D"/>
    <w:rsid w:val="005E2D2D"/>
    <w:rsid w:val="005E45CD"/>
    <w:rsid w:val="005E554F"/>
    <w:rsid w:val="005E5E49"/>
    <w:rsid w:val="005E61C3"/>
    <w:rsid w:val="005F0551"/>
    <w:rsid w:val="005F18C7"/>
    <w:rsid w:val="005F19AF"/>
    <w:rsid w:val="005F4167"/>
    <w:rsid w:val="005F5141"/>
    <w:rsid w:val="005F61C9"/>
    <w:rsid w:val="005F6DBC"/>
    <w:rsid w:val="005F7F75"/>
    <w:rsid w:val="00600503"/>
    <w:rsid w:val="0060131A"/>
    <w:rsid w:val="006043B3"/>
    <w:rsid w:val="00605117"/>
    <w:rsid w:val="00610D6D"/>
    <w:rsid w:val="006125F3"/>
    <w:rsid w:val="0061513E"/>
    <w:rsid w:val="006154BC"/>
    <w:rsid w:val="0061794E"/>
    <w:rsid w:val="00620036"/>
    <w:rsid w:val="006200C1"/>
    <w:rsid w:val="00621AD4"/>
    <w:rsid w:val="00622553"/>
    <w:rsid w:val="0062315C"/>
    <w:rsid w:val="00624C4D"/>
    <w:rsid w:val="0062542E"/>
    <w:rsid w:val="00625828"/>
    <w:rsid w:val="00626FE5"/>
    <w:rsid w:val="00627BEB"/>
    <w:rsid w:val="00630156"/>
    <w:rsid w:val="00630270"/>
    <w:rsid w:val="00632469"/>
    <w:rsid w:val="006332F2"/>
    <w:rsid w:val="00635A74"/>
    <w:rsid w:val="00642868"/>
    <w:rsid w:val="006439CE"/>
    <w:rsid w:val="006459C0"/>
    <w:rsid w:val="006503A0"/>
    <w:rsid w:val="0065052C"/>
    <w:rsid w:val="00655C6A"/>
    <w:rsid w:val="00656F6C"/>
    <w:rsid w:val="00657D04"/>
    <w:rsid w:val="00660ED3"/>
    <w:rsid w:val="00661B66"/>
    <w:rsid w:val="006639BC"/>
    <w:rsid w:val="00672846"/>
    <w:rsid w:val="00673C77"/>
    <w:rsid w:val="0067451A"/>
    <w:rsid w:val="0067556D"/>
    <w:rsid w:val="006766E6"/>
    <w:rsid w:val="006772EC"/>
    <w:rsid w:val="00681A15"/>
    <w:rsid w:val="00682ADA"/>
    <w:rsid w:val="006832D2"/>
    <w:rsid w:val="006843C4"/>
    <w:rsid w:val="00684AD0"/>
    <w:rsid w:val="00684E7F"/>
    <w:rsid w:val="0069541C"/>
    <w:rsid w:val="006A035C"/>
    <w:rsid w:val="006A0DCD"/>
    <w:rsid w:val="006A172D"/>
    <w:rsid w:val="006A3225"/>
    <w:rsid w:val="006A6713"/>
    <w:rsid w:val="006B1969"/>
    <w:rsid w:val="006B2CF0"/>
    <w:rsid w:val="006B4446"/>
    <w:rsid w:val="006C2755"/>
    <w:rsid w:val="006C2837"/>
    <w:rsid w:val="006D27AD"/>
    <w:rsid w:val="006D3549"/>
    <w:rsid w:val="006D7C6D"/>
    <w:rsid w:val="006E068D"/>
    <w:rsid w:val="006E1956"/>
    <w:rsid w:val="006E32CE"/>
    <w:rsid w:val="006E631F"/>
    <w:rsid w:val="006F4018"/>
    <w:rsid w:val="007004AA"/>
    <w:rsid w:val="0070162F"/>
    <w:rsid w:val="0070210E"/>
    <w:rsid w:val="00703204"/>
    <w:rsid w:val="00705090"/>
    <w:rsid w:val="0070570F"/>
    <w:rsid w:val="00710B0D"/>
    <w:rsid w:val="00715342"/>
    <w:rsid w:val="0071686C"/>
    <w:rsid w:val="00717EAF"/>
    <w:rsid w:val="00724433"/>
    <w:rsid w:val="0072783B"/>
    <w:rsid w:val="007331D3"/>
    <w:rsid w:val="00737255"/>
    <w:rsid w:val="00737C55"/>
    <w:rsid w:val="00741BD8"/>
    <w:rsid w:val="00742FDD"/>
    <w:rsid w:val="00743878"/>
    <w:rsid w:val="00745EF5"/>
    <w:rsid w:val="00747607"/>
    <w:rsid w:val="00752EC8"/>
    <w:rsid w:val="0076019C"/>
    <w:rsid w:val="007616A5"/>
    <w:rsid w:val="00761BFD"/>
    <w:rsid w:val="00763592"/>
    <w:rsid w:val="00763B23"/>
    <w:rsid w:val="007672D2"/>
    <w:rsid w:val="007701F7"/>
    <w:rsid w:val="0077177A"/>
    <w:rsid w:val="0077281D"/>
    <w:rsid w:val="00773589"/>
    <w:rsid w:val="00774092"/>
    <w:rsid w:val="00775CFE"/>
    <w:rsid w:val="00776B60"/>
    <w:rsid w:val="0078006B"/>
    <w:rsid w:val="00786C26"/>
    <w:rsid w:val="00791141"/>
    <w:rsid w:val="00792DE7"/>
    <w:rsid w:val="007945B4"/>
    <w:rsid w:val="0079688B"/>
    <w:rsid w:val="007A089B"/>
    <w:rsid w:val="007A2026"/>
    <w:rsid w:val="007A43DD"/>
    <w:rsid w:val="007A79A2"/>
    <w:rsid w:val="007B033B"/>
    <w:rsid w:val="007B06D6"/>
    <w:rsid w:val="007B102B"/>
    <w:rsid w:val="007B1EEB"/>
    <w:rsid w:val="007B2A42"/>
    <w:rsid w:val="007B47A4"/>
    <w:rsid w:val="007B726C"/>
    <w:rsid w:val="007C0E6C"/>
    <w:rsid w:val="007C365C"/>
    <w:rsid w:val="007C76AC"/>
    <w:rsid w:val="007C7737"/>
    <w:rsid w:val="007D06AD"/>
    <w:rsid w:val="007D2C11"/>
    <w:rsid w:val="007D58F9"/>
    <w:rsid w:val="007D7CB8"/>
    <w:rsid w:val="007E5131"/>
    <w:rsid w:val="007F0D31"/>
    <w:rsid w:val="007F130D"/>
    <w:rsid w:val="007F6435"/>
    <w:rsid w:val="008055DB"/>
    <w:rsid w:val="00805BD8"/>
    <w:rsid w:val="00805DC0"/>
    <w:rsid w:val="00806C76"/>
    <w:rsid w:val="00807BAA"/>
    <w:rsid w:val="0081505A"/>
    <w:rsid w:val="00817ABD"/>
    <w:rsid w:val="00821435"/>
    <w:rsid w:val="008233F3"/>
    <w:rsid w:val="0082763E"/>
    <w:rsid w:val="00830A7A"/>
    <w:rsid w:val="008335B5"/>
    <w:rsid w:val="0083412C"/>
    <w:rsid w:val="00834D02"/>
    <w:rsid w:val="00836781"/>
    <w:rsid w:val="00837214"/>
    <w:rsid w:val="00840089"/>
    <w:rsid w:val="008436F5"/>
    <w:rsid w:val="008523DC"/>
    <w:rsid w:val="008544FC"/>
    <w:rsid w:val="00861226"/>
    <w:rsid w:val="00866CD3"/>
    <w:rsid w:val="008673D6"/>
    <w:rsid w:val="00870DFE"/>
    <w:rsid w:val="00873A65"/>
    <w:rsid w:val="0087738E"/>
    <w:rsid w:val="00881601"/>
    <w:rsid w:val="00885921"/>
    <w:rsid w:val="00890292"/>
    <w:rsid w:val="008910B8"/>
    <w:rsid w:val="0089626C"/>
    <w:rsid w:val="00897313"/>
    <w:rsid w:val="008A5E12"/>
    <w:rsid w:val="008A6F94"/>
    <w:rsid w:val="008A7C8A"/>
    <w:rsid w:val="008B009F"/>
    <w:rsid w:val="008B1276"/>
    <w:rsid w:val="008B1A4B"/>
    <w:rsid w:val="008B1FB4"/>
    <w:rsid w:val="008B77F4"/>
    <w:rsid w:val="008C0CC8"/>
    <w:rsid w:val="008C3939"/>
    <w:rsid w:val="008C3DDE"/>
    <w:rsid w:val="008C5651"/>
    <w:rsid w:val="008C69DD"/>
    <w:rsid w:val="008C7844"/>
    <w:rsid w:val="008D1435"/>
    <w:rsid w:val="008D24E9"/>
    <w:rsid w:val="008D29CB"/>
    <w:rsid w:val="008D4343"/>
    <w:rsid w:val="008D4BED"/>
    <w:rsid w:val="008D7DD7"/>
    <w:rsid w:val="008E4139"/>
    <w:rsid w:val="008E54D9"/>
    <w:rsid w:val="008E5C98"/>
    <w:rsid w:val="008E5E2B"/>
    <w:rsid w:val="008E78FC"/>
    <w:rsid w:val="008E7DFD"/>
    <w:rsid w:val="008F0DE3"/>
    <w:rsid w:val="008F4DA5"/>
    <w:rsid w:val="008F5450"/>
    <w:rsid w:val="00901575"/>
    <w:rsid w:val="0090287B"/>
    <w:rsid w:val="00902E7A"/>
    <w:rsid w:val="0090521F"/>
    <w:rsid w:val="009070AA"/>
    <w:rsid w:val="00912BF3"/>
    <w:rsid w:val="009144A0"/>
    <w:rsid w:val="0091696B"/>
    <w:rsid w:val="009174A8"/>
    <w:rsid w:val="00921E0D"/>
    <w:rsid w:val="00926C4B"/>
    <w:rsid w:val="00934039"/>
    <w:rsid w:val="00934DBB"/>
    <w:rsid w:val="00936295"/>
    <w:rsid w:val="00936F53"/>
    <w:rsid w:val="00940731"/>
    <w:rsid w:val="00945A43"/>
    <w:rsid w:val="009515C2"/>
    <w:rsid w:val="00952A87"/>
    <w:rsid w:val="009541DB"/>
    <w:rsid w:val="00955F72"/>
    <w:rsid w:val="00956262"/>
    <w:rsid w:val="009563DF"/>
    <w:rsid w:val="00957C3D"/>
    <w:rsid w:val="00957C8F"/>
    <w:rsid w:val="009634D0"/>
    <w:rsid w:val="009641F0"/>
    <w:rsid w:val="00965C63"/>
    <w:rsid w:val="00967AB9"/>
    <w:rsid w:val="00971A32"/>
    <w:rsid w:val="00974D32"/>
    <w:rsid w:val="00975D78"/>
    <w:rsid w:val="009810FA"/>
    <w:rsid w:val="009824DC"/>
    <w:rsid w:val="00982EB9"/>
    <w:rsid w:val="00983E12"/>
    <w:rsid w:val="009868C6"/>
    <w:rsid w:val="00996AD4"/>
    <w:rsid w:val="00997FBD"/>
    <w:rsid w:val="009A1A1C"/>
    <w:rsid w:val="009A33C2"/>
    <w:rsid w:val="009A7BE2"/>
    <w:rsid w:val="009B0206"/>
    <w:rsid w:val="009B0B94"/>
    <w:rsid w:val="009B31DD"/>
    <w:rsid w:val="009B64DF"/>
    <w:rsid w:val="009C13B9"/>
    <w:rsid w:val="009C1815"/>
    <w:rsid w:val="009C374D"/>
    <w:rsid w:val="009C65F4"/>
    <w:rsid w:val="009C7EAA"/>
    <w:rsid w:val="009D05E9"/>
    <w:rsid w:val="009D1657"/>
    <w:rsid w:val="009D2CFF"/>
    <w:rsid w:val="009E0ADE"/>
    <w:rsid w:val="009F0903"/>
    <w:rsid w:val="009F09AC"/>
    <w:rsid w:val="009F0B1C"/>
    <w:rsid w:val="009F5B12"/>
    <w:rsid w:val="009F5FB6"/>
    <w:rsid w:val="009F6FA6"/>
    <w:rsid w:val="00A00929"/>
    <w:rsid w:val="00A0123C"/>
    <w:rsid w:val="00A01E3B"/>
    <w:rsid w:val="00A04F41"/>
    <w:rsid w:val="00A06E01"/>
    <w:rsid w:val="00A0709E"/>
    <w:rsid w:val="00A11307"/>
    <w:rsid w:val="00A11754"/>
    <w:rsid w:val="00A27DF3"/>
    <w:rsid w:val="00A30919"/>
    <w:rsid w:val="00A31F5E"/>
    <w:rsid w:val="00A327D9"/>
    <w:rsid w:val="00A33960"/>
    <w:rsid w:val="00A375E0"/>
    <w:rsid w:val="00A40DA5"/>
    <w:rsid w:val="00A41D21"/>
    <w:rsid w:val="00A43CDA"/>
    <w:rsid w:val="00A44C61"/>
    <w:rsid w:val="00A45BD6"/>
    <w:rsid w:val="00A45F4D"/>
    <w:rsid w:val="00A46174"/>
    <w:rsid w:val="00A50ACF"/>
    <w:rsid w:val="00A516B7"/>
    <w:rsid w:val="00A51FF4"/>
    <w:rsid w:val="00A52987"/>
    <w:rsid w:val="00A5439E"/>
    <w:rsid w:val="00A566FB"/>
    <w:rsid w:val="00A57452"/>
    <w:rsid w:val="00A65E1E"/>
    <w:rsid w:val="00A7219F"/>
    <w:rsid w:val="00A739B7"/>
    <w:rsid w:val="00A74809"/>
    <w:rsid w:val="00A75C9C"/>
    <w:rsid w:val="00A8151D"/>
    <w:rsid w:val="00A81766"/>
    <w:rsid w:val="00A81CDE"/>
    <w:rsid w:val="00A828AC"/>
    <w:rsid w:val="00A83E2D"/>
    <w:rsid w:val="00A85BCD"/>
    <w:rsid w:val="00A86A56"/>
    <w:rsid w:val="00A8785C"/>
    <w:rsid w:val="00A9261D"/>
    <w:rsid w:val="00A927C1"/>
    <w:rsid w:val="00A95999"/>
    <w:rsid w:val="00AA2B4C"/>
    <w:rsid w:val="00AA3B01"/>
    <w:rsid w:val="00AA4115"/>
    <w:rsid w:val="00AA494E"/>
    <w:rsid w:val="00AA671F"/>
    <w:rsid w:val="00AA729C"/>
    <w:rsid w:val="00AA72D6"/>
    <w:rsid w:val="00AB0B54"/>
    <w:rsid w:val="00AB4C5C"/>
    <w:rsid w:val="00AB4FCB"/>
    <w:rsid w:val="00AC12CB"/>
    <w:rsid w:val="00AC397E"/>
    <w:rsid w:val="00AC39BB"/>
    <w:rsid w:val="00AC45D1"/>
    <w:rsid w:val="00AC50D6"/>
    <w:rsid w:val="00AC51AD"/>
    <w:rsid w:val="00AD4FFA"/>
    <w:rsid w:val="00AD6B53"/>
    <w:rsid w:val="00AE3DFF"/>
    <w:rsid w:val="00AF0151"/>
    <w:rsid w:val="00AF146B"/>
    <w:rsid w:val="00AF4EDE"/>
    <w:rsid w:val="00AF51C5"/>
    <w:rsid w:val="00AF6A51"/>
    <w:rsid w:val="00B04421"/>
    <w:rsid w:val="00B05AB1"/>
    <w:rsid w:val="00B10197"/>
    <w:rsid w:val="00B10807"/>
    <w:rsid w:val="00B12127"/>
    <w:rsid w:val="00B176DE"/>
    <w:rsid w:val="00B20C46"/>
    <w:rsid w:val="00B23BDD"/>
    <w:rsid w:val="00B25C56"/>
    <w:rsid w:val="00B25D23"/>
    <w:rsid w:val="00B260EF"/>
    <w:rsid w:val="00B27C6F"/>
    <w:rsid w:val="00B31883"/>
    <w:rsid w:val="00B31C4A"/>
    <w:rsid w:val="00B32771"/>
    <w:rsid w:val="00B32A96"/>
    <w:rsid w:val="00B34F9F"/>
    <w:rsid w:val="00B35639"/>
    <w:rsid w:val="00B404F7"/>
    <w:rsid w:val="00B4348A"/>
    <w:rsid w:val="00B4369A"/>
    <w:rsid w:val="00B4510E"/>
    <w:rsid w:val="00B45B18"/>
    <w:rsid w:val="00B46E5F"/>
    <w:rsid w:val="00B4754C"/>
    <w:rsid w:val="00B51DBE"/>
    <w:rsid w:val="00B54050"/>
    <w:rsid w:val="00B54458"/>
    <w:rsid w:val="00B547D0"/>
    <w:rsid w:val="00B55198"/>
    <w:rsid w:val="00B578C1"/>
    <w:rsid w:val="00B60A8A"/>
    <w:rsid w:val="00B60B52"/>
    <w:rsid w:val="00B61099"/>
    <w:rsid w:val="00B61678"/>
    <w:rsid w:val="00B61842"/>
    <w:rsid w:val="00B636C5"/>
    <w:rsid w:val="00B637B2"/>
    <w:rsid w:val="00B64340"/>
    <w:rsid w:val="00B65A32"/>
    <w:rsid w:val="00B67065"/>
    <w:rsid w:val="00B72F60"/>
    <w:rsid w:val="00B7465A"/>
    <w:rsid w:val="00B761A9"/>
    <w:rsid w:val="00B7652C"/>
    <w:rsid w:val="00B77406"/>
    <w:rsid w:val="00B777FF"/>
    <w:rsid w:val="00B80215"/>
    <w:rsid w:val="00B91651"/>
    <w:rsid w:val="00BA2175"/>
    <w:rsid w:val="00BB2714"/>
    <w:rsid w:val="00BB34B8"/>
    <w:rsid w:val="00BB5260"/>
    <w:rsid w:val="00BB66C2"/>
    <w:rsid w:val="00BB7310"/>
    <w:rsid w:val="00BC04EC"/>
    <w:rsid w:val="00BC0E66"/>
    <w:rsid w:val="00BC11EF"/>
    <w:rsid w:val="00BC51AE"/>
    <w:rsid w:val="00BC66E2"/>
    <w:rsid w:val="00BD15C8"/>
    <w:rsid w:val="00BD5CB4"/>
    <w:rsid w:val="00BD69A1"/>
    <w:rsid w:val="00BD782D"/>
    <w:rsid w:val="00BD7FB8"/>
    <w:rsid w:val="00BE2B09"/>
    <w:rsid w:val="00BE2C24"/>
    <w:rsid w:val="00BE428A"/>
    <w:rsid w:val="00BE75B3"/>
    <w:rsid w:val="00BE7C8B"/>
    <w:rsid w:val="00BF0D89"/>
    <w:rsid w:val="00BF1DA3"/>
    <w:rsid w:val="00BF2624"/>
    <w:rsid w:val="00BF5A2E"/>
    <w:rsid w:val="00C01026"/>
    <w:rsid w:val="00C027E8"/>
    <w:rsid w:val="00C04E6E"/>
    <w:rsid w:val="00C10591"/>
    <w:rsid w:val="00C10D4A"/>
    <w:rsid w:val="00C114BB"/>
    <w:rsid w:val="00C128CE"/>
    <w:rsid w:val="00C12F14"/>
    <w:rsid w:val="00C15ABF"/>
    <w:rsid w:val="00C15C18"/>
    <w:rsid w:val="00C16E4D"/>
    <w:rsid w:val="00C17663"/>
    <w:rsid w:val="00C20A8B"/>
    <w:rsid w:val="00C22141"/>
    <w:rsid w:val="00C2257A"/>
    <w:rsid w:val="00C260FF"/>
    <w:rsid w:val="00C32638"/>
    <w:rsid w:val="00C339F8"/>
    <w:rsid w:val="00C341B5"/>
    <w:rsid w:val="00C342E1"/>
    <w:rsid w:val="00C376A6"/>
    <w:rsid w:val="00C37901"/>
    <w:rsid w:val="00C42237"/>
    <w:rsid w:val="00C45481"/>
    <w:rsid w:val="00C50831"/>
    <w:rsid w:val="00C562E9"/>
    <w:rsid w:val="00C56B8F"/>
    <w:rsid w:val="00C60453"/>
    <w:rsid w:val="00C65B19"/>
    <w:rsid w:val="00C668DB"/>
    <w:rsid w:val="00C715A2"/>
    <w:rsid w:val="00C7212E"/>
    <w:rsid w:val="00C738D0"/>
    <w:rsid w:val="00C74063"/>
    <w:rsid w:val="00C745C0"/>
    <w:rsid w:val="00C748BF"/>
    <w:rsid w:val="00C76E36"/>
    <w:rsid w:val="00C76F59"/>
    <w:rsid w:val="00C80487"/>
    <w:rsid w:val="00C8154C"/>
    <w:rsid w:val="00C82FE1"/>
    <w:rsid w:val="00C83788"/>
    <w:rsid w:val="00C86594"/>
    <w:rsid w:val="00C92C22"/>
    <w:rsid w:val="00C94361"/>
    <w:rsid w:val="00CA140F"/>
    <w:rsid w:val="00CA42CE"/>
    <w:rsid w:val="00CA6168"/>
    <w:rsid w:val="00CB3F46"/>
    <w:rsid w:val="00CC2254"/>
    <w:rsid w:val="00CC2724"/>
    <w:rsid w:val="00CC2C42"/>
    <w:rsid w:val="00CC2CB6"/>
    <w:rsid w:val="00CC3A2F"/>
    <w:rsid w:val="00CC3B58"/>
    <w:rsid w:val="00CC6D81"/>
    <w:rsid w:val="00CD010C"/>
    <w:rsid w:val="00CD02B5"/>
    <w:rsid w:val="00CD0616"/>
    <w:rsid w:val="00CD0AE1"/>
    <w:rsid w:val="00CD11DE"/>
    <w:rsid w:val="00CD2A77"/>
    <w:rsid w:val="00CD5969"/>
    <w:rsid w:val="00CD6D10"/>
    <w:rsid w:val="00CE1EDD"/>
    <w:rsid w:val="00CF1772"/>
    <w:rsid w:val="00CF51F9"/>
    <w:rsid w:val="00D064CD"/>
    <w:rsid w:val="00D07C9B"/>
    <w:rsid w:val="00D07D1E"/>
    <w:rsid w:val="00D1494B"/>
    <w:rsid w:val="00D1508F"/>
    <w:rsid w:val="00D164B6"/>
    <w:rsid w:val="00D212C9"/>
    <w:rsid w:val="00D2227E"/>
    <w:rsid w:val="00D22854"/>
    <w:rsid w:val="00D24933"/>
    <w:rsid w:val="00D26C2F"/>
    <w:rsid w:val="00D32259"/>
    <w:rsid w:val="00D33F7C"/>
    <w:rsid w:val="00D3504C"/>
    <w:rsid w:val="00D35C13"/>
    <w:rsid w:val="00D41086"/>
    <w:rsid w:val="00D4135D"/>
    <w:rsid w:val="00D41430"/>
    <w:rsid w:val="00D417F5"/>
    <w:rsid w:val="00D43AB7"/>
    <w:rsid w:val="00D43D04"/>
    <w:rsid w:val="00D45051"/>
    <w:rsid w:val="00D4593D"/>
    <w:rsid w:val="00D45A31"/>
    <w:rsid w:val="00D54B14"/>
    <w:rsid w:val="00D573AF"/>
    <w:rsid w:val="00D60C3F"/>
    <w:rsid w:val="00D60E1F"/>
    <w:rsid w:val="00D6200E"/>
    <w:rsid w:val="00D64683"/>
    <w:rsid w:val="00D65DA5"/>
    <w:rsid w:val="00D72B65"/>
    <w:rsid w:val="00D76779"/>
    <w:rsid w:val="00D861B4"/>
    <w:rsid w:val="00D87C4F"/>
    <w:rsid w:val="00D92915"/>
    <w:rsid w:val="00D94AF2"/>
    <w:rsid w:val="00D96653"/>
    <w:rsid w:val="00DA012B"/>
    <w:rsid w:val="00DA0705"/>
    <w:rsid w:val="00DA4A4B"/>
    <w:rsid w:val="00DA6ECC"/>
    <w:rsid w:val="00DA6FB7"/>
    <w:rsid w:val="00DB050B"/>
    <w:rsid w:val="00DB060E"/>
    <w:rsid w:val="00DB18E6"/>
    <w:rsid w:val="00DB343C"/>
    <w:rsid w:val="00DC3C3A"/>
    <w:rsid w:val="00DD1AC6"/>
    <w:rsid w:val="00DD1D08"/>
    <w:rsid w:val="00DD27A6"/>
    <w:rsid w:val="00DD3F92"/>
    <w:rsid w:val="00DD509D"/>
    <w:rsid w:val="00DE328B"/>
    <w:rsid w:val="00DF015C"/>
    <w:rsid w:val="00DF24EE"/>
    <w:rsid w:val="00DF38D3"/>
    <w:rsid w:val="00DF5A03"/>
    <w:rsid w:val="00DF6481"/>
    <w:rsid w:val="00DF681F"/>
    <w:rsid w:val="00DF7D9B"/>
    <w:rsid w:val="00E03C95"/>
    <w:rsid w:val="00E06781"/>
    <w:rsid w:val="00E11944"/>
    <w:rsid w:val="00E12252"/>
    <w:rsid w:val="00E1370A"/>
    <w:rsid w:val="00E1441D"/>
    <w:rsid w:val="00E14FD5"/>
    <w:rsid w:val="00E1571F"/>
    <w:rsid w:val="00E162D3"/>
    <w:rsid w:val="00E16A8E"/>
    <w:rsid w:val="00E20193"/>
    <w:rsid w:val="00E20BFA"/>
    <w:rsid w:val="00E216F1"/>
    <w:rsid w:val="00E2470C"/>
    <w:rsid w:val="00E2546F"/>
    <w:rsid w:val="00E3188F"/>
    <w:rsid w:val="00E31B2E"/>
    <w:rsid w:val="00E33977"/>
    <w:rsid w:val="00E350FB"/>
    <w:rsid w:val="00E370FE"/>
    <w:rsid w:val="00E4268D"/>
    <w:rsid w:val="00E43EEA"/>
    <w:rsid w:val="00E5013C"/>
    <w:rsid w:val="00E506A6"/>
    <w:rsid w:val="00E51290"/>
    <w:rsid w:val="00E54189"/>
    <w:rsid w:val="00E559DF"/>
    <w:rsid w:val="00E56166"/>
    <w:rsid w:val="00E575DC"/>
    <w:rsid w:val="00E57970"/>
    <w:rsid w:val="00E60681"/>
    <w:rsid w:val="00E63934"/>
    <w:rsid w:val="00E64F2C"/>
    <w:rsid w:val="00E65F0F"/>
    <w:rsid w:val="00E67D6C"/>
    <w:rsid w:val="00E7188B"/>
    <w:rsid w:val="00E71E04"/>
    <w:rsid w:val="00E72980"/>
    <w:rsid w:val="00E74465"/>
    <w:rsid w:val="00E75557"/>
    <w:rsid w:val="00E774AE"/>
    <w:rsid w:val="00E77A0E"/>
    <w:rsid w:val="00E82827"/>
    <w:rsid w:val="00E8338A"/>
    <w:rsid w:val="00E84C24"/>
    <w:rsid w:val="00E86047"/>
    <w:rsid w:val="00E9199F"/>
    <w:rsid w:val="00EA0D20"/>
    <w:rsid w:val="00EA3180"/>
    <w:rsid w:val="00EA605F"/>
    <w:rsid w:val="00EA6E15"/>
    <w:rsid w:val="00EB11F5"/>
    <w:rsid w:val="00EB36D8"/>
    <w:rsid w:val="00EB4EA8"/>
    <w:rsid w:val="00EB5C53"/>
    <w:rsid w:val="00EC2765"/>
    <w:rsid w:val="00EC276F"/>
    <w:rsid w:val="00EC2B48"/>
    <w:rsid w:val="00EC2F53"/>
    <w:rsid w:val="00EC44E0"/>
    <w:rsid w:val="00EC51CE"/>
    <w:rsid w:val="00EC5C95"/>
    <w:rsid w:val="00EC5E8F"/>
    <w:rsid w:val="00ED0038"/>
    <w:rsid w:val="00ED19F9"/>
    <w:rsid w:val="00ED35B9"/>
    <w:rsid w:val="00ED49C8"/>
    <w:rsid w:val="00ED5A10"/>
    <w:rsid w:val="00ED6443"/>
    <w:rsid w:val="00ED793D"/>
    <w:rsid w:val="00EE0EA4"/>
    <w:rsid w:val="00EE39F3"/>
    <w:rsid w:val="00EE4CDF"/>
    <w:rsid w:val="00EE5703"/>
    <w:rsid w:val="00EE5CA0"/>
    <w:rsid w:val="00EE7EC0"/>
    <w:rsid w:val="00EF0C69"/>
    <w:rsid w:val="00EF3F35"/>
    <w:rsid w:val="00EF65A8"/>
    <w:rsid w:val="00EF75AB"/>
    <w:rsid w:val="00F01559"/>
    <w:rsid w:val="00F0208D"/>
    <w:rsid w:val="00F030CF"/>
    <w:rsid w:val="00F114B0"/>
    <w:rsid w:val="00F168B9"/>
    <w:rsid w:val="00F2002A"/>
    <w:rsid w:val="00F20B37"/>
    <w:rsid w:val="00F26CD9"/>
    <w:rsid w:val="00F2728A"/>
    <w:rsid w:val="00F35411"/>
    <w:rsid w:val="00F37BB1"/>
    <w:rsid w:val="00F37D73"/>
    <w:rsid w:val="00F40281"/>
    <w:rsid w:val="00F40345"/>
    <w:rsid w:val="00F41621"/>
    <w:rsid w:val="00F41EE8"/>
    <w:rsid w:val="00F44960"/>
    <w:rsid w:val="00F44D5C"/>
    <w:rsid w:val="00F452AF"/>
    <w:rsid w:val="00F47A20"/>
    <w:rsid w:val="00F52B5F"/>
    <w:rsid w:val="00F53B62"/>
    <w:rsid w:val="00F53E4C"/>
    <w:rsid w:val="00F5542E"/>
    <w:rsid w:val="00F56172"/>
    <w:rsid w:val="00F6161A"/>
    <w:rsid w:val="00F641FA"/>
    <w:rsid w:val="00F6481F"/>
    <w:rsid w:val="00F70F4F"/>
    <w:rsid w:val="00F73C28"/>
    <w:rsid w:val="00F7647A"/>
    <w:rsid w:val="00F77B4D"/>
    <w:rsid w:val="00F81E15"/>
    <w:rsid w:val="00F8220C"/>
    <w:rsid w:val="00F8451F"/>
    <w:rsid w:val="00F91764"/>
    <w:rsid w:val="00F91DF9"/>
    <w:rsid w:val="00F95C3A"/>
    <w:rsid w:val="00F97EA0"/>
    <w:rsid w:val="00FA0C07"/>
    <w:rsid w:val="00FA0F94"/>
    <w:rsid w:val="00FA33F4"/>
    <w:rsid w:val="00FA41B9"/>
    <w:rsid w:val="00FB42AF"/>
    <w:rsid w:val="00FB5823"/>
    <w:rsid w:val="00FB5C20"/>
    <w:rsid w:val="00FB7D72"/>
    <w:rsid w:val="00FB7D9C"/>
    <w:rsid w:val="00FB7FED"/>
    <w:rsid w:val="00FC76EA"/>
    <w:rsid w:val="00FD073D"/>
    <w:rsid w:val="00FE1658"/>
    <w:rsid w:val="00FE26F3"/>
    <w:rsid w:val="00FE2CC5"/>
    <w:rsid w:val="00FE5EEF"/>
    <w:rsid w:val="00FE62D1"/>
    <w:rsid w:val="00FE6F67"/>
    <w:rsid w:val="00FF0AAF"/>
    <w:rsid w:val="00FF4D5E"/>
    <w:rsid w:val="00FF55EB"/>
    <w:rsid w:val="00FF68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37889"/>
    <o:shapelayout v:ext="edit">
      <o:idmap v:ext="edit" data="1"/>
    </o:shapelayout>
  </w:shapeDefaults>
  <w:decimalSymbol w:val="."/>
  <w:listSeparator w:val=","/>
  <w14:docId w14:val="6F53EAA7"/>
  <w15:chartTrackingRefBased/>
  <w15:docId w15:val="{DAB145B6-C5E2-4D44-BEF3-D81F5A386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F5868"/>
    <w:rPr>
      <w:sz w:val="24"/>
    </w:rPr>
  </w:style>
  <w:style w:type="paragraph" w:styleId="Heading1">
    <w:name w:val="heading 1"/>
    <w:aliases w:val="h1"/>
    <w:basedOn w:val="Normal"/>
    <w:next w:val="BodyText"/>
    <w:link w:val="Heading1Char"/>
    <w:qFormat/>
    <w:rsid w:val="002F5868"/>
    <w:pPr>
      <w:keepNext/>
      <w:numPr>
        <w:numId w:val="1"/>
      </w:numPr>
      <w:spacing w:after="240"/>
      <w:outlineLvl w:val="0"/>
    </w:pPr>
    <w:rPr>
      <w:b/>
      <w:caps/>
    </w:rPr>
  </w:style>
  <w:style w:type="paragraph" w:styleId="Heading2">
    <w:name w:val="heading 2"/>
    <w:aliases w:val="h2"/>
    <w:basedOn w:val="Normal"/>
    <w:next w:val="BodyText"/>
    <w:link w:val="Heading2Char"/>
    <w:qFormat/>
    <w:rsid w:val="002F5868"/>
    <w:pPr>
      <w:keepNext/>
      <w:numPr>
        <w:ilvl w:val="1"/>
        <w:numId w:val="1"/>
      </w:numPr>
      <w:tabs>
        <w:tab w:val="left" w:pos="720"/>
      </w:tabs>
      <w:spacing w:before="240" w:after="240"/>
      <w:outlineLvl w:val="1"/>
    </w:pPr>
    <w:rPr>
      <w:b/>
    </w:rPr>
  </w:style>
  <w:style w:type="paragraph" w:styleId="Heading3">
    <w:name w:val="heading 3"/>
    <w:aliases w:val=" Char2 Char,h3"/>
    <w:basedOn w:val="Normal"/>
    <w:next w:val="BodyText"/>
    <w:link w:val="Heading3Char"/>
    <w:qFormat/>
    <w:rsid w:val="002F5868"/>
    <w:pPr>
      <w:keepNext/>
      <w:numPr>
        <w:ilvl w:val="2"/>
        <w:numId w:val="1"/>
      </w:numPr>
      <w:tabs>
        <w:tab w:val="left" w:pos="1008"/>
      </w:tabs>
      <w:spacing w:before="240" w:after="240"/>
      <w:outlineLvl w:val="2"/>
    </w:pPr>
    <w:rPr>
      <w:b/>
      <w:bCs/>
      <w:i/>
    </w:rPr>
  </w:style>
  <w:style w:type="paragraph" w:styleId="Heading4">
    <w:name w:val="heading 4"/>
    <w:aliases w:val="h4,delete"/>
    <w:basedOn w:val="Normal"/>
    <w:next w:val="BodyText"/>
    <w:link w:val="Heading4Char"/>
    <w:qFormat/>
    <w:rsid w:val="002F5868"/>
    <w:pPr>
      <w:keepNext/>
      <w:widowControl w:val="0"/>
      <w:numPr>
        <w:ilvl w:val="3"/>
        <w:numId w:val="1"/>
      </w:numPr>
      <w:tabs>
        <w:tab w:val="left" w:pos="1296"/>
      </w:tabs>
      <w:spacing w:before="240" w:after="240"/>
      <w:outlineLvl w:val="3"/>
    </w:pPr>
    <w:rPr>
      <w:b/>
      <w:bCs/>
      <w:snapToGrid w:val="0"/>
      <w:lang w:val="x-none" w:eastAsia="x-none"/>
    </w:rPr>
  </w:style>
  <w:style w:type="paragraph" w:styleId="Heading5">
    <w:name w:val="heading 5"/>
    <w:aliases w:val="h5"/>
    <w:basedOn w:val="Normal"/>
    <w:next w:val="BodyText"/>
    <w:link w:val="Heading5Char"/>
    <w:qFormat/>
    <w:rsid w:val="002F5868"/>
    <w:pPr>
      <w:keepNext/>
      <w:numPr>
        <w:ilvl w:val="4"/>
        <w:numId w:val="1"/>
      </w:numPr>
      <w:tabs>
        <w:tab w:val="left" w:pos="1440"/>
      </w:tabs>
      <w:spacing w:before="240" w:after="240"/>
      <w:outlineLvl w:val="4"/>
    </w:pPr>
    <w:rPr>
      <w:b/>
      <w:bCs/>
      <w:i/>
      <w:iCs/>
      <w:szCs w:val="26"/>
    </w:rPr>
  </w:style>
  <w:style w:type="paragraph" w:styleId="Heading6">
    <w:name w:val="heading 6"/>
    <w:aliases w:val="h6"/>
    <w:basedOn w:val="Normal"/>
    <w:next w:val="BodyText"/>
    <w:link w:val="Heading6Char"/>
    <w:qFormat/>
    <w:rsid w:val="002F5868"/>
    <w:pPr>
      <w:keepNext/>
      <w:numPr>
        <w:ilvl w:val="5"/>
        <w:numId w:val="1"/>
      </w:numPr>
      <w:tabs>
        <w:tab w:val="left" w:pos="1584"/>
      </w:tabs>
      <w:spacing w:before="240" w:after="240"/>
      <w:outlineLvl w:val="5"/>
    </w:pPr>
    <w:rPr>
      <w:b/>
      <w:bCs/>
      <w:szCs w:val="22"/>
      <w:lang w:val="x-none" w:eastAsia="x-none"/>
    </w:rPr>
  </w:style>
  <w:style w:type="paragraph" w:styleId="Heading7">
    <w:name w:val="heading 7"/>
    <w:basedOn w:val="Normal"/>
    <w:next w:val="BodyText"/>
    <w:link w:val="Heading7Char"/>
    <w:qFormat/>
    <w:rsid w:val="002F5868"/>
    <w:pPr>
      <w:keepNext/>
      <w:numPr>
        <w:ilvl w:val="6"/>
        <w:numId w:val="1"/>
      </w:numPr>
      <w:tabs>
        <w:tab w:val="left" w:pos="1728"/>
      </w:tabs>
      <w:spacing w:before="240" w:after="240"/>
      <w:outlineLvl w:val="6"/>
    </w:pPr>
    <w:rPr>
      <w:szCs w:val="24"/>
    </w:rPr>
  </w:style>
  <w:style w:type="paragraph" w:styleId="Heading8">
    <w:name w:val="heading 8"/>
    <w:basedOn w:val="Normal"/>
    <w:next w:val="BodyText"/>
    <w:link w:val="Heading8Char"/>
    <w:qFormat/>
    <w:rsid w:val="002F5868"/>
    <w:pPr>
      <w:keepNext/>
      <w:numPr>
        <w:ilvl w:val="7"/>
        <w:numId w:val="1"/>
      </w:numPr>
      <w:tabs>
        <w:tab w:val="left" w:pos="1872"/>
      </w:tabs>
      <w:spacing w:before="240" w:after="240"/>
      <w:outlineLvl w:val="7"/>
    </w:pPr>
    <w:rPr>
      <w:i/>
      <w:iCs/>
      <w:szCs w:val="24"/>
    </w:rPr>
  </w:style>
  <w:style w:type="paragraph" w:styleId="Heading9">
    <w:name w:val="heading 9"/>
    <w:basedOn w:val="Normal"/>
    <w:next w:val="BodyText"/>
    <w:link w:val="Heading9Char"/>
    <w:qFormat/>
    <w:rsid w:val="002F5868"/>
    <w:pPr>
      <w:keepNext/>
      <w:numPr>
        <w:ilvl w:val="8"/>
        <w:numId w:val="1"/>
      </w:numPr>
      <w:tabs>
        <w:tab w:val="left" w:pos="2160"/>
      </w:tabs>
      <w:spacing w:before="240" w:after="240"/>
      <w:outlineLvl w:val="8"/>
    </w:pPr>
    <w:rPr>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aliases w:val=" Char Char Char, Char1,Body Text Char Char, Char Char Char Char Char,Body Text Char2 Char Char,Body Text Char2 Char Char Char Char Char Char Char Char Char Char Char,Body Text Char2 Char,Body Text Char2,Body Text Char1 Char Ch, Char1 Char Char"/>
    <w:basedOn w:val="Normal"/>
    <w:link w:val="BodyTextChar3"/>
    <w:rsid w:val="002F5868"/>
    <w:pPr>
      <w:spacing w:after="240"/>
    </w:pPr>
    <w:rPr>
      <w:iCs/>
    </w:rPr>
  </w:style>
  <w:style w:type="character" w:customStyle="1" w:styleId="BodyTextChar3">
    <w:name w:val="Body Text Char3"/>
    <w:aliases w:val=" Char Char Char Char, Char1 Char1,Body Text Char Char Char, Char Char Char Char Char Char,Body Text Char2 Char Char Char1,Body Text Char2 Char Char Char Char Char Char Char Char Char Char Char Char1,Body Text Char2 Char Char2"/>
    <w:link w:val="BodyText"/>
    <w:rsid w:val="002F5868"/>
    <w:rPr>
      <w:iCs/>
      <w:sz w:val="24"/>
      <w:lang w:val="en-US" w:eastAsia="en-US" w:bidi="ar-SA"/>
    </w:rPr>
  </w:style>
  <w:style w:type="character" w:customStyle="1" w:styleId="Heading3Char">
    <w:name w:val="Heading 3 Char"/>
    <w:aliases w:val=" Char2 Char Char,h3 Char"/>
    <w:link w:val="Heading3"/>
    <w:rsid w:val="002F5868"/>
    <w:rPr>
      <w:b/>
      <w:bCs/>
      <w:i/>
      <w:sz w:val="24"/>
    </w:rPr>
  </w:style>
  <w:style w:type="paragraph" w:customStyle="1" w:styleId="Instructions">
    <w:name w:val="Instructions"/>
    <w:basedOn w:val="BodyText"/>
    <w:link w:val="InstructionsChar"/>
    <w:rsid w:val="002F5868"/>
    <w:rPr>
      <w:b/>
      <w:i/>
      <w:szCs w:val="24"/>
      <w:lang w:val="x-none" w:eastAsia="x-none"/>
    </w:rPr>
  </w:style>
  <w:style w:type="paragraph" w:styleId="List">
    <w:name w:val="List"/>
    <w:aliases w:val=" Char2 Char Char Char Char,Char1,Char2 Char Char Char Char"/>
    <w:basedOn w:val="Normal"/>
    <w:link w:val="ListChar"/>
    <w:rsid w:val="002F5868"/>
    <w:pPr>
      <w:spacing w:after="240"/>
      <w:ind w:left="1440" w:hanging="720"/>
    </w:pPr>
  </w:style>
  <w:style w:type="character" w:customStyle="1" w:styleId="ListChar">
    <w:name w:val="List Char"/>
    <w:aliases w:val=" Char2 Char Char Char Char Char1,Char1 Char,Char2 Char Char Char Char Char1"/>
    <w:link w:val="List"/>
    <w:rsid w:val="002F5868"/>
    <w:rPr>
      <w:sz w:val="24"/>
      <w:lang w:val="en-US" w:eastAsia="en-US" w:bidi="ar-SA"/>
    </w:rPr>
  </w:style>
  <w:style w:type="paragraph" w:styleId="BodyTextIndent">
    <w:name w:val="Body Text Indent"/>
    <w:aliases w:val=" Char"/>
    <w:basedOn w:val="Normal"/>
    <w:link w:val="BodyTextIndentChar1"/>
    <w:rsid w:val="002F5868"/>
    <w:pPr>
      <w:spacing w:after="240"/>
      <w:ind w:left="720"/>
    </w:pPr>
    <w:rPr>
      <w:iCs/>
      <w:lang w:val="x-none" w:eastAsia="x-none"/>
    </w:rPr>
  </w:style>
  <w:style w:type="paragraph" w:customStyle="1" w:styleId="Bullet">
    <w:name w:val="Bullet"/>
    <w:basedOn w:val="Normal"/>
    <w:link w:val="BulletChar"/>
    <w:rsid w:val="002F5868"/>
    <w:pPr>
      <w:tabs>
        <w:tab w:val="num" w:pos="1440"/>
      </w:tabs>
      <w:spacing w:after="180"/>
      <w:ind w:left="1440" w:hanging="360"/>
    </w:pPr>
    <w:rPr>
      <w:lang w:val="x-none" w:eastAsia="x-none"/>
    </w:rPr>
  </w:style>
  <w:style w:type="paragraph" w:customStyle="1" w:styleId="BulletIndent">
    <w:name w:val="Bullet Indent"/>
    <w:basedOn w:val="Normal"/>
    <w:link w:val="BulletIndentChar"/>
    <w:rsid w:val="002F5868"/>
    <w:pPr>
      <w:spacing w:after="180"/>
      <w:ind w:left="2340" w:hanging="547"/>
    </w:pPr>
  </w:style>
  <w:style w:type="paragraph" w:styleId="Footer">
    <w:name w:val="footer"/>
    <w:basedOn w:val="Normal"/>
    <w:link w:val="FooterChar"/>
    <w:rsid w:val="002F5868"/>
    <w:pPr>
      <w:pBdr>
        <w:top w:val="single" w:sz="4" w:space="0" w:color="auto"/>
      </w:pBdr>
      <w:tabs>
        <w:tab w:val="center" w:pos="4680"/>
        <w:tab w:val="right" w:pos="9360"/>
      </w:tabs>
      <w:spacing w:before="120" w:after="120"/>
    </w:pPr>
    <w:rPr>
      <w:smallCaps/>
      <w:sz w:val="20"/>
    </w:rPr>
  </w:style>
  <w:style w:type="paragraph" w:styleId="FootnoteText">
    <w:name w:val="footnote text"/>
    <w:basedOn w:val="Normal"/>
    <w:link w:val="FootnoteTextChar"/>
    <w:semiHidden/>
    <w:rsid w:val="002F5868"/>
    <w:rPr>
      <w:sz w:val="18"/>
    </w:rPr>
  </w:style>
  <w:style w:type="paragraph" w:styleId="Header">
    <w:name w:val="header"/>
    <w:basedOn w:val="Normal"/>
    <w:link w:val="HeaderChar"/>
    <w:rsid w:val="002F5868"/>
    <w:pPr>
      <w:pBdr>
        <w:bottom w:val="single" w:sz="4" w:space="1" w:color="auto"/>
      </w:pBdr>
      <w:tabs>
        <w:tab w:val="center" w:pos="4680"/>
        <w:tab w:val="right" w:pos="9360"/>
      </w:tabs>
      <w:jc w:val="right"/>
    </w:pPr>
    <w:rPr>
      <w:smallCaps/>
      <w:sz w:val="20"/>
      <w:lang w:val="x-none" w:eastAsia="x-none"/>
    </w:rPr>
  </w:style>
  <w:style w:type="character" w:styleId="Hyperlink">
    <w:name w:val="Hyperlink"/>
    <w:uiPriority w:val="99"/>
    <w:rsid w:val="002F5868"/>
    <w:rPr>
      <w:color w:val="0000FF"/>
      <w:u w:val="single"/>
    </w:rPr>
  </w:style>
  <w:style w:type="paragraph" w:styleId="TOC1">
    <w:name w:val="toc 1"/>
    <w:basedOn w:val="Normal"/>
    <w:next w:val="Normal"/>
    <w:autoRedefine/>
    <w:uiPriority w:val="39"/>
    <w:rsid w:val="00424F6A"/>
    <w:pPr>
      <w:tabs>
        <w:tab w:val="left" w:pos="540"/>
        <w:tab w:val="right" w:leader="dot" w:pos="9360"/>
      </w:tabs>
      <w:spacing w:before="120" w:after="120"/>
      <w:ind w:left="540" w:right="720" w:hanging="540"/>
    </w:pPr>
    <w:rPr>
      <w:b/>
      <w:bCs/>
      <w:noProof/>
    </w:rPr>
  </w:style>
  <w:style w:type="paragraph" w:styleId="TOC2">
    <w:name w:val="toc 2"/>
    <w:basedOn w:val="Normal"/>
    <w:next w:val="Normal"/>
    <w:autoRedefine/>
    <w:uiPriority w:val="39"/>
    <w:rsid w:val="002F5868"/>
    <w:pPr>
      <w:tabs>
        <w:tab w:val="left" w:pos="1260"/>
        <w:tab w:val="right" w:leader="dot" w:pos="9360"/>
      </w:tabs>
      <w:ind w:left="1260" w:right="720" w:hanging="720"/>
    </w:pPr>
    <w:rPr>
      <w:sz w:val="20"/>
    </w:rPr>
  </w:style>
  <w:style w:type="paragraph" w:styleId="TOC3">
    <w:name w:val="toc 3"/>
    <w:basedOn w:val="Normal"/>
    <w:next w:val="Normal"/>
    <w:autoRedefine/>
    <w:uiPriority w:val="39"/>
    <w:rsid w:val="002F5868"/>
    <w:pPr>
      <w:tabs>
        <w:tab w:val="left" w:pos="1980"/>
        <w:tab w:val="right" w:leader="dot" w:pos="9360"/>
      </w:tabs>
      <w:ind w:left="1980" w:right="720" w:hanging="900"/>
    </w:pPr>
    <w:rPr>
      <w:i/>
      <w:iCs/>
      <w:sz w:val="20"/>
    </w:rPr>
  </w:style>
  <w:style w:type="character" w:styleId="PageNumber">
    <w:name w:val="page number"/>
    <w:basedOn w:val="DefaultParagraphFont"/>
    <w:rsid w:val="002F5868"/>
  </w:style>
  <w:style w:type="table" w:styleId="TableGrid">
    <w:name w:val="Table Grid"/>
    <w:basedOn w:val="TableNormal"/>
    <w:rsid w:val="002F586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rsid w:val="0053522E"/>
    <w:pPr>
      <w:tabs>
        <w:tab w:val="left" w:pos="2700"/>
        <w:tab w:val="right" w:leader="dot" w:pos="9360"/>
      </w:tabs>
      <w:ind w:left="2700" w:right="720" w:hanging="1080"/>
    </w:pPr>
    <w:rPr>
      <w:sz w:val="18"/>
      <w:szCs w:val="18"/>
    </w:rPr>
  </w:style>
  <w:style w:type="paragraph" w:styleId="TOC5">
    <w:name w:val="toc 5"/>
    <w:basedOn w:val="Normal"/>
    <w:next w:val="Normal"/>
    <w:autoRedefine/>
    <w:rsid w:val="002F5868"/>
    <w:pPr>
      <w:tabs>
        <w:tab w:val="left" w:pos="3600"/>
        <w:tab w:val="right" w:leader="dot" w:pos="9360"/>
      </w:tabs>
      <w:ind w:left="3600" w:right="720" w:hanging="1260"/>
    </w:pPr>
    <w:rPr>
      <w:i/>
      <w:noProof/>
      <w:sz w:val="18"/>
      <w:szCs w:val="18"/>
    </w:rPr>
  </w:style>
  <w:style w:type="paragraph" w:styleId="List2">
    <w:name w:val="List 2"/>
    <w:aliases w:val=" Char2,Char2 Char Char,Char2"/>
    <w:basedOn w:val="Normal"/>
    <w:link w:val="List2Char"/>
    <w:rsid w:val="002F5868"/>
    <w:pPr>
      <w:spacing w:after="240"/>
      <w:ind w:left="2160" w:hanging="720"/>
    </w:pPr>
    <w:rPr>
      <w:lang w:val="x-none" w:eastAsia="x-none"/>
    </w:rPr>
  </w:style>
  <w:style w:type="paragraph" w:styleId="List3">
    <w:name w:val="List 3"/>
    <w:basedOn w:val="Normal"/>
    <w:rsid w:val="002F5868"/>
    <w:pPr>
      <w:spacing w:after="240"/>
      <w:ind w:left="2880" w:hanging="720"/>
    </w:pPr>
  </w:style>
  <w:style w:type="paragraph" w:styleId="TOC6">
    <w:name w:val="toc 6"/>
    <w:basedOn w:val="Normal"/>
    <w:next w:val="Normal"/>
    <w:autoRedefine/>
    <w:rsid w:val="002F5868"/>
    <w:pPr>
      <w:tabs>
        <w:tab w:val="left" w:pos="4500"/>
        <w:tab w:val="right" w:leader="dot" w:pos="9360"/>
      </w:tabs>
      <w:ind w:left="4500" w:right="720" w:hanging="1440"/>
    </w:pPr>
    <w:rPr>
      <w:sz w:val="18"/>
      <w:szCs w:val="18"/>
    </w:rPr>
  </w:style>
  <w:style w:type="paragraph" w:styleId="TOC7">
    <w:name w:val="toc 7"/>
    <w:basedOn w:val="Normal"/>
    <w:next w:val="Normal"/>
    <w:autoRedefine/>
    <w:rsid w:val="002F5868"/>
    <w:pPr>
      <w:tabs>
        <w:tab w:val="left" w:pos="5400"/>
        <w:tab w:val="right" w:leader="dot" w:pos="9360"/>
      </w:tabs>
      <w:ind w:left="5400" w:right="720" w:hanging="1620"/>
    </w:pPr>
    <w:rPr>
      <w:i/>
      <w:noProof/>
      <w:sz w:val="18"/>
      <w:szCs w:val="18"/>
    </w:rPr>
  </w:style>
  <w:style w:type="paragraph" w:styleId="TOC8">
    <w:name w:val="toc 8"/>
    <w:basedOn w:val="Normal"/>
    <w:next w:val="Normal"/>
    <w:autoRedefine/>
    <w:rsid w:val="002F5868"/>
    <w:pPr>
      <w:ind w:left="1680"/>
    </w:pPr>
    <w:rPr>
      <w:sz w:val="18"/>
      <w:szCs w:val="18"/>
    </w:rPr>
  </w:style>
  <w:style w:type="paragraph" w:styleId="TOC9">
    <w:name w:val="toc 9"/>
    <w:basedOn w:val="Normal"/>
    <w:next w:val="Normal"/>
    <w:autoRedefine/>
    <w:rsid w:val="002F5868"/>
    <w:pPr>
      <w:ind w:left="1920"/>
    </w:pPr>
    <w:rPr>
      <w:sz w:val="18"/>
      <w:szCs w:val="18"/>
    </w:rPr>
  </w:style>
  <w:style w:type="paragraph" w:customStyle="1" w:styleId="H5">
    <w:name w:val="H5"/>
    <w:basedOn w:val="Heading5"/>
    <w:next w:val="BodyText"/>
    <w:link w:val="H5Char"/>
    <w:rsid w:val="002F5868"/>
    <w:pPr>
      <w:numPr>
        <w:ilvl w:val="0"/>
        <w:numId w:val="0"/>
      </w:numPr>
      <w:tabs>
        <w:tab w:val="clear" w:pos="1440"/>
        <w:tab w:val="left" w:pos="1620"/>
      </w:tabs>
      <w:ind w:left="1620" w:hanging="1620"/>
    </w:pPr>
  </w:style>
  <w:style w:type="paragraph" w:customStyle="1" w:styleId="H2">
    <w:name w:val="H2"/>
    <w:basedOn w:val="Heading2"/>
    <w:next w:val="BodyText"/>
    <w:link w:val="H2Char"/>
    <w:rsid w:val="002F5868"/>
    <w:pPr>
      <w:numPr>
        <w:ilvl w:val="0"/>
        <w:numId w:val="0"/>
      </w:numPr>
      <w:tabs>
        <w:tab w:val="clear" w:pos="720"/>
        <w:tab w:val="left" w:pos="900"/>
      </w:tabs>
      <w:ind w:left="900" w:hanging="900"/>
    </w:pPr>
    <w:rPr>
      <w:lang w:val="x-none" w:eastAsia="x-none"/>
    </w:rPr>
  </w:style>
  <w:style w:type="paragraph" w:customStyle="1" w:styleId="H3">
    <w:name w:val="H3"/>
    <w:basedOn w:val="Heading3"/>
    <w:next w:val="BodyText"/>
    <w:link w:val="H3Char1"/>
    <w:rsid w:val="002F5868"/>
    <w:pPr>
      <w:numPr>
        <w:ilvl w:val="0"/>
        <w:numId w:val="0"/>
      </w:numPr>
      <w:tabs>
        <w:tab w:val="clear" w:pos="1008"/>
        <w:tab w:val="left" w:pos="1080"/>
      </w:tabs>
      <w:ind w:left="1080" w:hanging="1080"/>
    </w:pPr>
    <w:rPr>
      <w:b w:val="0"/>
      <w:bCs w:val="0"/>
      <w:i w:val="0"/>
    </w:rPr>
  </w:style>
  <w:style w:type="character" w:customStyle="1" w:styleId="H3Char1">
    <w:name w:val="H3 Char1"/>
    <w:link w:val="H3"/>
    <w:rsid w:val="002F5868"/>
    <w:rPr>
      <w:b w:val="0"/>
      <w:bCs w:val="0"/>
      <w:i w:val="0"/>
      <w:sz w:val="24"/>
      <w:lang w:val="en-US" w:eastAsia="en-US" w:bidi="ar-SA"/>
    </w:rPr>
  </w:style>
  <w:style w:type="paragraph" w:customStyle="1" w:styleId="H4">
    <w:name w:val="H4"/>
    <w:basedOn w:val="Heading4"/>
    <w:next w:val="BodyText"/>
    <w:link w:val="H4Char"/>
    <w:rsid w:val="002F5868"/>
    <w:pPr>
      <w:numPr>
        <w:ilvl w:val="0"/>
        <w:numId w:val="0"/>
      </w:numPr>
      <w:tabs>
        <w:tab w:val="clear" w:pos="1296"/>
        <w:tab w:val="left" w:pos="1260"/>
      </w:tabs>
      <w:ind w:left="1260" w:hanging="1260"/>
    </w:pPr>
    <w:rPr>
      <w:lang w:val="en-US" w:eastAsia="en-US"/>
    </w:rPr>
  </w:style>
  <w:style w:type="paragraph" w:customStyle="1" w:styleId="H6">
    <w:name w:val="H6"/>
    <w:basedOn w:val="Heading6"/>
    <w:next w:val="BodyText"/>
    <w:link w:val="H6Char"/>
    <w:rsid w:val="002F5868"/>
    <w:pPr>
      <w:numPr>
        <w:ilvl w:val="0"/>
        <w:numId w:val="0"/>
      </w:numPr>
      <w:tabs>
        <w:tab w:val="clear" w:pos="1584"/>
        <w:tab w:val="left" w:pos="1800"/>
      </w:tabs>
      <w:ind w:left="1800" w:hanging="1800"/>
    </w:pPr>
  </w:style>
  <w:style w:type="paragraph" w:customStyle="1" w:styleId="H7">
    <w:name w:val="H7"/>
    <w:basedOn w:val="Heading7"/>
    <w:next w:val="BodyText"/>
    <w:rsid w:val="002F5868"/>
    <w:pPr>
      <w:numPr>
        <w:ilvl w:val="0"/>
        <w:numId w:val="0"/>
      </w:numPr>
      <w:tabs>
        <w:tab w:val="clear" w:pos="1728"/>
        <w:tab w:val="left" w:pos="1980"/>
      </w:tabs>
      <w:ind w:left="1980" w:hanging="1980"/>
    </w:pPr>
    <w:rPr>
      <w:b/>
      <w:i/>
    </w:rPr>
  </w:style>
  <w:style w:type="paragraph" w:customStyle="1" w:styleId="H8">
    <w:name w:val="H8"/>
    <w:basedOn w:val="Heading8"/>
    <w:next w:val="BodyText"/>
    <w:rsid w:val="002F5868"/>
    <w:pPr>
      <w:numPr>
        <w:ilvl w:val="0"/>
        <w:numId w:val="0"/>
      </w:numPr>
      <w:tabs>
        <w:tab w:val="clear" w:pos="1872"/>
        <w:tab w:val="left" w:pos="2160"/>
      </w:tabs>
      <w:ind w:left="2160" w:hanging="2160"/>
    </w:pPr>
    <w:rPr>
      <w:b/>
      <w:i w:val="0"/>
    </w:rPr>
  </w:style>
  <w:style w:type="paragraph" w:customStyle="1" w:styleId="H9">
    <w:name w:val="H9"/>
    <w:basedOn w:val="Heading9"/>
    <w:next w:val="BodyText"/>
    <w:rsid w:val="002F5868"/>
    <w:pPr>
      <w:numPr>
        <w:ilvl w:val="0"/>
        <w:numId w:val="0"/>
      </w:numPr>
      <w:tabs>
        <w:tab w:val="clear" w:pos="2160"/>
        <w:tab w:val="left" w:pos="2340"/>
      </w:tabs>
      <w:ind w:left="2340" w:hanging="2340"/>
    </w:pPr>
    <w:rPr>
      <w:i/>
    </w:rPr>
  </w:style>
  <w:style w:type="table" w:customStyle="1" w:styleId="BoxedLanguage">
    <w:name w:val="Boxed Language"/>
    <w:basedOn w:val="TableNormal"/>
    <w:rsid w:val="002F5868"/>
    <w:tblPr>
      <w:tblBorders>
        <w:top w:val="single" w:sz="4" w:space="0" w:color="auto"/>
        <w:left w:val="single" w:sz="4" w:space="0" w:color="auto"/>
        <w:bottom w:val="single" w:sz="4" w:space="0" w:color="auto"/>
        <w:right w:val="single" w:sz="4" w:space="0" w:color="auto"/>
      </w:tblBorders>
      <w:tblCellMar>
        <w:top w:w="144" w:type="dxa"/>
        <w:left w:w="115" w:type="dxa"/>
        <w:right w:w="115" w:type="dxa"/>
      </w:tblCellMar>
    </w:tblPr>
    <w:tcPr>
      <w:shd w:val="clear" w:color="auto" w:fill="E0E0E0"/>
    </w:tcPr>
  </w:style>
  <w:style w:type="paragraph" w:customStyle="1" w:styleId="Spaceafterbox">
    <w:name w:val="Space after box"/>
    <w:basedOn w:val="Normal"/>
    <w:rsid w:val="002F5868"/>
  </w:style>
  <w:style w:type="paragraph" w:customStyle="1" w:styleId="ListIntroduction">
    <w:name w:val="List Introduction"/>
    <w:basedOn w:val="BodyText"/>
    <w:link w:val="ListIntroductionChar"/>
    <w:rsid w:val="002F5868"/>
    <w:pPr>
      <w:keepNext/>
    </w:pPr>
  </w:style>
  <w:style w:type="character" w:customStyle="1" w:styleId="ListIntroductionChar">
    <w:name w:val="List Introduction Char"/>
    <w:link w:val="ListIntroduction"/>
    <w:rsid w:val="002F5868"/>
    <w:rPr>
      <w:iCs/>
      <w:sz w:val="24"/>
      <w:lang w:val="en-US" w:eastAsia="en-US" w:bidi="ar-SA"/>
    </w:rPr>
  </w:style>
  <w:style w:type="paragraph" w:customStyle="1" w:styleId="VariableDefinition">
    <w:name w:val="Variable Definition"/>
    <w:basedOn w:val="BodyTextIndent"/>
    <w:link w:val="VariableDefinitionChar"/>
    <w:rsid w:val="002F5868"/>
    <w:pPr>
      <w:tabs>
        <w:tab w:val="left" w:pos="2160"/>
      </w:tabs>
      <w:ind w:left="2160" w:hanging="1440"/>
      <w:contextualSpacing/>
    </w:pPr>
  </w:style>
  <w:style w:type="paragraph" w:customStyle="1" w:styleId="FormulaBold">
    <w:name w:val="Formula Bold"/>
    <w:basedOn w:val="Normal"/>
    <w:link w:val="FormulaBoldChar"/>
    <w:autoRedefine/>
    <w:rsid w:val="006A6713"/>
    <w:pPr>
      <w:tabs>
        <w:tab w:val="left" w:pos="2340"/>
        <w:tab w:val="left" w:pos="3420"/>
      </w:tabs>
      <w:spacing w:after="240"/>
      <w:ind w:left="1440"/>
    </w:pPr>
    <w:rPr>
      <w:b/>
      <w:lang w:val="x-none" w:eastAsia="x-none"/>
    </w:rPr>
  </w:style>
  <w:style w:type="paragraph" w:customStyle="1" w:styleId="Formula">
    <w:name w:val="Formula"/>
    <w:basedOn w:val="Normal"/>
    <w:autoRedefine/>
    <w:rsid w:val="002F5868"/>
    <w:pPr>
      <w:tabs>
        <w:tab w:val="left" w:pos="2340"/>
        <w:tab w:val="left" w:pos="3420"/>
      </w:tabs>
      <w:spacing w:after="240"/>
      <w:ind w:left="3420" w:hanging="2700"/>
    </w:pPr>
    <w:rPr>
      <w:bCs/>
      <w:szCs w:val="24"/>
    </w:rPr>
  </w:style>
  <w:style w:type="paragraph" w:customStyle="1" w:styleId="ListSub">
    <w:name w:val="List Sub"/>
    <w:basedOn w:val="List"/>
    <w:link w:val="ListSubChar"/>
    <w:rsid w:val="002F5868"/>
    <w:pPr>
      <w:ind w:firstLine="0"/>
    </w:pPr>
  </w:style>
  <w:style w:type="table" w:customStyle="1" w:styleId="VariableTable">
    <w:name w:val="Variable Table"/>
    <w:basedOn w:val="TableNormal"/>
    <w:rsid w:val="002F5868"/>
    <w:tblPr/>
  </w:style>
  <w:style w:type="table" w:customStyle="1" w:styleId="FormulaVariableTable">
    <w:name w:val="Formula Variable Table"/>
    <w:basedOn w:val="TableNormal"/>
    <w:rsid w:val="002F5868"/>
    <w:tblPr>
      <w:tblInd w:w="14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StylePr w:type="firstRow">
      <w:rPr>
        <w:b/>
        <w:i w:val="0"/>
      </w:rPr>
    </w:tblStylePr>
    <w:tblStylePr w:type="firstCol">
      <w:rPr>
        <w:rFonts w:ascii="Times New Roman" w:hAnsi="Times New Roman"/>
      </w:rPr>
      <w:tbl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tcPr>
    </w:tblStylePr>
  </w:style>
  <w:style w:type="paragraph" w:customStyle="1" w:styleId="HeadSub">
    <w:name w:val="Head Sub"/>
    <w:basedOn w:val="BodyText"/>
    <w:next w:val="BodyText"/>
    <w:rsid w:val="002F5868"/>
    <w:pPr>
      <w:keepNext/>
      <w:spacing w:before="240"/>
    </w:pPr>
    <w:rPr>
      <w:b/>
    </w:rPr>
  </w:style>
  <w:style w:type="paragraph" w:customStyle="1" w:styleId="TableBody">
    <w:name w:val="Table Body"/>
    <w:basedOn w:val="BodyText"/>
    <w:rsid w:val="002F5868"/>
    <w:pPr>
      <w:spacing w:after="60"/>
    </w:pPr>
    <w:rPr>
      <w:sz w:val="20"/>
    </w:rPr>
  </w:style>
  <w:style w:type="paragraph" w:customStyle="1" w:styleId="TableHead">
    <w:name w:val="Table Head"/>
    <w:basedOn w:val="BodyText"/>
    <w:rsid w:val="002F5868"/>
    <w:pPr>
      <w:spacing w:after="120"/>
    </w:pPr>
    <w:rPr>
      <w:b/>
      <w:sz w:val="20"/>
    </w:rPr>
  </w:style>
  <w:style w:type="paragraph" w:customStyle="1" w:styleId="TableBullet">
    <w:name w:val="Table Bullet"/>
    <w:basedOn w:val="TableBody"/>
    <w:rsid w:val="002F5868"/>
    <w:pPr>
      <w:tabs>
        <w:tab w:val="num" w:pos="360"/>
      </w:tabs>
      <w:ind w:left="360" w:hanging="360"/>
    </w:pPr>
  </w:style>
  <w:style w:type="paragraph" w:styleId="BodyText2">
    <w:name w:val="Body Text 2"/>
    <w:basedOn w:val="Normal"/>
    <w:link w:val="BodyText2Char"/>
    <w:rsid w:val="002F5868"/>
    <w:pPr>
      <w:spacing w:after="120" w:line="480" w:lineRule="auto"/>
      <w:ind w:left="1440" w:hanging="720"/>
    </w:pPr>
  </w:style>
  <w:style w:type="paragraph" w:customStyle="1" w:styleId="BodyTextNumbered">
    <w:name w:val="Body Text Numbered"/>
    <w:basedOn w:val="BodyText"/>
    <w:link w:val="BodyTextNumberedChar"/>
    <w:rsid w:val="002F5868"/>
    <w:pPr>
      <w:ind w:left="720" w:hanging="720"/>
    </w:pPr>
    <w:rPr>
      <w:iCs w:val="0"/>
    </w:rPr>
  </w:style>
  <w:style w:type="character" w:customStyle="1" w:styleId="BodyTextNumberedChar">
    <w:name w:val="Body Text Numbered Char"/>
    <w:link w:val="BodyTextNumbered"/>
    <w:rsid w:val="002F5868"/>
    <w:rPr>
      <w:iCs w:val="0"/>
      <w:sz w:val="24"/>
      <w:lang w:val="en-US" w:eastAsia="en-US" w:bidi="ar-SA"/>
    </w:rPr>
  </w:style>
  <w:style w:type="paragraph" w:customStyle="1" w:styleId="H3Char">
    <w:name w:val="H3 Char"/>
    <w:basedOn w:val="Heading3"/>
    <w:next w:val="BodyText"/>
    <w:link w:val="H3CharChar"/>
    <w:rsid w:val="002F5868"/>
    <w:pPr>
      <w:numPr>
        <w:ilvl w:val="0"/>
        <w:numId w:val="0"/>
      </w:numPr>
      <w:tabs>
        <w:tab w:val="clear" w:pos="1008"/>
        <w:tab w:val="left" w:pos="1080"/>
      </w:tabs>
      <w:ind w:left="1080" w:hanging="1080"/>
    </w:pPr>
    <w:rPr>
      <w:b w:val="0"/>
      <w:bCs w:val="0"/>
      <w:i w:val="0"/>
    </w:rPr>
  </w:style>
  <w:style w:type="character" w:customStyle="1" w:styleId="H3CharChar">
    <w:name w:val="H3 Char Char"/>
    <w:link w:val="H3Char"/>
    <w:rsid w:val="002F5868"/>
    <w:rPr>
      <w:b w:val="0"/>
      <w:bCs w:val="0"/>
      <w:i w:val="0"/>
      <w:sz w:val="24"/>
      <w:lang w:val="en-US" w:eastAsia="en-US" w:bidi="ar-SA"/>
    </w:rPr>
  </w:style>
  <w:style w:type="character" w:customStyle="1" w:styleId="Char1CharChar">
    <w:name w:val="Char1 Char Char"/>
    <w:rsid w:val="002F5868"/>
    <w:rPr>
      <w:sz w:val="24"/>
      <w:lang w:val="en-US" w:eastAsia="en-US" w:bidi="ar-SA"/>
    </w:rPr>
  </w:style>
  <w:style w:type="paragraph" w:styleId="Index1">
    <w:name w:val="index 1"/>
    <w:basedOn w:val="Normal"/>
    <w:next w:val="Normal"/>
    <w:autoRedefine/>
    <w:semiHidden/>
    <w:rsid w:val="002F5868"/>
    <w:pPr>
      <w:ind w:left="240" w:hanging="240"/>
    </w:pPr>
    <w:rPr>
      <w:sz w:val="18"/>
      <w:szCs w:val="18"/>
    </w:rPr>
  </w:style>
  <w:style w:type="paragraph" w:styleId="Index2">
    <w:name w:val="index 2"/>
    <w:basedOn w:val="Normal"/>
    <w:next w:val="Normal"/>
    <w:autoRedefine/>
    <w:semiHidden/>
    <w:rsid w:val="002F5868"/>
    <w:pPr>
      <w:ind w:left="480" w:hanging="240"/>
    </w:pPr>
    <w:rPr>
      <w:sz w:val="18"/>
      <w:szCs w:val="18"/>
    </w:rPr>
  </w:style>
  <w:style w:type="paragraph" w:styleId="Index3">
    <w:name w:val="index 3"/>
    <w:basedOn w:val="Normal"/>
    <w:next w:val="Normal"/>
    <w:autoRedefine/>
    <w:semiHidden/>
    <w:rsid w:val="002F5868"/>
    <w:pPr>
      <w:ind w:left="720" w:hanging="240"/>
    </w:pPr>
    <w:rPr>
      <w:sz w:val="18"/>
      <w:szCs w:val="18"/>
    </w:rPr>
  </w:style>
  <w:style w:type="paragraph" w:styleId="Index4">
    <w:name w:val="index 4"/>
    <w:basedOn w:val="Normal"/>
    <w:next w:val="Normal"/>
    <w:autoRedefine/>
    <w:semiHidden/>
    <w:rsid w:val="002F5868"/>
    <w:pPr>
      <w:ind w:left="960" w:hanging="240"/>
    </w:pPr>
    <w:rPr>
      <w:sz w:val="18"/>
      <w:szCs w:val="18"/>
    </w:rPr>
  </w:style>
  <w:style w:type="paragraph" w:styleId="Index5">
    <w:name w:val="index 5"/>
    <w:basedOn w:val="Normal"/>
    <w:next w:val="Normal"/>
    <w:autoRedefine/>
    <w:semiHidden/>
    <w:rsid w:val="002F5868"/>
    <w:pPr>
      <w:ind w:left="1200" w:hanging="240"/>
    </w:pPr>
    <w:rPr>
      <w:sz w:val="18"/>
      <w:szCs w:val="18"/>
    </w:rPr>
  </w:style>
  <w:style w:type="paragraph" w:styleId="Index6">
    <w:name w:val="index 6"/>
    <w:basedOn w:val="Normal"/>
    <w:next w:val="Normal"/>
    <w:autoRedefine/>
    <w:semiHidden/>
    <w:rsid w:val="002F5868"/>
    <w:pPr>
      <w:ind w:left="1440" w:hanging="240"/>
    </w:pPr>
    <w:rPr>
      <w:sz w:val="18"/>
      <w:szCs w:val="18"/>
    </w:rPr>
  </w:style>
  <w:style w:type="paragraph" w:styleId="Index7">
    <w:name w:val="index 7"/>
    <w:basedOn w:val="Normal"/>
    <w:next w:val="Normal"/>
    <w:autoRedefine/>
    <w:semiHidden/>
    <w:rsid w:val="002F5868"/>
    <w:pPr>
      <w:ind w:left="1680" w:hanging="240"/>
    </w:pPr>
    <w:rPr>
      <w:sz w:val="18"/>
      <w:szCs w:val="18"/>
    </w:rPr>
  </w:style>
  <w:style w:type="paragraph" w:styleId="Index8">
    <w:name w:val="index 8"/>
    <w:basedOn w:val="Normal"/>
    <w:next w:val="Normal"/>
    <w:autoRedefine/>
    <w:semiHidden/>
    <w:rsid w:val="002F5868"/>
    <w:pPr>
      <w:ind w:left="1920" w:hanging="240"/>
    </w:pPr>
    <w:rPr>
      <w:sz w:val="18"/>
      <w:szCs w:val="18"/>
    </w:rPr>
  </w:style>
  <w:style w:type="paragraph" w:styleId="Index9">
    <w:name w:val="index 9"/>
    <w:basedOn w:val="Normal"/>
    <w:next w:val="Normal"/>
    <w:autoRedefine/>
    <w:semiHidden/>
    <w:rsid w:val="002F5868"/>
    <w:pPr>
      <w:ind w:left="2160" w:hanging="240"/>
    </w:pPr>
    <w:rPr>
      <w:sz w:val="18"/>
      <w:szCs w:val="18"/>
    </w:rPr>
  </w:style>
  <w:style w:type="paragraph" w:styleId="IndexHeading">
    <w:name w:val="index heading"/>
    <w:basedOn w:val="Normal"/>
    <w:next w:val="Index1"/>
    <w:semiHidden/>
    <w:rsid w:val="002F5868"/>
    <w:pPr>
      <w:spacing w:before="240" w:after="120"/>
      <w:jc w:val="center"/>
    </w:pPr>
    <w:rPr>
      <w:b/>
      <w:bCs/>
      <w:sz w:val="26"/>
      <w:szCs w:val="26"/>
    </w:rPr>
  </w:style>
  <w:style w:type="paragraph" w:styleId="BalloonText">
    <w:name w:val="Balloon Text"/>
    <w:basedOn w:val="Normal"/>
    <w:link w:val="BalloonTextChar"/>
    <w:semiHidden/>
    <w:rsid w:val="002F5868"/>
    <w:rPr>
      <w:rFonts w:ascii="Tahoma" w:hAnsi="Tahoma" w:cs="Tahoma"/>
      <w:sz w:val="16"/>
      <w:szCs w:val="16"/>
    </w:rPr>
  </w:style>
  <w:style w:type="character" w:customStyle="1" w:styleId="FormulaChar">
    <w:name w:val="Formula Char"/>
    <w:rsid w:val="002F5868"/>
    <w:rPr>
      <w:b/>
    </w:rPr>
  </w:style>
  <w:style w:type="character" w:customStyle="1" w:styleId="BodyTextChar1">
    <w:name w:val="Body Text Char1"/>
    <w:rsid w:val="002F5868"/>
    <w:rPr>
      <w:iCs/>
      <w:sz w:val="24"/>
      <w:lang w:val="en-US" w:eastAsia="en-US" w:bidi="ar-SA"/>
    </w:rPr>
  </w:style>
  <w:style w:type="paragraph" w:styleId="CommentText">
    <w:name w:val="annotation text"/>
    <w:basedOn w:val="Normal"/>
    <w:link w:val="CommentTextChar"/>
    <w:rsid w:val="002F5868"/>
    <w:rPr>
      <w:sz w:val="20"/>
    </w:rPr>
  </w:style>
  <w:style w:type="character" w:customStyle="1" w:styleId="BodyTextChar">
    <w:name w:val="Body Text Char"/>
    <w:aliases w:val="Char Char Char Char Char Char Char,Char Char Char Char Char Char Charh2 Char,... Char, Char Char Char Char Char Char Char1, Char Char Char Char Char Char Char Char,Body Text Char1 Char Char Char,Char1 Char Char Char"/>
    <w:rsid w:val="002F5868"/>
    <w:rPr>
      <w:iCs/>
      <w:sz w:val="24"/>
      <w:lang w:val="en-US" w:eastAsia="en-US" w:bidi="ar-SA"/>
    </w:rPr>
  </w:style>
  <w:style w:type="character" w:customStyle="1" w:styleId="ListSubChar">
    <w:name w:val="List Sub Char"/>
    <w:link w:val="ListSub"/>
    <w:rsid w:val="002F5868"/>
    <w:rPr>
      <w:sz w:val="24"/>
      <w:lang w:val="en-US" w:eastAsia="en-US" w:bidi="ar-SA"/>
    </w:rPr>
  </w:style>
  <w:style w:type="character" w:customStyle="1" w:styleId="CharCharCharChar">
    <w:name w:val="Char Char Char Char"/>
    <w:aliases w:val=" Char1 Char,Body Text Char Char Char1, Char Char Char Char Char Char1, Char1 Char Char Char1,Body Text Char2 Char Char Char,Body Text Char2 Char Char Char Char Char Char Char Char Char Char Char Char,Body Text Char2 Char Char1"/>
    <w:rsid w:val="002F5868"/>
    <w:rPr>
      <w:iCs/>
      <w:sz w:val="24"/>
      <w:lang w:val="en-US" w:eastAsia="en-US" w:bidi="ar-SA"/>
    </w:rPr>
  </w:style>
  <w:style w:type="character" w:customStyle="1" w:styleId="BodyTextNumberedCharChar">
    <w:name w:val="Body Text Numbered Char Char"/>
    <w:rsid w:val="002F5868"/>
    <w:rPr>
      <w:iCs w:val="0"/>
      <w:sz w:val="24"/>
      <w:lang w:val="en-US" w:eastAsia="en-US" w:bidi="ar-SA"/>
    </w:rPr>
  </w:style>
  <w:style w:type="paragraph" w:customStyle="1" w:styleId="NormalArial">
    <w:name w:val="Normal+Arial"/>
    <w:basedOn w:val="Normal"/>
    <w:link w:val="NormalArialChar"/>
    <w:rsid w:val="002F5868"/>
    <w:rPr>
      <w:rFonts w:ascii="Arial" w:hAnsi="Arial"/>
      <w:szCs w:val="24"/>
    </w:rPr>
  </w:style>
  <w:style w:type="character" w:customStyle="1" w:styleId="ListCharChar1">
    <w:name w:val="List Char Char1"/>
    <w:rsid w:val="002F5868"/>
    <w:rPr>
      <w:sz w:val="24"/>
      <w:lang w:val="en-US" w:eastAsia="en-US" w:bidi="ar-SA"/>
    </w:rPr>
  </w:style>
  <w:style w:type="character" w:customStyle="1" w:styleId="NormalArialChar">
    <w:name w:val="Normal+Arial Char"/>
    <w:link w:val="NormalArial"/>
    <w:rsid w:val="002F5868"/>
    <w:rPr>
      <w:rFonts w:ascii="Arial" w:hAnsi="Arial"/>
      <w:sz w:val="24"/>
      <w:szCs w:val="24"/>
      <w:lang w:val="en-US" w:eastAsia="en-US" w:bidi="ar-SA"/>
    </w:rPr>
  </w:style>
  <w:style w:type="character" w:customStyle="1" w:styleId="BulletIndentChar">
    <w:name w:val="Bullet Indent Char"/>
    <w:link w:val="BulletIndent"/>
    <w:rsid w:val="002F5868"/>
    <w:rPr>
      <w:sz w:val="24"/>
      <w:lang w:val="en-US" w:eastAsia="en-US" w:bidi="ar-SA"/>
    </w:rPr>
  </w:style>
  <w:style w:type="character" w:customStyle="1" w:styleId="CharChar">
    <w:name w:val="Char Char"/>
    <w:rsid w:val="002F5868"/>
    <w:rPr>
      <w:sz w:val="24"/>
      <w:lang w:val="en-US" w:eastAsia="en-US" w:bidi="ar-SA"/>
    </w:rPr>
  </w:style>
  <w:style w:type="paragraph" w:customStyle="1" w:styleId="TXUHeaderForm">
    <w:name w:val="TXUHeaderForm"/>
    <w:basedOn w:val="Normal"/>
    <w:next w:val="Normal"/>
    <w:rsid w:val="002F5868"/>
    <w:pPr>
      <w:tabs>
        <w:tab w:val="right" w:pos="9360"/>
      </w:tabs>
    </w:pPr>
    <w:rPr>
      <w:noProof/>
    </w:rPr>
  </w:style>
  <w:style w:type="paragraph" w:customStyle="1" w:styleId="Char3">
    <w:name w:val="Char3"/>
    <w:basedOn w:val="Normal"/>
    <w:rsid w:val="002F5868"/>
    <w:pPr>
      <w:spacing w:after="160" w:line="240" w:lineRule="exact"/>
    </w:pPr>
    <w:rPr>
      <w:rFonts w:ascii="Verdana" w:hAnsi="Verdana"/>
      <w:sz w:val="16"/>
    </w:rPr>
  </w:style>
  <w:style w:type="character" w:customStyle="1" w:styleId="H4Char">
    <w:name w:val="H4 Char"/>
    <w:link w:val="H4"/>
    <w:rsid w:val="002F5868"/>
    <w:rPr>
      <w:b/>
      <w:bCs/>
      <w:snapToGrid w:val="0"/>
      <w:sz w:val="24"/>
      <w:lang w:val="en-US" w:eastAsia="en-US" w:bidi="ar-SA"/>
    </w:rPr>
  </w:style>
  <w:style w:type="character" w:customStyle="1" w:styleId="H5Char">
    <w:name w:val="H5 Char"/>
    <w:link w:val="H5"/>
    <w:rsid w:val="002F5868"/>
    <w:rPr>
      <w:b/>
      <w:bCs/>
      <w:i/>
      <w:iCs/>
      <w:sz w:val="24"/>
      <w:szCs w:val="26"/>
      <w:lang w:val="en-US" w:eastAsia="en-US" w:bidi="ar-SA"/>
    </w:rPr>
  </w:style>
  <w:style w:type="paragraph" w:styleId="DocumentMap">
    <w:name w:val="Document Map"/>
    <w:basedOn w:val="Normal"/>
    <w:link w:val="DocumentMapChar"/>
    <w:rsid w:val="002F5868"/>
    <w:pPr>
      <w:shd w:val="clear" w:color="auto" w:fill="000080"/>
    </w:pPr>
    <w:rPr>
      <w:rFonts w:ascii="Tahoma" w:hAnsi="Tahoma" w:cs="Tahoma"/>
      <w:sz w:val="20"/>
    </w:rPr>
  </w:style>
  <w:style w:type="character" w:styleId="CommentReference">
    <w:name w:val="annotation reference"/>
    <w:rsid w:val="002F5868"/>
    <w:rPr>
      <w:sz w:val="16"/>
      <w:szCs w:val="16"/>
    </w:rPr>
  </w:style>
  <w:style w:type="paragraph" w:styleId="CommentSubject">
    <w:name w:val="annotation subject"/>
    <w:basedOn w:val="CommentText"/>
    <w:next w:val="CommentText"/>
    <w:link w:val="CommentSubjectChar"/>
    <w:semiHidden/>
    <w:rsid w:val="002F5868"/>
    <w:rPr>
      <w:b/>
      <w:bCs/>
    </w:rPr>
  </w:style>
  <w:style w:type="paragraph" w:styleId="Revision">
    <w:name w:val="Revision"/>
    <w:hidden/>
    <w:uiPriority w:val="99"/>
    <w:semiHidden/>
    <w:rsid w:val="002F5868"/>
    <w:rPr>
      <w:sz w:val="24"/>
    </w:rPr>
  </w:style>
  <w:style w:type="character" w:customStyle="1" w:styleId="HeaderChar">
    <w:name w:val="Header Char"/>
    <w:link w:val="Header"/>
    <w:rsid w:val="00A43CDA"/>
    <w:rPr>
      <w:smallCaps/>
    </w:rPr>
  </w:style>
  <w:style w:type="character" w:styleId="FollowedHyperlink">
    <w:name w:val="FollowedHyperlink"/>
    <w:rsid w:val="009C65F4"/>
    <w:rPr>
      <w:color w:val="800080"/>
      <w:u w:val="single"/>
    </w:rPr>
  </w:style>
  <w:style w:type="character" w:customStyle="1" w:styleId="BodyTextNumberedChar1">
    <w:name w:val="Body Text Numbered Char1"/>
    <w:rsid w:val="00983E12"/>
    <w:rPr>
      <w:iCs/>
      <w:sz w:val="24"/>
    </w:rPr>
  </w:style>
  <w:style w:type="character" w:customStyle="1" w:styleId="InstructionsChar">
    <w:name w:val="Instructions Char"/>
    <w:link w:val="Instructions"/>
    <w:rsid w:val="00834D02"/>
    <w:rPr>
      <w:b/>
      <w:i/>
      <w:iCs/>
      <w:sz w:val="24"/>
      <w:szCs w:val="24"/>
    </w:rPr>
  </w:style>
  <w:style w:type="character" w:customStyle="1" w:styleId="FormulaBoldChar">
    <w:name w:val="Formula Bold Char"/>
    <w:link w:val="FormulaBold"/>
    <w:rsid w:val="006A6713"/>
    <w:rPr>
      <w:b/>
      <w:sz w:val="24"/>
      <w:lang w:val="x-none" w:eastAsia="x-none"/>
    </w:rPr>
  </w:style>
  <w:style w:type="character" w:customStyle="1" w:styleId="Heading4Char">
    <w:name w:val="Heading 4 Char"/>
    <w:aliases w:val="h4 Char,delete Char"/>
    <w:link w:val="Heading4"/>
    <w:rsid w:val="005E554F"/>
    <w:rPr>
      <w:b/>
      <w:bCs/>
      <w:snapToGrid w:val="0"/>
      <w:sz w:val="24"/>
      <w:lang w:val="x-none" w:eastAsia="x-none"/>
    </w:rPr>
  </w:style>
  <w:style w:type="character" w:customStyle="1" w:styleId="ListChar1">
    <w:name w:val="List Char1"/>
    <w:aliases w:val=" Char2 Char Char Char Char Char, Char2 Char Char1"/>
    <w:rsid w:val="005E554F"/>
    <w:rPr>
      <w:sz w:val="24"/>
      <w:lang w:val="en-US" w:eastAsia="en-US" w:bidi="ar-SA"/>
    </w:rPr>
  </w:style>
  <w:style w:type="character" w:customStyle="1" w:styleId="List2Char">
    <w:name w:val="List 2 Char"/>
    <w:aliases w:val=" Char2 Char1,Char2 Char Char Char1,Char2 Char"/>
    <w:link w:val="List2"/>
    <w:rsid w:val="005E554F"/>
    <w:rPr>
      <w:sz w:val="24"/>
    </w:rPr>
  </w:style>
  <w:style w:type="character" w:customStyle="1" w:styleId="H2Char">
    <w:name w:val="H2 Char"/>
    <w:link w:val="H2"/>
    <w:rsid w:val="005E554F"/>
    <w:rPr>
      <w:b/>
      <w:sz w:val="24"/>
    </w:rPr>
  </w:style>
  <w:style w:type="character" w:customStyle="1" w:styleId="H6Char">
    <w:name w:val="H6 Char"/>
    <w:link w:val="H6"/>
    <w:rsid w:val="005E554F"/>
    <w:rPr>
      <w:b/>
      <w:bCs/>
      <w:sz w:val="24"/>
      <w:szCs w:val="22"/>
    </w:rPr>
  </w:style>
  <w:style w:type="character" w:customStyle="1" w:styleId="CharChar1">
    <w:name w:val="Char Char1"/>
    <w:rsid w:val="005E554F"/>
    <w:rPr>
      <w:b/>
      <w:bCs/>
      <w:i/>
      <w:iCs/>
      <w:sz w:val="24"/>
      <w:szCs w:val="26"/>
      <w:lang w:val="en-US" w:eastAsia="en-US" w:bidi="ar-SA"/>
    </w:rPr>
  </w:style>
  <w:style w:type="character" w:customStyle="1" w:styleId="VariableDefinitionChar">
    <w:name w:val="Variable Definition Char"/>
    <w:link w:val="VariableDefinition"/>
    <w:rsid w:val="005E554F"/>
    <w:rPr>
      <w:iCs/>
      <w:sz w:val="24"/>
    </w:rPr>
  </w:style>
  <w:style w:type="paragraph" w:customStyle="1" w:styleId="note">
    <w:name w:val="note"/>
    <w:basedOn w:val="Normal"/>
    <w:rsid w:val="005E554F"/>
    <w:rPr>
      <w:sz w:val="22"/>
    </w:rPr>
  </w:style>
  <w:style w:type="paragraph" w:customStyle="1" w:styleId="Default">
    <w:name w:val="Default"/>
    <w:rsid w:val="005E554F"/>
    <w:pPr>
      <w:autoSpaceDE w:val="0"/>
      <w:autoSpaceDN w:val="0"/>
      <w:adjustRightInd w:val="0"/>
    </w:pPr>
    <w:rPr>
      <w:rFonts w:ascii="Arial" w:hAnsi="Arial" w:cs="Arial"/>
      <w:color w:val="000000"/>
      <w:sz w:val="24"/>
      <w:szCs w:val="24"/>
    </w:rPr>
  </w:style>
  <w:style w:type="paragraph" w:styleId="BlockText">
    <w:name w:val="Block Text"/>
    <w:basedOn w:val="Normal"/>
    <w:rsid w:val="005E554F"/>
    <w:pPr>
      <w:spacing w:after="120"/>
      <w:ind w:left="1440" w:right="1440"/>
    </w:pPr>
  </w:style>
  <w:style w:type="paragraph" w:styleId="NormalWeb">
    <w:name w:val="Normal (Web)"/>
    <w:basedOn w:val="Normal"/>
    <w:uiPriority w:val="99"/>
    <w:rsid w:val="005E554F"/>
    <w:pPr>
      <w:spacing w:before="100" w:beforeAutospacing="1" w:after="100" w:afterAutospacing="1"/>
    </w:pPr>
    <w:rPr>
      <w:szCs w:val="24"/>
    </w:rPr>
  </w:style>
  <w:style w:type="paragraph" w:customStyle="1" w:styleId="List1">
    <w:name w:val="List1"/>
    <w:basedOn w:val="H4"/>
    <w:rsid w:val="005E554F"/>
    <w:pPr>
      <w:tabs>
        <w:tab w:val="clear" w:pos="1260"/>
      </w:tabs>
      <w:ind w:left="1440" w:hanging="720"/>
    </w:pPr>
    <w:rPr>
      <w:b w:val="0"/>
    </w:rPr>
  </w:style>
  <w:style w:type="paragraph" w:customStyle="1" w:styleId="Char">
    <w:name w:val="Char"/>
    <w:basedOn w:val="Normal"/>
    <w:rsid w:val="005E554F"/>
    <w:pPr>
      <w:spacing w:after="160" w:line="240" w:lineRule="exact"/>
    </w:pPr>
    <w:rPr>
      <w:rFonts w:ascii="Verdana" w:hAnsi="Verdana"/>
      <w:sz w:val="16"/>
    </w:rPr>
  </w:style>
  <w:style w:type="character" w:customStyle="1" w:styleId="DeltaViewInsertion">
    <w:name w:val="DeltaView Insertion"/>
    <w:rsid w:val="005E554F"/>
    <w:rPr>
      <w:color w:val="0000FF"/>
      <w:spacing w:val="0"/>
      <w:u w:val="double"/>
    </w:rPr>
  </w:style>
  <w:style w:type="character" w:customStyle="1" w:styleId="DeltaViewMoveDestination">
    <w:name w:val="DeltaView Move Destination"/>
    <w:rsid w:val="005E554F"/>
    <w:rPr>
      <w:color w:val="00C000"/>
      <w:spacing w:val="0"/>
      <w:u w:val="double"/>
    </w:rPr>
  </w:style>
  <w:style w:type="character" w:customStyle="1" w:styleId="BulletChar">
    <w:name w:val="Bullet Char"/>
    <w:link w:val="Bullet"/>
    <w:rsid w:val="005E554F"/>
    <w:rPr>
      <w:sz w:val="24"/>
    </w:rPr>
  </w:style>
  <w:style w:type="paragraph" w:customStyle="1" w:styleId="Bullet15">
    <w:name w:val="Bullet (1.5)"/>
    <w:basedOn w:val="Normal"/>
    <w:rsid w:val="005E554F"/>
    <w:pPr>
      <w:tabs>
        <w:tab w:val="num" w:pos="2520"/>
      </w:tabs>
      <w:spacing w:after="120"/>
      <w:ind w:left="2520" w:hanging="720"/>
    </w:pPr>
  </w:style>
  <w:style w:type="paragraph" w:customStyle="1" w:styleId="BulletCharChar">
    <w:name w:val="Bullet Char Char"/>
    <w:basedOn w:val="Normal"/>
    <w:link w:val="BulletCharCharChar"/>
    <w:rsid w:val="005E554F"/>
    <w:pPr>
      <w:tabs>
        <w:tab w:val="num" w:pos="450"/>
      </w:tabs>
      <w:spacing w:after="180"/>
      <w:ind w:left="450" w:hanging="360"/>
    </w:pPr>
    <w:rPr>
      <w:lang w:val="x-none" w:eastAsia="x-none"/>
    </w:rPr>
  </w:style>
  <w:style w:type="character" w:customStyle="1" w:styleId="BulletCharCharChar">
    <w:name w:val="Bullet Char Char Char"/>
    <w:link w:val="BulletCharChar"/>
    <w:rsid w:val="005E554F"/>
    <w:rPr>
      <w:sz w:val="24"/>
    </w:rPr>
  </w:style>
  <w:style w:type="character" w:customStyle="1" w:styleId="Char2CharCharCharCharChar">
    <w:name w:val="Char2 Char Char Char Char Char"/>
    <w:aliases w:val=" Char2 Char Char Char"/>
    <w:rsid w:val="005E554F"/>
    <w:rPr>
      <w:sz w:val="24"/>
      <w:lang w:val="en-US" w:eastAsia="en-US" w:bidi="ar-SA"/>
    </w:rPr>
  </w:style>
  <w:style w:type="character" w:customStyle="1" w:styleId="BodyTextIndentChar">
    <w:name w:val="Body Text Indent Char"/>
    <w:aliases w:val=" Char Char"/>
    <w:uiPriority w:val="99"/>
    <w:rsid w:val="005E554F"/>
    <w:rPr>
      <w:iCs/>
      <w:sz w:val="24"/>
      <w:lang w:val="en-US" w:eastAsia="en-US" w:bidi="ar-SA"/>
    </w:rPr>
  </w:style>
  <w:style w:type="paragraph" w:styleId="BodyText3">
    <w:name w:val="Body Text 3"/>
    <w:basedOn w:val="Normal"/>
    <w:link w:val="BodyText3Char"/>
    <w:rsid w:val="005E554F"/>
    <w:pPr>
      <w:spacing w:after="120"/>
    </w:pPr>
    <w:rPr>
      <w:sz w:val="16"/>
      <w:szCs w:val="16"/>
      <w:lang w:val="x-none" w:eastAsia="x-none"/>
    </w:rPr>
  </w:style>
  <w:style w:type="character" w:customStyle="1" w:styleId="BodyText3Char">
    <w:name w:val="Body Text 3 Char"/>
    <w:link w:val="BodyText3"/>
    <w:rsid w:val="005E554F"/>
    <w:rPr>
      <w:sz w:val="16"/>
      <w:szCs w:val="16"/>
    </w:rPr>
  </w:style>
  <w:style w:type="paragraph" w:styleId="BodyTextFirstIndent">
    <w:name w:val="Body Text First Indent"/>
    <w:basedOn w:val="BodyText"/>
    <w:link w:val="BodyTextFirstIndentChar"/>
    <w:rsid w:val="005E554F"/>
    <w:pPr>
      <w:spacing w:after="120"/>
      <w:ind w:firstLine="210"/>
    </w:pPr>
  </w:style>
  <w:style w:type="character" w:customStyle="1" w:styleId="BodyTextFirstIndentChar">
    <w:name w:val="Body Text First Indent Char"/>
    <w:link w:val="BodyTextFirstIndent"/>
    <w:rsid w:val="005E554F"/>
    <w:rPr>
      <w:iCs/>
      <w:sz w:val="24"/>
      <w:lang w:val="en-US" w:eastAsia="en-US" w:bidi="ar-SA"/>
    </w:rPr>
  </w:style>
  <w:style w:type="paragraph" w:styleId="BodyTextFirstIndent2">
    <w:name w:val="Body Text First Indent 2"/>
    <w:basedOn w:val="BodyTextIndent"/>
    <w:link w:val="BodyTextFirstIndent2Char"/>
    <w:rsid w:val="005E554F"/>
    <w:pPr>
      <w:spacing w:after="120"/>
      <w:ind w:left="360" w:firstLine="210"/>
    </w:pPr>
  </w:style>
  <w:style w:type="character" w:customStyle="1" w:styleId="BodyTextIndentChar1">
    <w:name w:val="Body Text Indent Char1"/>
    <w:aliases w:val=" Char Char1"/>
    <w:link w:val="BodyTextIndent"/>
    <w:rsid w:val="005E554F"/>
    <w:rPr>
      <w:iCs/>
      <w:sz w:val="24"/>
    </w:rPr>
  </w:style>
  <w:style w:type="character" w:customStyle="1" w:styleId="BodyTextFirstIndent2Char">
    <w:name w:val="Body Text First Indent 2 Char"/>
    <w:link w:val="BodyTextFirstIndent2"/>
    <w:rsid w:val="005E554F"/>
    <w:rPr>
      <w:iCs/>
      <w:sz w:val="24"/>
    </w:rPr>
  </w:style>
  <w:style w:type="paragraph" w:styleId="BodyTextIndent2">
    <w:name w:val="Body Text Indent 2"/>
    <w:basedOn w:val="Normal"/>
    <w:link w:val="BodyTextIndent2Char"/>
    <w:rsid w:val="005E554F"/>
    <w:pPr>
      <w:spacing w:after="120" w:line="480" w:lineRule="auto"/>
      <w:ind w:left="360"/>
    </w:pPr>
    <w:rPr>
      <w:lang w:val="x-none" w:eastAsia="x-none"/>
    </w:rPr>
  </w:style>
  <w:style w:type="character" w:customStyle="1" w:styleId="BodyTextIndent2Char">
    <w:name w:val="Body Text Indent 2 Char"/>
    <w:link w:val="BodyTextIndent2"/>
    <w:rsid w:val="005E554F"/>
    <w:rPr>
      <w:sz w:val="24"/>
    </w:rPr>
  </w:style>
  <w:style w:type="paragraph" w:styleId="BodyTextIndent3">
    <w:name w:val="Body Text Indent 3"/>
    <w:basedOn w:val="Normal"/>
    <w:link w:val="BodyTextIndent3Char"/>
    <w:rsid w:val="005E554F"/>
    <w:pPr>
      <w:spacing w:after="120"/>
      <w:ind w:left="360"/>
    </w:pPr>
    <w:rPr>
      <w:sz w:val="16"/>
      <w:szCs w:val="16"/>
      <w:lang w:val="x-none" w:eastAsia="x-none"/>
    </w:rPr>
  </w:style>
  <w:style w:type="character" w:customStyle="1" w:styleId="BodyTextIndent3Char">
    <w:name w:val="Body Text Indent 3 Char"/>
    <w:link w:val="BodyTextIndent3"/>
    <w:rsid w:val="005E554F"/>
    <w:rPr>
      <w:sz w:val="16"/>
      <w:szCs w:val="16"/>
    </w:rPr>
  </w:style>
  <w:style w:type="paragraph" w:styleId="Caption">
    <w:name w:val="caption"/>
    <w:basedOn w:val="Normal"/>
    <w:next w:val="Normal"/>
    <w:qFormat/>
    <w:rsid w:val="005E554F"/>
    <w:rPr>
      <w:b/>
      <w:bCs/>
      <w:sz w:val="20"/>
    </w:rPr>
  </w:style>
  <w:style w:type="paragraph" w:styleId="Closing">
    <w:name w:val="Closing"/>
    <w:basedOn w:val="Normal"/>
    <w:link w:val="ClosingChar"/>
    <w:rsid w:val="005E554F"/>
    <w:pPr>
      <w:ind w:left="4320"/>
    </w:pPr>
    <w:rPr>
      <w:lang w:val="x-none" w:eastAsia="x-none"/>
    </w:rPr>
  </w:style>
  <w:style w:type="character" w:customStyle="1" w:styleId="ClosingChar">
    <w:name w:val="Closing Char"/>
    <w:link w:val="Closing"/>
    <w:rsid w:val="005E554F"/>
    <w:rPr>
      <w:sz w:val="24"/>
    </w:rPr>
  </w:style>
  <w:style w:type="paragraph" w:styleId="Date">
    <w:name w:val="Date"/>
    <w:basedOn w:val="Normal"/>
    <w:next w:val="Normal"/>
    <w:link w:val="DateChar"/>
    <w:rsid w:val="005E554F"/>
    <w:rPr>
      <w:lang w:val="x-none" w:eastAsia="x-none"/>
    </w:rPr>
  </w:style>
  <w:style w:type="character" w:customStyle="1" w:styleId="DateChar">
    <w:name w:val="Date Char"/>
    <w:link w:val="Date"/>
    <w:rsid w:val="005E554F"/>
    <w:rPr>
      <w:sz w:val="24"/>
    </w:rPr>
  </w:style>
  <w:style w:type="paragraph" w:styleId="E-mailSignature">
    <w:name w:val="E-mail Signature"/>
    <w:basedOn w:val="Normal"/>
    <w:link w:val="E-mailSignatureChar"/>
    <w:rsid w:val="005E554F"/>
    <w:rPr>
      <w:lang w:val="x-none" w:eastAsia="x-none"/>
    </w:rPr>
  </w:style>
  <w:style w:type="character" w:customStyle="1" w:styleId="E-mailSignatureChar">
    <w:name w:val="E-mail Signature Char"/>
    <w:link w:val="E-mailSignature"/>
    <w:rsid w:val="005E554F"/>
    <w:rPr>
      <w:sz w:val="24"/>
    </w:rPr>
  </w:style>
  <w:style w:type="paragraph" w:styleId="EndnoteText">
    <w:name w:val="endnote text"/>
    <w:basedOn w:val="Normal"/>
    <w:link w:val="EndnoteTextChar"/>
    <w:rsid w:val="005E554F"/>
    <w:rPr>
      <w:sz w:val="20"/>
    </w:rPr>
  </w:style>
  <w:style w:type="character" w:customStyle="1" w:styleId="EndnoteTextChar">
    <w:name w:val="Endnote Text Char"/>
    <w:basedOn w:val="DefaultParagraphFont"/>
    <w:link w:val="EndnoteText"/>
    <w:rsid w:val="005E554F"/>
  </w:style>
  <w:style w:type="paragraph" w:styleId="EnvelopeAddress">
    <w:name w:val="envelope address"/>
    <w:basedOn w:val="Normal"/>
    <w:rsid w:val="005E554F"/>
    <w:pPr>
      <w:framePr w:w="7920" w:h="1980" w:hRule="exact" w:hSpace="180" w:wrap="auto" w:hAnchor="page" w:xAlign="center" w:yAlign="bottom"/>
      <w:ind w:left="2880"/>
    </w:pPr>
    <w:rPr>
      <w:rFonts w:ascii="Arial" w:hAnsi="Arial" w:cs="Arial"/>
      <w:szCs w:val="24"/>
    </w:rPr>
  </w:style>
  <w:style w:type="paragraph" w:styleId="EnvelopeReturn">
    <w:name w:val="envelope return"/>
    <w:basedOn w:val="Normal"/>
    <w:rsid w:val="005E554F"/>
    <w:rPr>
      <w:rFonts w:ascii="Arial" w:hAnsi="Arial" w:cs="Arial"/>
      <w:sz w:val="20"/>
    </w:rPr>
  </w:style>
  <w:style w:type="paragraph" w:styleId="HTMLAddress">
    <w:name w:val="HTML Address"/>
    <w:basedOn w:val="Normal"/>
    <w:link w:val="HTMLAddressChar"/>
    <w:rsid w:val="005E554F"/>
    <w:rPr>
      <w:i/>
      <w:iCs/>
      <w:lang w:val="x-none" w:eastAsia="x-none"/>
    </w:rPr>
  </w:style>
  <w:style w:type="character" w:customStyle="1" w:styleId="HTMLAddressChar">
    <w:name w:val="HTML Address Char"/>
    <w:link w:val="HTMLAddress"/>
    <w:rsid w:val="005E554F"/>
    <w:rPr>
      <w:i/>
      <w:iCs/>
      <w:sz w:val="24"/>
    </w:rPr>
  </w:style>
  <w:style w:type="paragraph" w:styleId="HTMLPreformatted">
    <w:name w:val="HTML Preformatted"/>
    <w:basedOn w:val="Normal"/>
    <w:link w:val="HTMLPreformattedChar"/>
    <w:rsid w:val="005E554F"/>
    <w:rPr>
      <w:rFonts w:ascii="Courier New" w:hAnsi="Courier New"/>
      <w:sz w:val="20"/>
      <w:lang w:val="x-none" w:eastAsia="x-none"/>
    </w:rPr>
  </w:style>
  <w:style w:type="character" w:customStyle="1" w:styleId="HTMLPreformattedChar">
    <w:name w:val="HTML Preformatted Char"/>
    <w:link w:val="HTMLPreformatted"/>
    <w:rsid w:val="005E554F"/>
    <w:rPr>
      <w:rFonts w:ascii="Courier New" w:hAnsi="Courier New" w:cs="Courier New"/>
    </w:rPr>
  </w:style>
  <w:style w:type="paragraph" w:styleId="List4">
    <w:name w:val="List 4"/>
    <w:basedOn w:val="Normal"/>
    <w:rsid w:val="005E554F"/>
    <w:pPr>
      <w:ind w:left="1440" w:hanging="360"/>
    </w:pPr>
  </w:style>
  <w:style w:type="paragraph" w:styleId="List5">
    <w:name w:val="List 5"/>
    <w:basedOn w:val="Normal"/>
    <w:rsid w:val="005E554F"/>
    <w:pPr>
      <w:ind w:left="1800" w:hanging="360"/>
    </w:pPr>
  </w:style>
  <w:style w:type="paragraph" w:styleId="ListBullet">
    <w:name w:val="List Bullet"/>
    <w:basedOn w:val="Normal"/>
    <w:rsid w:val="005E554F"/>
    <w:pPr>
      <w:numPr>
        <w:numId w:val="2"/>
      </w:numPr>
    </w:pPr>
  </w:style>
  <w:style w:type="paragraph" w:styleId="ListBullet2">
    <w:name w:val="List Bullet 2"/>
    <w:basedOn w:val="Normal"/>
    <w:rsid w:val="005E554F"/>
    <w:pPr>
      <w:numPr>
        <w:numId w:val="3"/>
      </w:numPr>
    </w:pPr>
  </w:style>
  <w:style w:type="paragraph" w:styleId="ListBullet3">
    <w:name w:val="List Bullet 3"/>
    <w:basedOn w:val="Normal"/>
    <w:rsid w:val="005E554F"/>
    <w:pPr>
      <w:numPr>
        <w:numId w:val="4"/>
      </w:numPr>
    </w:pPr>
  </w:style>
  <w:style w:type="paragraph" w:styleId="ListBullet4">
    <w:name w:val="List Bullet 4"/>
    <w:basedOn w:val="Normal"/>
    <w:rsid w:val="005E554F"/>
    <w:pPr>
      <w:numPr>
        <w:numId w:val="5"/>
      </w:numPr>
    </w:pPr>
  </w:style>
  <w:style w:type="paragraph" w:styleId="ListBullet5">
    <w:name w:val="List Bullet 5"/>
    <w:basedOn w:val="Normal"/>
    <w:rsid w:val="005E554F"/>
    <w:pPr>
      <w:numPr>
        <w:numId w:val="6"/>
      </w:numPr>
    </w:pPr>
  </w:style>
  <w:style w:type="paragraph" w:styleId="ListContinue">
    <w:name w:val="List Continue"/>
    <w:basedOn w:val="Normal"/>
    <w:rsid w:val="005E554F"/>
    <w:pPr>
      <w:spacing w:after="120"/>
      <w:ind w:left="360"/>
    </w:pPr>
  </w:style>
  <w:style w:type="paragraph" w:styleId="ListContinue2">
    <w:name w:val="List Continue 2"/>
    <w:basedOn w:val="Normal"/>
    <w:rsid w:val="005E554F"/>
    <w:pPr>
      <w:spacing w:after="120"/>
      <w:ind w:left="720"/>
    </w:pPr>
  </w:style>
  <w:style w:type="paragraph" w:styleId="ListContinue3">
    <w:name w:val="List Continue 3"/>
    <w:basedOn w:val="Normal"/>
    <w:rsid w:val="005E554F"/>
    <w:pPr>
      <w:spacing w:after="120"/>
      <w:ind w:left="1080"/>
    </w:pPr>
  </w:style>
  <w:style w:type="paragraph" w:styleId="ListContinue4">
    <w:name w:val="List Continue 4"/>
    <w:basedOn w:val="Normal"/>
    <w:rsid w:val="005E554F"/>
    <w:pPr>
      <w:spacing w:after="120"/>
      <w:ind w:left="1440"/>
    </w:pPr>
  </w:style>
  <w:style w:type="paragraph" w:styleId="ListContinue5">
    <w:name w:val="List Continue 5"/>
    <w:basedOn w:val="Normal"/>
    <w:rsid w:val="005E554F"/>
    <w:pPr>
      <w:spacing w:after="120"/>
      <w:ind w:left="1800"/>
    </w:pPr>
  </w:style>
  <w:style w:type="paragraph" w:styleId="ListNumber">
    <w:name w:val="List Number"/>
    <w:basedOn w:val="Normal"/>
    <w:rsid w:val="005E554F"/>
    <w:pPr>
      <w:numPr>
        <w:numId w:val="7"/>
      </w:numPr>
    </w:pPr>
  </w:style>
  <w:style w:type="paragraph" w:styleId="ListNumber2">
    <w:name w:val="List Number 2"/>
    <w:basedOn w:val="Normal"/>
    <w:rsid w:val="005E554F"/>
    <w:pPr>
      <w:numPr>
        <w:numId w:val="8"/>
      </w:numPr>
    </w:pPr>
  </w:style>
  <w:style w:type="paragraph" w:styleId="ListNumber3">
    <w:name w:val="List Number 3"/>
    <w:basedOn w:val="Normal"/>
    <w:rsid w:val="005E554F"/>
    <w:pPr>
      <w:numPr>
        <w:numId w:val="9"/>
      </w:numPr>
    </w:pPr>
  </w:style>
  <w:style w:type="paragraph" w:styleId="ListNumber4">
    <w:name w:val="List Number 4"/>
    <w:basedOn w:val="Normal"/>
    <w:rsid w:val="005E554F"/>
    <w:pPr>
      <w:numPr>
        <w:numId w:val="10"/>
      </w:numPr>
    </w:pPr>
  </w:style>
  <w:style w:type="paragraph" w:styleId="ListNumber5">
    <w:name w:val="List Number 5"/>
    <w:basedOn w:val="Normal"/>
    <w:rsid w:val="005E554F"/>
    <w:pPr>
      <w:numPr>
        <w:numId w:val="11"/>
      </w:numPr>
    </w:pPr>
  </w:style>
  <w:style w:type="paragraph" w:styleId="MacroText">
    <w:name w:val="macro"/>
    <w:link w:val="MacroTextChar"/>
    <w:rsid w:val="005E554F"/>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character" w:customStyle="1" w:styleId="MacroTextChar">
    <w:name w:val="Macro Text Char"/>
    <w:link w:val="MacroText"/>
    <w:rsid w:val="005E554F"/>
    <w:rPr>
      <w:rFonts w:ascii="Courier New" w:hAnsi="Courier New" w:cs="Courier New"/>
      <w:lang w:val="en-US" w:eastAsia="en-US" w:bidi="ar-SA"/>
    </w:rPr>
  </w:style>
  <w:style w:type="paragraph" w:styleId="MessageHeader">
    <w:name w:val="Message Header"/>
    <w:basedOn w:val="Normal"/>
    <w:link w:val="MessageHeaderChar"/>
    <w:rsid w:val="005E554F"/>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szCs w:val="24"/>
      <w:lang w:val="x-none" w:eastAsia="x-none"/>
    </w:rPr>
  </w:style>
  <w:style w:type="character" w:customStyle="1" w:styleId="MessageHeaderChar">
    <w:name w:val="Message Header Char"/>
    <w:link w:val="MessageHeader"/>
    <w:rsid w:val="005E554F"/>
    <w:rPr>
      <w:rFonts w:ascii="Arial" w:hAnsi="Arial" w:cs="Arial"/>
      <w:sz w:val="24"/>
      <w:szCs w:val="24"/>
      <w:shd w:val="pct20" w:color="auto" w:fill="auto"/>
    </w:rPr>
  </w:style>
  <w:style w:type="paragraph" w:styleId="NormalIndent">
    <w:name w:val="Normal Indent"/>
    <w:basedOn w:val="Normal"/>
    <w:rsid w:val="005E554F"/>
    <w:pPr>
      <w:ind w:left="720"/>
    </w:pPr>
  </w:style>
  <w:style w:type="paragraph" w:styleId="NoteHeading">
    <w:name w:val="Note Heading"/>
    <w:basedOn w:val="Normal"/>
    <w:next w:val="Normal"/>
    <w:link w:val="NoteHeadingChar"/>
    <w:rsid w:val="005E554F"/>
    <w:rPr>
      <w:lang w:val="x-none" w:eastAsia="x-none"/>
    </w:rPr>
  </w:style>
  <w:style w:type="character" w:customStyle="1" w:styleId="NoteHeadingChar">
    <w:name w:val="Note Heading Char"/>
    <w:link w:val="NoteHeading"/>
    <w:rsid w:val="005E554F"/>
    <w:rPr>
      <w:sz w:val="24"/>
    </w:rPr>
  </w:style>
  <w:style w:type="paragraph" w:styleId="PlainText">
    <w:name w:val="Plain Text"/>
    <w:basedOn w:val="Normal"/>
    <w:link w:val="PlainTextChar"/>
    <w:rsid w:val="005E554F"/>
    <w:rPr>
      <w:rFonts w:ascii="Courier New" w:hAnsi="Courier New"/>
      <w:sz w:val="20"/>
      <w:lang w:val="x-none" w:eastAsia="x-none"/>
    </w:rPr>
  </w:style>
  <w:style w:type="character" w:customStyle="1" w:styleId="PlainTextChar">
    <w:name w:val="Plain Text Char"/>
    <w:link w:val="PlainText"/>
    <w:rsid w:val="005E554F"/>
    <w:rPr>
      <w:rFonts w:ascii="Courier New" w:hAnsi="Courier New" w:cs="Courier New"/>
    </w:rPr>
  </w:style>
  <w:style w:type="paragraph" w:styleId="Salutation">
    <w:name w:val="Salutation"/>
    <w:basedOn w:val="Normal"/>
    <w:next w:val="Normal"/>
    <w:link w:val="SalutationChar"/>
    <w:rsid w:val="005E554F"/>
    <w:rPr>
      <w:lang w:val="x-none" w:eastAsia="x-none"/>
    </w:rPr>
  </w:style>
  <w:style w:type="character" w:customStyle="1" w:styleId="SalutationChar">
    <w:name w:val="Salutation Char"/>
    <w:link w:val="Salutation"/>
    <w:rsid w:val="005E554F"/>
    <w:rPr>
      <w:sz w:val="24"/>
    </w:rPr>
  </w:style>
  <w:style w:type="paragraph" w:styleId="Signature">
    <w:name w:val="Signature"/>
    <w:basedOn w:val="Normal"/>
    <w:link w:val="SignatureChar"/>
    <w:rsid w:val="005E554F"/>
    <w:pPr>
      <w:ind w:left="4320"/>
    </w:pPr>
    <w:rPr>
      <w:lang w:val="x-none" w:eastAsia="x-none"/>
    </w:rPr>
  </w:style>
  <w:style w:type="character" w:customStyle="1" w:styleId="SignatureChar">
    <w:name w:val="Signature Char"/>
    <w:link w:val="Signature"/>
    <w:rsid w:val="005E554F"/>
    <w:rPr>
      <w:sz w:val="24"/>
    </w:rPr>
  </w:style>
  <w:style w:type="paragraph" w:styleId="Subtitle">
    <w:name w:val="Subtitle"/>
    <w:basedOn w:val="Normal"/>
    <w:link w:val="SubtitleChar"/>
    <w:qFormat/>
    <w:rsid w:val="005E554F"/>
    <w:pPr>
      <w:spacing w:after="60"/>
      <w:jc w:val="center"/>
      <w:outlineLvl w:val="1"/>
    </w:pPr>
    <w:rPr>
      <w:rFonts w:ascii="Arial" w:hAnsi="Arial"/>
      <w:szCs w:val="24"/>
      <w:lang w:val="x-none" w:eastAsia="x-none"/>
    </w:rPr>
  </w:style>
  <w:style w:type="character" w:customStyle="1" w:styleId="SubtitleChar">
    <w:name w:val="Subtitle Char"/>
    <w:link w:val="Subtitle"/>
    <w:rsid w:val="005E554F"/>
    <w:rPr>
      <w:rFonts w:ascii="Arial" w:hAnsi="Arial" w:cs="Arial"/>
      <w:sz w:val="24"/>
      <w:szCs w:val="24"/>
    </w:rPr>
  </w:style>
  <w:style w:type="paragraph" w:styleId="TableofAuthorities">
    <w:name w:val="table of authorities"/>
    <w:basedOn w:val="Normal"/>
    <w:next w:val="Normal"/>
    <w:rsid w:val="005E554F"/>
    <w:pPr>
      <w:ind w:left="240" w:hanging="240"/>
    </w:pPr>
  </w:style>
  <w:style w:type="paragraph" w:styleId="TableofFigures">
    <w:name w:val="table of figures"/>
    <w:basedOn w:val="Normal"/>
    <w:next w:val="Normal"/>
    <w:rsid w:val="005E554F"/>
  </w:style>
  <w:style w:type="paragraph" w:styleId="Title">
    <w:name w:val="Title"/>
    <w:basedOn w:val="Normal"/>
    <w:link w:val="TitleChar"/>
    <w:qFormat/>
    <w:rsid w:val="005E554F"/>
    <w:pPr>
      <w:spacing w:before="240" w:after="60"/>
      <w:jc w:val="center"/>
      <w:outlineLvl w:val="0"/>
    </w:pPr>
    <w:rPr>
      <w:rFonts w:ascii="Arial" w:hAnsi="Arial"/>
      <w:b/>
      <w:bCs/>
      <w:kern w:val="28"/>
      <w:sz w:val="32"/>
      <w:szCs w:val="32"/>
      <w:lang w:val="x-none" w:eastAsia="x-none"/>
    </w:rPr>
  </w:style>
  <w:style w:type="character" w:customStyle="1" w:styleId="TitleChar">
    <w:name w:val="Title Char"/>
    <w:link w:val="Title"/>
    <w:rsid w:val="005E554F"/>
    <w:rPr>
      <w:rFonts w:ascii="Arial" w:hAnsi="Arial" w:cs="Arial"/>
      <w:b/>
      <w:bCs/>
      <w:kern w:val="28"/>
      <w:sz w:val="32"/>
      <w:szCs w:val="32"/>
    </w:rPr>
  </w:style>
  <w:style w:type="paragraph" w:styleId="TOAHeading">
    <w:name w:val="toa heading"/>
    <w:basedOn w:val="Normal"/>
    <w:next w:val="Normal"/>
    <w:rsid w:val="005E554F"/>
    <w:pPr>
      <w:spacing w:before="120"/>
    </w:pPr>
    <w:rPr>
      <w:rFonts w:ascii="Arial" w:hAnsi="Arial" w:cs="Arial"/>
      <w:b/>
      <w:bCs/>
      <w:szCs w:val="24"/>
    </w:rPr>
  </w:style>
  <w:style w:type="paragraph" w:customStyle="1" w:styleId="TXUFooterPage">
    <w:name w:val="TXUFooterPage"/>
    <w:basedOn w:val="Normal"/>
    <w:next w:val="Normal"/>
    <w:rsid w:val="005E554F"/>
    <w:pPr>
      <w:pBdr>
        <w:top w:val="single" w:sz="4" w:space="1" w:color="auto"/>
      </w:pBdr>
      <w:tabs>
        <w:tab w:val="center" w:pos="4536"/>
        <w:tab w:val="right" w:pos="9360"/>
      </w:tabs>
    </w:pPr>
    <w:rPr>
      <w:sz w:val="20"/>
    </w:rPr>
  </w:style>
  <w:style w:type="paragraph" w:customStyle="1" w:styleId="Char11">
    <w:name w:val="Char11"/>
    <w:basedOn w:val="Normal"/>
    <w:rsid w:val="005E554F"/>
    <w:pPr>
      <w:spacing w:after="160" w:line="240" w:lineRule="exact"/>
    </w:pPr>
    <w:rPr>
      <w:rFonts w:ascii="Verdana" w:hAnsi="Verdana"/>
      <w:sz w:val="16"/>
    </w:rPr>
  </w:style>
  <w:style w:type="paragraph" w:customStyle="1" w:styleId="Char4">
    <w:name w:val="Char4"/>
    <w:basedOn w:val="Normal"/>
    <w:rsid w:val="005E554F"/>
    <w:pPr>
      <w:spacing w:after="160" w:line="240" w:lineRule="exact"/>
    </w:pPr>
    <w:rPr>
      <w:rFonts w:ascii="Verdana" w:hAnsi="Verdana"/>
      <w:sz w:val="16"/>
    </w:rPr>
  </w:style>
  <w:style w:type="paragraph" w:customStyle="1" w:styleId="TXUFooter">
    <w:name w:val="TXUFooter"/>
    <w:basedOn w:val="Normal"/>
    <w:rsid w:val="005E554F"/>
    <w:pPr>
      <w:pBdr>
        <w:top w:val="single" w:sz="4" w:space="1" w:color="auto"/>
      </w:pBdr>
      <w:tabs>
        <w:tab w:val="center" w:pos="4536"/>
        <w:tab w:val="right" w:pos="9360"/>
      </w:tabs>
    </w:pPr>
    <w:rPr>
      <w:sz w:val="16"/>
    </w:rPr>
  </w:style>
  <w:style w:type="character" w:customStyle="1" w:styleId="Heading6Char">
    <w:name w:val="Heading 6 Char"/>
    <w:aliases w:val="h6 Char"/>
    <w:link w:val="Heading6"/>
    <w:locked/>
    <w:rsid w:val="005E554F"/>
    <w:rPr>
      <w:b/>
      <w:bCs/>
      <w:sz w:val="24"/>
      <w:szCs w:val="22"/>
      <w:lang w:val="x-none" w:eastAsia="x-none"/>
    </w:rPr>
  </w:style>
  <w:style w:type="paragraph" w:customStyle="1" w:styleId="TXUHeader">
    <w:name w:val="TXUHeader"/>
    <w:basedOn w:val="Normal"/>
    <w:rsid w:val="00975D78"/>
    <w:pPr>
      <w:tabs>
        <w:tab w:val="right" w:pos="9360"/>
      </w:tabs>
    </w:pPr>
    <w:rPr>
      <w:noProof/>
      <w:sz w:val="16"/>
    </w:rPr>
  </w:style>
  <w:style w:type="character" w:customStyle="1" w:styleId="Heading5Char">
    <w:name w:val="Heading 5 Char"/>
    <w:aliases w:val="h5 Char"/>
    <w:link w:val="Heading5"/>
    <w:rsid w:val="00E51290"/>
    <w:rPr>
      <w:b/>
      <w:bCs/>
      <w:i/>
      <w:iCs/>
      <w:sz w:val="24"/>
      <w:szCs w:val="26"/>
    </w:rPr>
  </w:style>
  <w:style w:type="paragraph" w:customStyle="1" w:styleId="TXUNormal">
    <w:name w:val="TXUNormal"/>
    <w:rsid w:val="00424F6A"/>
    <w:pPr>
      <w:spacing w:after="120"/>
    </w:pPr>
  </w:style>
  <w:style w:type="paragraph" w:customStyle="1" w:styleId="TXUSubject">
    <w:name w:val="TXUSubject"/>
    <w:basedOn w:val="TXUNormal"/>
    <w:next w:val="TXUNormal"/>
    <w:rsid w:val="00424F6A"/>
    <w:pPr>
      <w:spacing w:after="240"/>
    </w:pPr>
    <w:rPr>
      <w:b/>
    </w:rPr>
  </w:style>
  <w:style w:type="paragraph" w:customStyle="1" w:styleId="Comments">
    <w:name w:val="Comments"/>
    <w:basedOn w:val="Normal"/>
    <w:rsid w:val="00424F6A"/>
    <w:pPr>
      <w:pBdr>
        <w:top w:val="single" w:sz="4" w:space="1" w:color="auto"/>
        <w:left w:val="single" w:sz="4" w:space="4" w:color="auto"/>
        <w:bottom w:val="single" w:sz="4" w:space="1" w:color="auto"/>
        <w:right w:val="single" w:sz="4" w:space="4" w:color="auto"/>
      </w:pBdr>
      <w:shd w:val="clear" w:color="auto" w:fill="CCCCCC"/>
      <w:spacing w:before="120" w:after="120"/>
      <w:ind w:left="720" w:right="720"/>
    </w:pPr>
  </w:style>
  <w:style w:type="character" w:customStyle="1" w:styleId="CharChar3">
    <w:name w:val="Char Char3"/>
    <w:rsid w:val="00424F6A"/>
    <w:rPr>
      <w:sz w:val="24"/>
      <w:lang w:val="en-US" w:eastAsia="en-US" w:bidi="ar-SA"/>
    </w:rPr>
  </w:style>
  <w:style w:type="paragraph" w:customStyle="1" w:styleId="PJMNormal">
    <w:name w:val="PJM_Normal"/>
    <w:basedOn w:val="Default"/>
    <w:next w:val="Default"/>
    <w:rsid w:val="00424F6A"/>
    <w:pPr>
      <w:spacing w:before="120" w:after="120"/>
    </w:pPr>
    <w:rPr>
      <w:rFonts w:cs="Times New Roman"/>
      <w:color w:val="auto"/>
    </w:rPr>
  </w:style>
  <w:style w:type="paragraph" w:customStyle="1" w:styleId="PJMListOutline1">
    <w:name w:val="PJM_List_Outline_1"/>
    <w:basedOn w:val="Default"/>
    <w:next w:val="Default"/>
    <w:rsid w:val="00424F6A"/>
    <w:pPr>
      <w:spacing w:before="120" w:after="120"/>
    </w:pPr>
    <w:rPr>
      <w:rFonts w:cs="Times New Roman"/>
      <w:color w:val="auto"/>
    </w:rPr>
  </w:style>
  <w:style w:type="paragraph" w:customStyle="1" w:styleId="tablecontents">
    <w:name w:val="table contents"/>
    <w:basedOn w:val="Normal"/>
    <w:rsid w:val="00424F6A"/>
    <w:rPr>
      <w:sz w:val="20"/>
    </w:rPr>
  </w:style>
  <w:style w:type="character" w:customStyle="1" w:styleId="CharChar2">
    <w:name w:val="Char Char2"/>
    <w:rsid w:val="00424F6A"/>
    <w:rPr>
      <w:iCs/>
      <w:sz w:val="24"/>
      <w:lang w:val="en-US" w:eastAsia="en-US" w:bidi="ar-SA"/>
    </w:rPr>
  </w:style>
  <w:style w:type="character" w:customStyle="1" w:styleId="CharCharCharChar1">
    <w:name w:val="Char Char Char Char1"/>
    <w:rsid w:val="00424F6A"/>
    <w:rPr>
      <w:iCs/>
      <w:sz w:val="24"/>
      <w:lang w:val="en-US" w:eastAsia="en-US" w:bidi="ar-SA"/>
    </w:rPr>
  </w:style>
  <w:style w:type="character" w:customStyle="1" w:styleId="DocumentMapChar">
    <w:name w:val="Document Map Char"/>
    <w:link w:val="DocumentMap"/>
    <w:rsid w:val="00424F6A"/>
    <w:rPr>
      <w:rFonts w:ascii="Tahoma" w:hAnsi="Tahoma" w:cs="Tahoma"/>
      <w:shd w:val="clear" w:color="auto" w:fill="000080"/>
    </w:rPr>
  </w:style>
  <w:style w:type="paragraph" w:customStyle="1" w:styleId="equals">
    <w:name w:val="equals"/>
    <w:basedOn w:val="BodyText"/>
    <w:rsid w:val="00424F6A"/>
    <w:pPr>
      <w:ind w:left="3168" w:hanging="2880"/>
    </w:pPr>
  </w:style>
  <w:style w:type="paragraph" w:customStyle="1" w:styleId="VariableDefinitionwide">
    <w:name w:val="Variable Definition wide"/>
    <w:basedOn w:val="BodyTextIndent"/>
    <w:rsid w:val="00424F6A"/>
    <w:pPr>
      <w:tabs>
        <w:tab w:val="left" w:pos="2160"/>
      </w:tabs>
      <w:ind w:left="4320" w:hanging="3600"/>
      <w:contextualSpacing/>
    </w:pPr>
    <w:rPr>
      <w:szCs w:val="24"/>
      <w:lang w:val="en-US" w:eastAsia="en-US"/>
    </w:rPr>
  </w:style>
  <w:style w:type="character" w:customStyle="1" w:styleId="BodyText2Char">
    <w:name w:val="Body Text 2 Char"/>
    <w:link w:val="BodyText2"/>
    <w:rsid w:val="00424F6A"/>
    <w:rPr>
      <w:sz w:val="24"/>
    </w:rPr>
  </w:style>
  <w:style w:type="character" w:customStyle="1" w:styleId="CharChar5">
    <w:name w:val="Char Char5"/>
    <w:rsid w:val="00424F6A"/>
    <w:rPr>
      <w:iCs/>
      <w:sz w:val="24"/>
      <w:lang w:val="en-US" w:eastAsia="en-US" w:bidi="ar-SA"/>
    </w:rPr>
  </w:style>
  <w:style w:type="character" w:customStyle="1" w:styleId="CharCharCharCharChar">
    <w:name w:val="Char Char Char Char Char"/>
    <w:aliases w:val=" Char Char Char Char Char1"/>
    <w:rsid w:val="00424F6A"/>
    <w:rPr>
      <w:iCs/>
      <w:sz w:val="24"/>
      <w:lang w:val="en-US" w:eastAsia="en-US" w:bidi="ar-SA"/>
    </w:rPr>
  </w:style>
  <w:style w:type="character" w:customStyle="1" w:styleId="CharChar4">
    <w:name w:val="Char Char4"/>
    <w:rsid w:val="00424F6A"/>
    <w:rPr>
      <w:sz w:val="24"/>
      <w:lang w:val="en-US" w:eastAsia="en-US" w:bidi="ar-SA"/>
    </w:rPr>
  </w:style>
  <w:style w:type="character" w:customStyle="1" w:styleId="CharCharChar2">
    <w:name w:val="Char Char Char2"/>
    <w:rsid w:val="00424F6A"/>
    <w:rPr>
      <w:iCs/>
      <w:sz w:val="24"/>
      <w:lang w:val="en-US" w:eastAsia="en-US" w:bidi="ar-SA"/>
    </w:rPr>
  </w:style>
  <w:style w:type="character" w:customStyle="1" w:styleId="Char2CharCharChar">
    <w:name w:val="Char2 Char Char Char"/>
    <w:aliases w:val=" Char2 Char Char2"/>
    <w:rsid w:val="00424F6A"/>
    <w:rPr>
      <w:sz w:val="24"/>
      <w:lang w:val="en-US" w:eastAsia="en-US" w:bidi="ar-SA"/>
    </w:rPr>
  </w:style>
  <w:style w:type="character" w:customStyle="1" w:styleId="ListIntroductionCharChar">
    <w:name w:val="List Introduction Char Char"/>
    <w:rsid w:val="00424F6A"/>
    <w:rPr>
      <w:iCs/>
      <w:sz w:val="24"/>
      <w:lang w:val="en-US" w:eastAsia="en-US" w:bidi="ar-SA"/>
    </w:rPr>
  </w:style>
  <w:style w:type="paragraph" w:customStyle="1" w:styleId="VariableDefinition1">
    <w:name w:val="Variable Definition+1"/>
    <w:basedOn w:val="Default"/>
    <w:next w:val="Default"/>
    <w:rsid w:val="00424F6A"/>
    <w:pPr>
      <w:spacing w:after="240"/>
    </w:pPr>
    <w:rPr>
      <w:rFonts w:ascii="Times New Roman" w:hAnsi="Times New Roman" w:cs="Times New Roman"/>
      <w:color w:val="auto"/>
    </w:rPr>
  </w:style>
  <w:style w:type="character" w:customStyle="1" w:styleId="Char1CharChar1">
    <w:name w:val="Char1 Char Char1"/>
    <w:rsid w:val="00424F6A"/>
    <w:rPr>
      <w:sz w:val="24"/>
      <w:lang w:val="en-US" w:eastAsia="en-US" w:bidi="ar-SA"/>
    </w:rPr>
  </w:style>
  <w:style w:type="character" w:customStyle="1" w:styleId="BodyTextCharChar1">
    <w:name w:val="Body Text Char Char1"/>
    <w:rsid w:val="00424F6A"/>
    <w:rPr>
      <w:iCs/>
      <w:sz w:val="24"/>
      <w:lang w:val="en-US" w:eastAsia="en-US" w:bidi="ar-SA"/>
    </w:rPr>
  </w:style>
  <w:style w:type="paragraph" w:customStyle="1" w:styleId="ListSub2">
    <w:name w:val="List Sub+2"/>
    <w:basedOn w:val="Default"/>
    <w:next w:val="Default"/>
    <w:rsid w:val="00424F6A"/>
    <w:pPr>
      <w:spacing w:after="240"/>
    </w:pPr>
    <w:rPr>
      <w:rFonts w:ascii="Times New Roman" w:hAnsi="Times New Roman" w:cs="Times New Roman"/>
      <w:color w:val="auto"/>
    </w:rPr>
  </w:style>
  <w:style w:type="character" w:customStyle="1" w:styleId="BodyText1Char">
    <w:name w:val="Body Text1 Char"/>
    <w:aliases w:val=" Char11 Char, Char Char Char Char Char Char Char Char Char Char Char Char Char Char Char Char Char Char Char Char Char Char Char Char"/>
    <w:rsid w:val="00424F6A"/>
    <w:rPr>
      <w:iCs/>
      <w:sz w:val="24"/>
      <w:lang w:val="en-US" w:eastAsia="en-US" w:bidi="ar-SA"/>
    </w:rPr>
  </w:style>
  <w:style w:type="character" w:customStyle="1" w:styleId="Char1Char1">
    <w:name w:val="Char1 Char1"/>
    <w:rsid w:val="00424F6A"/>
    <w:rPr>
      <w:sz w:val="24"/>
      <w:lang w:val="en-US" w:eastAsia="en-US" w:bidi="ar-SA"/>
    </w:rPr>
  </w:style>
  <w:style w:type="paragraph" w:customStyle="1" w:styleId="H">
    <w:name w:val="H%"/>
    <w:basedOn w:val="H4"/>
    <w:rsid w:val="00424F6A"/>
    <w:rPr>
      <w:szCs w:val="24"/>
    </w:rPr>
  </w:style>
  <w:style w:type="character" w:styleId="FootnoteReference">
    <w:name w:val="footnote reference"/>
    <w:rsid w:val="00424F6A"/>
    <w:rPr>
      <w:vertAlign w:val="superscript"/>
    </w:rPr>
  </w:style>
  <w:style w:type="paragraph" w:customStyle="1" w:styleId="Style1">
    <w:name w:val="Style1"/>
    <w:basedOn w:val="H5"/>
    <w:rsid w:val="00424F6A"/>
  </w:style>
  <w:style w:type="paragraph" w:customStyle="1" w:styleId="Style2">
    <w:name w:val="Style2"/>
    <w:basedOn w:val="H5"/>
    <w:autoRedefine/>
    <w:rsid w:val="00424F6A"/>
    <w:rPr>
      <w:i w:val="0"/>
    </w:rPr>
  </w:style>
  <w:style w:type="character" w:customStyle="1" w:styleId="msoins0">
    <w:name w:val="msoins"/>
    <w:rsid w:val="00424F6A"/>
    <w:rPr>
      <w:u w:val="single"/>
    </w:rPr>
  </w:style>
  <w:style w:type="paragraph" w:customStyle="1" w:styleId="listintroduction0">
    <w:name w:val="listintroduction"/>
    <w:basedOn w:val="Normal"/>
    <w:rsid w:val="00424F6A"/>
    <w:pPr>
      <w:keepNext/>
      <w:spacing w:after="240"/>
    </w:pPr>
    <w:rPr>
      <w:szCs w:val="24"/>
    </w:rPr>
  </w:style>
  <w:style w:type="paragraph" w:customStyle="1" w:styleId="bodytextnumbered0">
    <w:name w:val="bodytextnumbered"/>
    <w:basedOn w:val="Normal"/>
    <w:rsid w:val="00424F6A"/>
    <w:pPr>
      <w:spacing w:after="240"/>
      <w:ind w:left="720" w:hanging="720"/>
    </w:pPr>
    <w:rPr>
      <w:szCs w:val="24"/>
    </w:rPr>
  </w:style>
  <w:style w:type="paragraph" w:customStyle="1" w:styleId="InstructionsCharCharCharCharCharChar">
    <w:name w:val="Instructions Char Char Char Char Char Char"/>
    <w:basedOn w:val="Normal"/>
    <w:link w:val="InstructionsCharCharCharCharCharCharChar"/>
    <w:rsid w:val="00424F6A"/>
    <w:pPr>
      <w:spacing w:after="240"/>
      <w:ind w:left="720" w:hanging="720"/>
    </w:pPr>
    <w:rPr>
      <w:b/>
      <w:i/>
      <w:iCs/>
      <w:szCs w:val="24"/>
    </w:rPr>
  </w:style>
  <w:style w:type="character" w:customStyle="1" w:styleId="InstructionsCharCharCharCharCharCharChar">
    <w:name w:val="Instructions Char Char Char Char Char Char Char"/>
    <w:link w:val="InstructionsCharCharCharCharCharChar"/>
    <w:rsid w:val="00424F6A"/>
    <w:rPr>
      <w:b/>
      <w:i/>
      <w:iCs/>
      <w:sz w:val="24"/>
      <w:szCs w:val="24"/>
    </w:rPr>
  </w:style>
  <w:style w:type="paragraph" w:customStyle="1" w:styleId="RegularText">
    <w:name w:val="Regular Text"/>
    <w:basedOn w:val="Normal"/>
    <w:rsid w:val="00424F6A"/>
    <w:pPr>
      <w:spacing w:before="120" w:after="120"/>
      <w:ind w:left="432"/>
      <w:jc w:val="both"/>
    </w:pPr>
  </w:style>
  <w:style w:type="character" w:customStyle="1" w:styleId="TextChar">
    <w:name w:val="Text Char"/>
    <w:rsid w:val="00424F6A"/>
    <w:rPr>
      <w:iCs/>
      <w:sz w:val="24"/>
      <w:lang w:val="en-US" w:eastAsia="en-US" w:bidi="ar-SA"/>
    </w:rPr>
  </w:style>
  <w:style w:type="paragraph" w:customStyle="1" w:styleId="Char31">
    <w:name w:val="Char31"/>
    <w:basedOn w:val="Normal"/>
    <w:rsid w:val="00424F6A"/>
    <w:pPr>
      <w:spacing w:after="160" w:line="240" w:lineRule="exact"/>
    </w:pPr>
    <w:rPr>
      <w:rFonts w:ascii="Verdana" w:hAnsi="Verdana"/>
      <w:sz w:val="16"/>
    </w:rPr>
  </w:style>
  <w:style w:type="character" w:styleId="Strong">
    <w:name w:val="Strong"/>
    <w:qFormat/>
    <w:rsid w:val="00424F6A"/>
    <w:rPr>
      <w:b/>
      <w:bCs/>
    </w:rPr>
  </w:style>
  <w:style w:type="character" w:customStyle="1" w:styleId="Heading1Char">
    <w:name w:val="Heading 1 Char"/>
    <w:aliases w:val="h1 Char"/>
    <w:link w:val="Heading1"/>
    <w:locked/>
    <w:rsid w:val="00424F6A"/>
    <w:rPr>
      <w:b/>
      <w:caps/>
      <w:sz w:val="24"/>
    </w:rPr>
  </w:style>
  <w:style w:type="character" w:customStyle="1" w:styleId="FooterChar">
    <w:name w:val="Footer Char"/>
    <w:link w:val="Footer"/>
    <w:uiPriority w:val="99"/>
    <w:rsid w:val="00424F6A"/>
    <w:rPr>
      <w:smallCaps/>
    </w:rPr>
  </w:style>
  <w:style w:type="character" w:customStyle="1" w:styleId="CommentTextChar">
    <w:name w:val="Comment Text Char"/>
    <w:link w:val="CommentText"/>
    <w:locked/>
    <w:rsid w:val="00424F6A"/>
  </w:style>
  <w:style w:type="paragraph" w:styleId="ListParagraph">
    <w:name w:val="List Paragraph"/>
    <w:basedOn w:val="Normal"/>
    <w:uiPriority w:val="34"/>
    <w:qFormat/>
    <w:rsid w:val="00424F6A"/>
    <w:pPr>
      <w:ind w:left="720"/>
      <w:contextualSpacing/>
    </w:pPr>
    <w:rPr>
      <w:szCs w:val="24"/>
    </w:rPr>
  </w:style>
  <w:style w:type="character" w:styleId="PlaceholderText">
    <w:name w:val="Placeholder Text"/>
    <w:uiPriority w:val="99"/>
    <w:semiHidden/>
    <w:rsid w:val="00424F6A"/>
    <w:rPr>
      <w:color w:val="808080"/>
    </w:rPr>
  </w:style>
  <w:style w:type="character" w:customStyle="1" w:styleId="Heading2Char">
    <w:name w:val="Heading 2 Char"/>
    <w:aliases w:val="h2 Char"/>
    <w:link w:val="Heading2"/>
    <w:rsid w:val="00424F6A"/>
    <w:rPr>
      <w:b/>
      <w:sz w:val="24"/>
    </w:rPr>
  </w:style>
  <w:style w:type="character" w:customStyle="1" w:styleId="Heading7Char">
    <w:name w:val="Heading 7 Char"/>
    <w:link w:val="Heading7"/>
    <w:uiPriority w:val="99"/>
    <w:rsid w:val="00424F6A"/>
    <w:rPr>
      <w:sz w:val="24"/>
      <w:szCs w:val="24"/>
    </w:rPr>
  </w:style>
  <w:style w:type="character" w:customStyle="1" w:styleId="Heading8Char">
    <w:name w:val="Heading 8 Char"/>
    <w:link w:val="Heading8"/>
    <w:uiPriority w:val="99"/>
    <w:rsid w:val="00424F6A"/>
    <w:rPr>
      <w:i/>
      <w:iCs/>
      <w:sz w:val="24"/>
      <w:szCs w:val="24"/>
    </w:rPr>
  </w:style>
  <w:style w:type="character" w:customStyle="1" w:styleId="Heading9Char">
    <w:name w:val="Heading 9 Char"/>
    <w:link w:val="Heading9"/>
    <w:uiPriority w:val="99"/>
    <w:rsid w:val="00424F6A"/>
    <w:rPr>
      <w:b/>
      <w:sz w:val="24"/>
      <w:szCs w:val="24"/>
    </w:rPr>
  </w:style>
  <w:style w:type="character" w:customStyle="1" w:styleId="FootnoteTextChar">
    <w:name w:val="Footnote Text Char"/>
    <w:link w:val="FootnoteText"/>
    <w:uiPriority w:val="99"/>
    <w:semiHidden/>
    <w:rsid w:val="00424F6A"/>
    <w:rPr>
      <w:sz w:val="18"/>
    </w:rPr>
  </w:style>
  <w:style w:type="character" w:customStyle="1" w:styleId="BalloonTextChar">
    <w:name w:val="Balloon Text Char"/>
    <w:link w:val="BalloonText"/>
    <w:uiPriority w:val="99"/>
    <w:semiHidden/>
    <w:rsid w:val="00424F6A"/>
    <w:rPr>
      <w:rFonts w:ascii="Tahoma" w:hAnsi="Tahoma" w:cs="Tahoma"/>
      <w:sz w:val="16"/>
      <w:szCs w:val="16"/>
    </w:rPr>
  </w:style>
  <w:style w:type="character" w:customStyle="1" w:styleId="CommentSubjectChar">
    <w:name w:val="Comment Subject Char"/>
    <w:link w:val="CommentSubject"/>
    <w:uiPriority w:val="99"/>
    <w:semiHidden/>
    <w:rsid w:val="00424F6A"/>
    <w:rPr>
      <w:b/>
      <w:bCs/>
    </w:rPr>
  </w:style>
  <w:style w:type="character" w:styleId="UnresolvedMention">
    <w:name w:val="Unresolved Mention"/>
    <w:uiPriority w:val="99"/>
    <w:semiHidden/>
    <w:unhideWhenUsed/>
    <w:rsid w:val="00D24933"/>
    <w:rPr>
      <w:color w:val="605E5C"/>
      <w:shd w:val="clear" w:color="auto" w:fill="E1DFDD"/>
    </w:rPr>
  </w:style>
  <w:style w:type="paragraph" w:customStyle="1" w:styleId="msonormal0">
    <w:name w:val="msonormal"/>
    <w:basedOn w:val="Normal"/>
    <w:uiPriority w:val="99"/>
    <w:rsid w:val="00D24933"/>
    <w:pPr>
      <w:spacing w:before="100" w:beforeAutospacing="1" w:after="100" w:afterAutospacing="1"/>
    </w:pPr>
    <w:rPr>
      <w:szCs w:val="24"/>
    </w:rPr>
  </w:style>
  <w:style w:type="table" w:customStyle="1" w:styleId="FormulaVariableTable1">
    <w:name w:val="Formula Variable Table1"/>
    <w:basedOn w:val="TableNormal"/>
    <w:rsid w:val="00D24933"/>
    <w:tblPr>
      <w:tblInd w:w="0" w:type="nil"/>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StylePr w:type="firstRow">
      <w:rPr>
        <w:b/>
        <w:i w:val="0"/>
      </w:rPr>
    </w:tblStylePr>
    <w:tblStylePr w:type="firstCol">
      <w:rPr>
        <w:rFonts w:ascii="Times New Roman" w:hAnsi="Times New Roman" w:cs="Times New Roman" w:hint="default"/>
      </w:rPr>
      <w:tbl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tcPr>
    </w:tblStylePr>
  </w:style>
  <w:style w:type="numbering" w:customStyle="1" w:styleId="NoList1">
    <w:name w:val="No List1"/>
    <w:next w:val="NoList"/>
    <w:uiPriority w:val="99"/>
    <w:semiHidden/>
    <w:unhideWhenUsed/>
    <w:rsid w:val="0025427A"/>
  </w:style>
  <w:style w:type="table" w:customStyle="1" w:styleId="BoxedLanguage1">
    <w:name w:val="Boxed Language1"/>
    <w:basedOn w:val="TableNormal"/>
    <w:rsid w:val="0025427A"/>
    <w:rPr>
      <w:rFonts w:eastAsia="MS Mincho"/>
    </w:rPr>
    <w:tblPr>
      <w:tblBorders>
        <w:top w:val="single" w:sz="4" w:space="0" w:color="auto"/>
        <w:left w:val="single" w:sz="4" w:space="0" w:color="auto"/>
        <w:bottom w:val="single" w:sz="4" w:space="0" w:color="auto"/>
        <w:right w:val="single" w:sz="4" w:space="0" w:color="auto"/>
      </w:tblBorders>
      <w:tblCellMar>
        <w:top w:w="144" w:type="dxa"/>
        <w:left w:w="115" w:type="dxa"/>
        <w:right w:w="115" w:type="dxa"/>
      </w:tblCellMar>
    </w:tblPr>
    <w:tcPr>
      <w:shd w:val="clear" w:color="auto" w:fill="E0E0E0"/>
    </w:tcPr>
  </w:style>
  <w:style w:type="table" w:customStyle="1" w:styleId="FormulaVariableTable2">
    <w:name w:val="Formula Variable Table2"/>
    <w:basedOn w:val="TableNormal"/>
    <w:rsid w:val="0025427A"/>
    <w:rPr>
      <w:rFonts w:eastAsia="MS Mincho"/>
    </w:rPr>
    <w:tblPr>
      <w:tblInd w:w="14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StylePr w:type="firstRow">
      <w:rPr>
        <w:b/>
        <w:i w:val="0"/>
      </w:rPr>
    </w:tblStylePr>
    <w:tblStylePr w:type="firstCol">
      <w:rPr>
        <w:rFonts w:ascii="Times New Roman" w:hAnsi="Times New Roman"/>
      </w:rPr>
      <w:tbl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tcPr>
    </w:tblStylePr>
  </w:style>
  <w:style w:type="table" w:customStyle="1" w:styleId="TableGrid1">
    <w:name w:val="Table Grid1"/>
    <w:basedOn w:val="TableNormal"/>
    <w:next w:val="TableGrid"/>
    <w:rsid w:val="0025427A"/>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VariableTable1">
    <w:name w:val="Variable Table1"/>
    <w:basedOn w:val="TableNormal"/>
    <w:rsid w:val="0025427A"/>
    <w:rPr>
      <w:rFonts w:eastAsia="MS Mincho"/>
    </w:rP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8975992">
      <w:bodyDiv w:val="1"/>
      <w:marLeft w:val="0"/>
      <w:marRight w:val="0"/>
      <w:marTop w:val="0"/>
      <w:marBottom w:val="0"/>
      <w:divBdr>
        <w:top w:val="none" w:sz="0" w:space="0" w:color="auto"/>
        <w:left w:val="none" w:sz="0" w:space="0" w:color="auto"/>
        <w:bottom w:val="none" w:sz="0" w:space="0" w:color="auto"/>
        <w:right w:val="none" w:sz="0" w:space="0" w:color="auto"/>
      </w:divBdr>
    </w:div>
    <w:div w:id="636960974">
      <w:bodyDiv w:val="1"/>
      <w:marLeft w:val="0"/>
      <w:marRight w:val="0"/>
      <w:marTop w:val="0"/>
      <w:marBottom w:val="0"/>
      <w:divBdr>
        <w:top w:val="none" w:sz="0" w:space="0" w:color="auto"/>
        <w:left w:val="none" w:sz="0" w:space="0" w:color="auto"/>
        <w:bottom w:val="none" w:sz="0" w:space="0" w:color="auto"/>
        <w:right w:val="none" w:sz="0" w:space="0" w:color="auto"/>
      </w:divBdr>
    </w:div>
    <w:div w:id="664673393">
      <w:bodyDiv w:val="1"/>
      <w:marLeft w:val="0"/>
      <w:marRight w:val="0"/>
      <w:marTop w:val="0"/>
      <w:marBottom w:val="0"/>
      <w:divBdr>
        <w:top w:val="none" w:sz="0" w:space="0" w:color="auto"/>
        <w:left w:val="none" w:sz="0" w:space="0" w:color="auto"/>
        <w:bottom w:val="none" w:sz="0" w:space="0" w:color="auto"/>
        <w:right w:val="none" w:sz="0" w:space="0" w:color="auto"/>
      </w:divBdr>
    </w:div>
    <w:div w:id="864828143">
      <w:bodyDiv w:val="1"/>
      <w:marLeft w:val="0"/>
      <w:marRight w:val="0"/>
      <w:marTop w:val="0"/>
      <w:marBottom w:val="0"/>
      <w:divBdr>
        <w:top w:val="none" w:sz="0" w:space="0" w:color="auto"/>
        <w:left w:val="none" w:sz="0" w:space="0" w:color="auto"/>
        <w:bottom w:val="none" w:sz="0" w:space="0" w:color="auto"/>
        <w:right w:val="none" w:sz="0" w:space="0" w:color="auto"/>
      </w:divBdr>
    </w:div>
    <w:div w:id="980690072">
      <w:bodyDiv w:val="1"/>
      <w:marLeft w:val="0"/>
      <w:marRight w:val="0"/>
      <w:marTop w:val="0"/>
      <w:marBottom w:val="0"/>
      <w:divBdr>
        <w:top w:val="none" w:sz="0" w:space="0" w:color="auto"/>
        <w:left w:val="none" w:sz="0" w:space="0" w:color="auto"/>
        <w:bottom w:val="none" w:sz="0" w:space="0" w:color="auto"/>
        <w:right w:val="none" w:sz="0" w:space="0" w:color="auto"/>
      </w:divBdr>
    </w:div>
    <w:div w:id="987514768">
      <w:bodyDiv w:val="1"/>
      <w:marLeft w:val="0"/>
      <w:marRight w:val="0"/>
      <w:marTop w:val="0"/>
      <w:marBottom w:val="0"/>
      <w:divBdr>
        <w:top w:val="none" w:sz="0" w:space="0" w:color="auto"/>
        <w:left w:val="none" w:sz="0" w:space="0" w:color="auto"/>
        <w:bottom w:val="none" w:sz="0" w:space="0" w:color="auto"/>
        <w:right w:val="none" w:sz="0" w:space="0" w:color="auto"/>
      </w:divBdr>
    </w:div>
    <w:div w:id="1203639302">
      <w:bodyDiv w:val="1"/>
      <w:marLeft w:val="0"/>
      <w:marRight w:val="0"/>
      <w:marTop w:val="0"/>
      <w:marBottom w:val="0"/>
      <w:divBdr>
        <w:top w:val="none" w:sz="0" w:space="0" w:color="auto"/>
        <w:left w:val="none" w:sz="0" w:space="0" w:color="auto"/>
        <w:bottom w:val="none" w:sz="0" w:space="0" w:color="auto"/>
        <w:right w:val="none" w:sz="0" w:space="0" w:color="auto"/>
      </w:divBdr>
    </w:div>
    <w:div w:id="1338381841">
      <w:bodyDiv w:val="1"/>
      <w:marLeft w:val="0"/>
      <w:marRight w:val="0"/>
      <w:marTop w:val="0"/>
      <w:marBottom w:val="0"/>
      <w:divBdr>
        <w:top w:val="none" w:sz="0" w:space="0" w:color="auto"/>
        <w:left w:val="none" w:sz="0" w:space="0" w:color="auto"/>
        <w:bottom w:val="none" w:sz="0" w:space="0" w:color="auto"/>
        <w:right w:val="none" w:sz="0" w:space="0" w:color="auto"/>
      </w:divBdr>
    </w:div>
    <w:div w:id="1379475329">
      <w:bodyDiv w:val="1"/>
      <w:marLeft w:val="0"/>
      <w:marRight w:val="0"/>
      <w:marTop w:val="0"/>
      <w:marBottom w:val="0"/>
      <w:divBdr>
        <w:top w:val="none" w:sz="0" w:space="0" w:color="auto"/>
        <w:left w:val="none" w:sz="0" w:space="0" w:color="auto"/>
        <w:bottom w:val="none" w:sz="0" w:space="0" w:color="auto"/>
        <w:right w:val="none" w:sz="0" w:space="0" w:color="auto"/>
      </w:divBdr>
    </w:div>
    <w:div w:id="1650865610">
      <w:bodyDiv w:val="1"/>
      <w:marLeft w:val="0"/>
      <w:marRight w:val="0"/>
      <w:marTop w:val="0"/>
      <w:marBottom w:val="0"/>
      <w:divBdr>
        <w:top w:val="none" w:sz="0" w:space="0" w:color="auto"/>
        <w:left w:val="none" w:sz="0" w:space="0" w:color="auto"/>
        <w:bottom w:val="none" w:sz="0" w:space="0" w:color="auto"/>
        <w:right w:val="none" w:sz="0" w:space="0" w:color="auto"/>
      </w:divBdr>
    </w:div>
    <w:div w:id="1680086970">
      <w:bodyDiv w:val="1"/>
      <w:marLeft w:val="0"/>
      <w:marRight w:val="0"/>
      <w:marTop w:val="0"/>
      <w:marBottom w:val="0"/>
      <w:divBdr>
        <w:top w:val="none" w:sz="0" w:space="0" w:color="auto"/>
        <w:left w:val="none" w:sz="0" w:space="0" w:color="auto"/>
        <w:bottom w:val="none" w:sz="0" w:space="0" w:color="auto"/>
        <w:right w:val="none" w:sz="0" w:space="0" w:color="auto"/>
      </w:divBdr>
    </w:div>
    <w:div w:id="1809781796">
      <w:bodyDiv w:val="1"/>
      <w:marLeft w:val="0"/>
      <w:marRight w:val="0"/>
      <w:marTop w:val="0"/>
      <w:marBottom w:val="0"/>
      <w:divBdr>
        <w:top w:val="none" w:sz="0" w:space="0" w:color="auto"/>
        <w:left w:val="none" w:sz="0" w:space="0" w:color="auto"/>
        <w:bottom w:val="none" w:sz="0" w:space="0" w:color="auto"/>
        <w:right w:val="none" w:sz="0" w:space="0" w:color="auto"/>
      </w:divBdr>
    </w:div>
    <w:div w:id="1992176344">
      <w:bodyDiv w:val="1"/>
      <w:marLeft w:val="0"/>
      <w:marRight w:val="0"/>
      <w:marTop w:val="0"/>
      <w:marBottom w:val="0"/>
      <w:divBdr>
        <w:top w:val="none" w:sz="0" w:space="0" w:color="auto"/>
        <w:left w:val="none" w:sz="0" w:space="0" w:color="auto"/>
        <w:bottom w:val="none" w:sz="0" w:space="0" w:color="auto"/>
        <w:right w:val="none" w:sz="0" w:space="0" w:color="auto"/>
      </w:divBdr>
    </w:div>
    <w:div w:id="2062635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C:\!Template\Protoco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41C743-FB30-4103-AB2B-C03F65E8C9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Protocol.dot</Template>
  <TotalTime>2</TotalTime>
  <Pages>19</Pages>
  <Words>6575</Words>
  <Characters>39227</Characters>
  <Application>Microsoft Office Word</Application>
  <DocSecurity>0</DocSecurity>
  <Lines>326</Lines>
  <Paragraphs>91</Paragraphs>
  <ScaleCrop>false</ScaleCrop>
  <HeadingPairs>
    <vt:vector size="2" baseType="variant">
      <vt:variant>
        <vt:lpstr>Title</vt:lpstr>
      </vt:variant>
      <vt:variant>
        <vt:i4>1</vt:i4>
      </vt:variant>
    </vt:vector>
  </HeadingPairs>
  <TitlesOfParts>
    <vt:vector size="1" baseType="lpstr">
      <vt:lpstr>ERCOT Nodal Protocols</vt:lpstr>
    </vt:vector>
  </TitlesOfParts>
  <Company>TekLink Talent</Company>
  <LinksUpToDate>false</LinksUpToDate>
  <CharactersWithSpaces>45711</CharactersWithSpaces>
  <SharedDoc>false</SharedDoc>
  <HLinks>
    <vt:vector size="96" baseType="variant">
      <vt:variant>
        <vt:i4>1572921</vt:i4>
      </vt:variant>
      <vt:variant>
        <vt:i4>92</vt:i4>
      </vt:variant>
      <vt:variant>
        <vt:i4>0</vt:i4>
      </vt:variant>
      <vt:variant>
        <vt:i4>5</vt:i4>
      </vt:variant>
      <vt:variant>
        <vt:lpwstr/>
      </vt:variant>
      <vt:variant>
        <vt:lpwstr>_Toc89333411</vt:lpwstr>
      </vt:variant>
      <vt:variant>
        <vt:i4>1638457</vt:i4>
      </vt:variant>
      <vt:variant>
        <vt:i4>86</vt:i4>
      </vt:variant>
      <vt:variant>
        <vt:i4>0</vt:i4>
      </vt:variant>
      <vt:variant>
        <vt:i4>5</vt:i4>
      </vt:variant>
      <vt:variant>
        <vt:lpwstr/>
      </vt:variant>
      <vt:variant>
        <vt:lpwstr>_Toc89333410</vt:lpwstr>
      </vt:variant>
      <vt:variant>
        <vt:i4>1048632</vt:i4>
      </vt:variant>
      <vt:variant>
        <vt:i4>80</vt:i4>
      </vt:variant>
      <vt:variant>
        <vt:i4>0</vt:i4>
      </vt:variant>
      <vt:variant>
        <vt:i4>5</vt:i4>
      </vt:variant>
      <vt:variant>
        <vt:lpwstr/>
      </vt:variant>
      <vt:variant>
        <vt:lpwstr>_Toc89333409</vt:lpwstr>
      </vt:variant>
      <vt:variant>
        <vt:i4>1114168</vt:i4>
      </vt:variant>
      <vt:variant>
        <vt:i4>74</vt:i4>
      </vt:variant>
      <vt:variant>
        <vt:i4>0</vt:i4>
      </vt:variant>
      <vt:variant>
        <vt:i4>5</vt:i4>
      </vt:variant>
      <vt:variant>
        <vt:lpwstr/>
      </vt:variant>
      <vt:variant>
        <vt:lpwstr>_Toc89333408</vt:lpwstr>
      </vt:variant>
      <vt:variant>
        <vt:i4>1966136</vt:i4>
      </vt:variant>
      <vt:variant>
        <vt:i4>68</vt:i4>
      </vt:variant>
      <vt:variant>
        <vt:i4>0</vt:i4>
      </vt:variant>
      <vt:variant>
        <vt:i4>5</vt:i4>
      </vt:variant>
      <vt:variant>
        <vt:lpwstr/>
      </vt:variant>
      <vt:variant>
        <vt:lpwstr>_Toc89333407</vt:lpwstr>
      </vt:variant>
      <vt:variant>
        <vt:i4>2031672</vt:i4>
      </vt:variant>
      <vt:variant>
        <vt:i4>62</vt:i4>
      </vt:variant>
      <vt:variant>
        <vt:i4>0</vt:i4>
      </vt:variant>
      <vt:variant>
        <vt:i4>5</vt:i4>
      </vt:variant>
      <vt:variant>
        <vt:lpwstr/>
      </vt:variant>
      <vt:variant>
        <vt:lpwstr>_Toc89333406</vt:lpwstr>
      </vt:variant>
      <vt:variant>
        <vt:i4>1835064</vt:i4>
      </vt:variant>
      <vt:variant>
        <vt:i4>56</vt:i4>
      </vt:variant>
      <vt:variant>
        <vt:i4>0</vt:i4>
      </vt:variant>
      <vt:variant>
        <vt:i4>5</vt:i4>
      </vt:variant>
      <vt:variant>
        <vt:lpwstr/>
      </vt:variant>
      <vt:variant>
        <vt:lpwstr>_Toc89333405</vt:lpwstr>
      </vt:variant>
      <vt:variant>
        <vt:i4>1900600</vt:i4>
      </vt:variant>
      <vt:variant>
        <vt:i4>50</vt:i4>
      </vt:variant>
      <vt:variant>
        <vt:i4>0</vt:i4>
      </vt:variant>
      <vt:variant>
        <vt:i4>5</vt:i4>
      </vt:variant>
      <vt:variant>
        <vt:lpwstr/>
      </vt:variant>
      <vt:variant>
        <vt:lpwstr>_Toc89333404</vt:lpwstr>
      </vt:variant>
      <vt:variant>
        <vt:i4>1769528</vt:i4>
      </vt:variant>
      <vt:variant>
        <vt:i4>44</vt:i4>
      </vt:variant>
      <vt:variant>
        <vt:i4>0</vt:i4>
      </vt:variant>
      <vt:variant>
        <vt:i4>5</vt:i4>
      </vt:variant>
      <vt:variant>
        <vt:lpwstr/>
      </vt:variant>
      <vt:variant>
        <vt:lpwstr>_Toc89333402</vt:lpwstr>
      </vt:variant>
      <vt:variant>
        <vt:i4>1638449</vt:i4>
      </vt:variant>
      <vt:variant>
        <vt:i4>38</vt:i4>
      </vt:variant>
      <vt:variant>
        <vt:i4>0</vt:i4>
      </vt:variant>
      <vt:variant>
        <vt:i4>5</vt:i4>
      </vt:variant>
      <vt:variant>
        <vt:lpwstr/>
      </vt:variant>
      <vt:variant>
        <vt:lpwstr>_Toc89333397</vt:lpwstr>
      </vt:variant>
      <vt:variant>
        <vt:i4>1572913</vt:i4>
      </vt:variant>
      <vt:variant>
        <vt:i4>32</vt:i4>
      </vt:variant>
      <vt:variant>
        <vt:i4>0</vt:i4>
      </vt:variant>
      <vt:variant>
        <vt:i4>5</vt:i4>
      </vt:variant>
      <vt:variant>
        <vt:lpwstr/>
      </vt:variant>
      <vt:variant>
        <vt:lpwstr>_Toc89333396</vt:lpwstr>
      </vt:variant>
      <vt:variant>
        <vt:i4>1769521</vt:i4>
      </vt:variant>
      <vt:variant>
        <vt:i4>26</vt:i4>
      </vt:variant>
      <vt:variant>
        <vt:i4>0</vt:i4>
      </vt:variant>
      <vt:variant>
        <vt:i4>5</vt:i4>
      </vt:variant>
      <vt:variant>
        <vt:lpwstr/>
      </vt:variant>
      <vt:variant>
        <vt:lpwstr>_Toc89333395</vt:lpwstr>
      </vt:variant>
      <vt:variant>
        <vt:i4>1703985</vt:i4>
      </vt:variant>
      <vt:variant>
        <vt:i4>20</vt:i4>
      </vt:variant>
      <vt:variant>
        <vt:i4>0</vt:i4>
      </vt:variant>
      <vt:variant>
        <vt:i4>5</vt:i4>
      </vt:variant>
      <vt:variant>
        <vt:lpwstr/>
      </vt:variant>
      <vt:variant>
        <vt:lpwstr>_Toc89333394</vt:lpwstr>
      </vt:variant>
      <vt:variant>
        <vt:i4>1900593</vt:i4>
      </vt:variant>
      <vt:variant>
        <vt:i4>14</vt:i4>
      </vt:variant>
      <vt:variant>
        <vt:i4>0</vt:i4>
      </vt:variant>
      <vt:variant>
        <vt:i4>5</vt:i4>
      </vt:variant>
      <vt:variant>
        <vt:lpwstr/>
      </vt:variant>
      <vt:variant>
        <vt:lpwstr>_Toc89333393</vt:lpwstr>
      </vt:variant>
      <vt:variant>
        <vt:i4>1835057</vt:i4>
      </vt:variant>
      <vt:variant>
        <vt:i4>8</vt:i4>
      </vt:variant>
      <vt:variant>
        <vt:i4>0</vt:i4>
      </vt:variant>
      <vt:variant>
        <vt:i4>5</vt:i4>
      </vt:variant>
      <vt:variant>
        <vt:lpwstr/>
      </vt:variant>
      <vt:variant>
        <vt:lpwstr>_Toc89333392</vt:lpwstr>
      </vt:variant>
      <vt:variant>
        <vt:i4>2031665</vt:i4>
      </vt:variant>
      <vt:variant>
        <vt:i4>2</vt:i4>
      </vt:variant>
      <vt:variant>
        <vt:i4>0</vt:i4>
      </vt:variant>
      <vt:variant>
        <vt:i4>5</vt:i4>
      </vt:variant>
      <vt:variant>
        <vt:lpwstr/>
      </vt:variant>
      <vt:variant>
        <vt:lpwstr>_Toc89333391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ERCOT Nodal Protocols</dc:title>
  <dc:subject>ERCOT Nodal Protocols</dc:subject>
  <dc:creator>Round 1 Homework</dc:creator>
  <cp:keywords/>
  <cp:lastModifiedBy>ERCOT 0726</cp:lastModifiedBy>
  <cp:revision>2</cp:revision>
  <cp:lastPrinted>2019-02-26T20:05:00Z</cp:lastPrinted>
  <dcterms:created xsi:type="dcterms:W3CDTF">2023-07-28T14:13:00Z</dcterms:created>
  <dcterms:modified xsi:type="dcterms:W3CDTF">2023-07-28T14:13:00Z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084cbda-52b8-46fb-a7b7-cb5bd465ed85_Enabled">
    <vt:lpwstr>true</vt:lpwstr>
  </property>
  <property fmtid="{D5CDD505-2E9C-101B-9397-08002B2CF9AE}" pid="3" name="MSIP_Label_7084cbda-52b8-46fb-a7b7-cb5bd465ed85_SetDate">
    <vt:lpwstr>2023-07-27T15:25:50Z</vt:lpwstr>
  </property>
  <property fmtid="{D5CDD505-2E9C-101B-9397-08002B2CF9AE}" pid="4" name="MSIP_Label_7084cbda-52b8-46fb-a7b7-cb5bd465ed85_Method">
    <vt:lpwstr>Standard</vt:lpwstr>
  </property>
  <property fmtid="{D5CDD505-2E9C-101B-9397-08002B2CF9AE}" pid="5" name="MSIP_Label_7084cbda-52b8-46fb-a7b7-cb5bd465ed85_Name">
    <vt:lpwstr>Internal</vt:lpwstr>
  </property>
  <property fmtid="{D5CDD505-2E9C-101B-9397-08002B2CF9AE}" pid="6" name="MSIP_Label_7084cbda-52b8-46fb-a7b7-cb5bd465ed85_SiteId">
    <vt:lpwstr>0afb747d-bff7-4596-a9fc-950ef9e0ec45</vt:lpwstr>
  </property>
  <property fmtid="{D5CDD505-2E9C-101B-9397-08002B2CF9AE}" pid="7" name="MSIP_Label_7084cbda-52b8-46fb-a7b7-cb5bd465ed85_ActionId">
    <vt:lpwstr>79af2aed-27da-4711-ad86-aa5ea7ef292d</vt:lpwstr>
  </property>
  <property fmtid="{D5CDD505-2E9C-101B-9397-08002B2CF9AE}" pid="8" name="MSIP_Label_7084cbda-52b8-46fb-a7b7-cb5bd465ed85_ContentBits">
    <vt:lpwstr>0</vt:lpwstr>
  </property>
</Properties>
</file>