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62B3" w14:textId="77777777" w:rsidR="00F36F5F" w:rsidRDefault="00F36F5F">
      <w:pPr>
        <w:pStyle w:val="BodyText"/>
        <w:spacing w:after="0"/>
        <w:jc w:val="center"/>
        <w:outlineLvl w:val="0"/>
        <w:rPr>
          <w:b/>
        </w:rPr>
      </w:pPr>
      <w:r w:rsidRPr="004D7FDE">
        <w:rPr>
          <w:b/>
        </w:rPr>
        <w:t>ERCOT Fee Schedule</w:t>
      </w:r>
    </w:p>
    <w:p w14:paraId="1E5F6357" w14:textId="156602EF" w:rsidR="00F36F5F" w:rsidRPr="00182332" w:rsidRDefault="00F36F5F">
      <w:pPr>
        <w:pStyle w:val="BodyText"/>
        <w:spacing w:after="0"/>
        <w:jc w:val="center"/>
        <w:outlineLvl w:val="0"/>
        <w:rPr>
          <w:b/>
          <w:i/>
          <w:sz w:val="20"/>
        </w:rPr>
      </w:pPr>
      <w:r w:rsidRPr="00182332">
        <w:rPr>
          <w:b/>
          <w:i/>
          <w:sz w:val="20"/>
        </w:rPr>
        <w:t xml:space="preserve">Effective </w:t>
      </w:r>
      <w:r w:rsidR="002C399B">
        <w:rPr>
          <w:b/>
          <w:i/>
          <w:sz w:val="20"/>
        </w:rPr>
        <w:t>Dec</w:t>
      </w:r>
      <w:r w:rsidR="001D14A6">
        <w:rPr>
          <w:b/>
          <w:i/>
          <w:sz w:val="20"/>
        </w:rPr>
        <w:t>ember</w:t>
      </w:r>
      <w:r w:rsidR="00A80273">
        <w:rPr>
          <w:b/>
          <w:i/>
          <w:sz w:val="20"/>
        </w:rPr>
        <w:t xml:space="preserve"> </w:t>
      </w:r>
      <w:r w:rsidR="00A8396F">
        <w:rPr>
          <w:b/>
          <w:i/>
          <w:sz w:val="20"/>
        </w:rPr>
        <w:t>20</w:t>
      </w:r>
      <w:r w:rsidR="008427B1">
        <w:rPr>
          <w:b/>
          <w:i/>
          <w:sz w:val="20"/>
        </w:rPr>
        <w:t>, 20</w:t>
      </w:r>
      <w:r w:rsidR="00873E76">
        <w:rPr>
          <w:b/>
          <w:i/>
          <w:sz w:val="20"/>
        </w:rPr>
        <w:t>2</w:t>
      </w:r>
      <w:r w:rsidR="007F600C">
        <w:rPr>
          <w:b/>
          <w:i/>
          <w:sz w:val="20"/>
        </w:rPr>
        <w:t>3</w:t>
      </w:r>
    </w:p>
    <w:p w14:paraId="4C72D340" w14:textId="77777777" w:rsidR="00F36F5F" w:rsidRPr="00182332" w:rsidRDefault="00F36F5F">
      <w:pPr>
        <w:pStyle w:val="BodyText"/>
        <w:spacing w:after="0"/>
        <w:jc w:val="center"/>
        <w:outlineLvl w:val="0"/>
        <w:rPr>
          <w:b/>
          <w:i/>
          <w:sz w:val="20"/>
        </w:rPr>
      </w:pPr>
    </w:p>
    <w:p w14:paraId="6C1F2580" w14:textId="01069579" w:rsidR="00F36F5F" w:rsidRPr="00F73A29" w:rsidRDefault="00F36F5F">
      <w:pPr>
        <w:pStyle w:val="ListIntroduction"/>
        <w:rPr>
          <w:szCs w:val="24"/>
        </w:rPr>
      </w:pPr>
      <w:r w:rsidRPr="00F73A29">
        <w:rPr>
          <w:szCs w:val="24"/>
        </w:rPr>
        <w:t>The following is a schedule of ERCOT fees currently in effect.</w:t>
      </w:r>
      <w:r w:rsidR="007F600C" w:rsidRPr="00F73A29">
        <w:rPr>
          <w:szCs w:val="24"/>
        </w:rPr>
        <w:t xml:space="preserve">  These fees are not refundable unless ERCOT Protocols provide otherwise.</w:t>
      </w:r>
    </w:p>
    <w:tbl>
      <w:tblPr>
        <w:tblW w:w="9750" w:type="dxa"/>
        <w:tblInd w:w="-432" w:type="dxa"/>
        <w:tblLayout w:type="fixed"/>
        <w:tblLook w:val="0000" w:firstRow="0" w:lastRow="0" w:firstColumn="0" w:lastColumn="0" w:noHBand="0" w:noVBand="0"/>
      </w:tblPr>
      <w:tblGrid>
        <w:gridCol w:w="1925"/>
        <w:gridCol w:w="1425"/>
        <w:gridCol w:w="6400"/>
      </w:tblGrid>
      <w:tr w:rsidR="00F36F5F" w14:paraId="28B7B734" w14:textId="77777777" w:rsidTr="008B21E8">
        <w:trPr>
          <w:trHeight w:val="558"/>
        </w:trPr>
        <w:tc>
          <w:tcPr>
            <w:tcW w:w="1925" w:type="dxa"/>
            <w:tcBorders>
              <w:top w:val="single" w:sz="4" w:space="0" w:color="auto"/>
              <w:left w:val="single" w:sz="4" w:space="0" w:color="auto"/>
              <w:bottom w:val="single" w:sz="4" w:space="0" w:color="auto"/>
              <w:right w:val="single" w:sz="4" w:space="0" w:color="auto"/>
            </w:tcBorders>
          </w:tcPr>
          <w:p w14:paraId="01EE84E2" w14:textId="77777777" w:rsidR="00F36F5F" w:rsidRDefault="00F36F5F">
            <w:pPr>
              <w:rPr>
                <w:b/>
                <w:bCs/>
              </w:rPr>
            </w:pPr>
            <w:r>
              <w:rPr>
                <w:b/>
                <w:bCs/>
              </w:rPr>
              <w:t xml:space="preserve">Description </w:t>
            </w:r>
          </w:p>
        </w:tc>
        <w:tc>
          <w:tcPr>
            <w:tcW w:w="1425" w:type="dxa"/>
            <w:tcBorders>
              <w:top w:val="single" w:sz="4" w:space="0" w:color="auto"/>
              <w:left w:val="single" w:sz="4" w:space="0" w:color="auto"/>
              <w:bottom w:val="single" w:sz="4" w:space="0" w:color="auto"/>
              <w:right w:val="single" w:sz="4" w:space="0" w:color="auto"/>
            </w:tcBorders>
          </w:tcPr>
          <w:p w14:paraId="366C7C70" w14:textId="77777777" w:rsidR="00F36F5F" w:rsidRDefault="00287205">
            <w:pPr>
              <w:jc w:val="center"/>
              <w:rPr>
                <w:b/>
                <w:bCs/>
              </w:rPr>
            </w:pPr>
            <w:r>
              <w:rPr>
                <w:b/>
                <w:bCs/>
              </w:rPr>
              <w:t xml:space="preserve">Nodal </w:t>
            </w:r>
            <w:r w:rsidR="00F36F5F">
              <w:rPr>
                <w:b/>
                <w:bCs/>
              </w:rPr>
              <w:t>Protocol Reference</w:t>
            </w:r>
          </w:p>
          <w:p w14:paraId="7AEEA037" w14:textId="77777777" w:rsidR="000D6F36" w:rsidRPr="000D6F36" w:rsidRDefault="000D6F36" w:rsidP="00287205">
            <w:pPr>
              <w:jc w:val="center"/>
              <w:rPr>
                <w:b/>
                <w:bCs/>
                <w:sz w:val="20"/>
              </w:rPr>
            </w:pPr>
          </w:p>
        </w:tc>
        <w:tc>
          <w:tcPr>
            <w:tcW w:w="6400" w:type="dxa"/>
            <w:tcBorders>
              <w:top w:val="single" w:sz="4" w:space="0" w:color="auto"/>
              <w:left w:val="single" w:sz="4" w:space="0" w:color="auto"/>
              <w:bottom w:val="single" w:sz="4" w:space="0" w:color="auto"/>
              <w:right w:val="single" w:sz="4" w:space="0" w:color="auto"/>
            </w:tcBorders>
          </w:tcPr>
          <w:p w14:paraId="2F85526C" w14:textId="77777777" w:rsidR="00F36F5F" w:rsidRDefault="00F36F5F">
            <w:pPr>
              <w:rPr>
                <w:b/>
                <w:bCs/>
              </w:rPr>
            </w:pPr>
            <w:r>
              <w:rPr>
                <w:b/>
                <w:bCs/>
              </w:rPr>
              <w:t>Calculation/Rate/Comment</w:t>
            </w:r>
          </w:p>
        </w:tc>
      </w:tr>
      <w:tr w:rsidR="00F36F5F" w14:paraId="6B5B9E94" w14:textId="77777777" w:rsidTr="008B21E8">
        <w:trPr>
          <w:trHeight w:val="816"/>
        </w:trPr>
        <w:tc>
          <w:tcPr>
            <w:tcW w:w="1925" w:type="dxa"/>
            <w:tcBorders>
              <w:top w:val="nil"/>
              <w:left w:val="single" w:sz="4" w:space="0" w:color="auto"/>
              <w:bottom w:val="single" w:sz="4" w:space="0" w:color="auto"/>
              <w:right w:val="single" w:sz="4" w:space="0" w:color="auto"/>
            </w:tcBorders>
          </w:tcPr>
          <w:p w14:paraId="23DD1867" w14:textId="58F45033" w:rsidR="00F36F5F" w:rsidRDefault="00F36F5F">
            <w:pPr>
              <w:rPr>
                <w:color w:val="000000"/>
                <w:sz w:val="22"/>
                <w:szCs w:val="22"/>
              </w:rPr>
            </w:pPr>
            <w:r>
              <w:rPr>
                <w:color w:val="000000"/>
                <w:sz w:val="22"/>
                <w:szCs w:val="22"/>
              </w:rPr>
              <w:t xml:space="preserve">Private Wide Area Network </w:t>
            </w:r>
            <w:r w:rsidR="00A41F8D">
              <w:rPr>
                <w:color w:val="000000"/>
                <w:sz w:val="22"/>
                <w:szCs w:val="22"/>
              </w:rPr>
              <w:t xml:space="preserve">(WAN) </w:t>
            </w:r>
            <w:r>
              <w:rPr>
                <w:color w:val="000000"/>
                <w:sz w:val="22"/>
                <w:szCs w:val="22"/>
              </w:rPr>
              <w:t>fees</w:t>
            </w:r>
          </w:p>
        </w:tc>
        <w:tc>
          <w:tcPr>
            <w:tcW w:w="1425" w:type="dxa"/>
            <w:tcBorders>
              <w:top w:val="nil"/>
              <w:left w:val="nil"/>
              <w:bottom w:val="single" w:sz="4" w:space="0" w:color="auto"/>
              <w:right w:val="single" w:sz="4" w:space="0" w:color="auto"/>
            </w:tcBorders>
          </w:tcPr>
          <w:p w14:paraId="73FDDBA4" w14:textId="77777777" w:rsidR="00F36F5F" w:rsidRDefault="000D6F36">
            <w:pPr>
              <w:jc w:val="center"/>
              <w:rPr>
                <w:color w:val="000000"/>
                <w:sz w:val="22"/>
                <w:szCs w:val="22"/>
              </w:rPr>
            </w:pPr>
            <w:r>
              <w:rPr>
                <w:color w:val="000000"/>
                <w:sz w:val="22"/>
                <w:szCs w:val="22"/>
              </w:rPr>
              <w:t>9.16.</w:t>
            </w:r>
            <w:r w:rsidR="001257DC">
              <w:rPr>
                <w:color w:val="000000"/>
                <w:sz w:val="22"/>
                <w:szCs w:val="22"/>
              </w:rPr>
              <w:t>2</w:t>
            </w:r>
          </w:p>
        </w:tc>
        <w:tc>
          <w:tcPr>
            <w:tcW w:w="6400" w:type="dxa"/>
            <w:tcBorders>
              <w:top w:val="nil"/>
              <w:left w:val="nil"/>
              <w:bottom w:val="single" w:sz="4" w:space="0" w:color="auto"/>
              <w:right w:val="single" w:sz="4" w:space="0" w:color="auto"/>
            </w:tcBorders>
          </w:tcPr>
          <w:p w14:paraId="6CE01391" w14:textId="0946C30E" w:rsidR="00F36F5F" w:rsidRDefault="00F36F5F" w:rsidP="007F600C">
            <w:pPr>
              <w:spacing w:after="120"/>
              <w:rPr>
                <w:color w:val="000000"/>
                <w:sz w:val="22"/>
                <w:szCs w:val="22"/>
              </w:rPr>
            </w:pPr>
            <w:r>
              <w:rPr>
                <w:color w:val="000000"/>
                <w:sz w:val="22"/>
                <w:szCs w:val="22"/>
              </w:rPr>
              <w:t>Actual cost</w:t>
            </w:r>
            <w:r w:rsidR="007F600C">
              <w:rPr>
                <w:color w:val="000000"/>
                <w:sz w:val="22"/>
                <w:szCs w:val="22"/>
              </w:rPr>
              <w:t>s</w:t>
            </w:r>
            <w:r>
              <w:rPr>
                <w:color w:val="000000"/>
                <w:sz w:val="22"/>
                <w:szCs w:val="22"/>
              </w:rPr>
              <w:t xml:space="preserve"> of </w:t>
            </w:r>
            <w:r w:rsidR="007F600C" w:rsidRPr="00C577BA">
              <w:rPr>
                <w:color w:val="000000"/>
                <w:sz w:val="22"/>
                <w:szCs w:val="22"/>
              </w:rPr>
              <w:t xml:space="preserve">procuring, </w:t>
            </w:r>
            <w:r>
              <w:rPr>
                <w:color w:val="000000"/>
                <w:sz w:val="22"/>
                <w:szCs w:val="22"/>
              </w:rPr>
              <w:t>using</w:t>
            </w:r>
            <w:r w:rsidR="007F600C" w:rsidRPr="00C577BA">
              <w:rPr>
                <w:color w:val="000000"/>
                <w:sz w:val="22"/>
                <w:szCs w:val="22"/>
              </w:rPr>
              <w:t>, maintaining, and connecting to the</w:t>
            </w:r>
            <w:r>
              <w:rPr>
                <w:color w:val="000000"/>
                <w:sz w:val="22"/>
                <w:szCs w:val="22"/>
              </w:rPr>
              <w:t xml:space="preserve"> third</w:t>
            </w:r>
            <w:r w:rsidR="007F600C">
              <w:rPr>
                <w:color w:val="000000"/>
                <w:sz w:val="22"/>
                <w:szCs w:val="22"/>
              </w:rPr>
              <w:t>-</w:t>
            </w:r>
            <w:r>
              <w:rPr>
                <w:color w:val="000000"/>
                <w:sz w:val="22"/>
                <w:szCs w:val="22"/>
              </w:rPr>
              <w:t>party communications network</w:t>
            </w:r>
            <w:r w:rsidR="007F600C" w:rsidRPr="00C577BA">
              <w:rPr>
                <w:color w:val="000000"/>
                <w:sz w:val="22"/>
                <w:szCs w:val="22"/>
              </w:rPr>
              <w:t>s and related hardware that provide ERCOT WAN communications</w:t>
            </w:r>
            <w:r>
              <w:rPr>
                <w:color w:val="000000"/>
                <w:sz w:val="22"/>
                <w:szCs w:val="22"/>
              </w:rPr>
              <w:t>.</w:t>
            </w:r>
            <w:r w:rsidR="007F600C">
              <w:rPr>
                <w:color w:val="000000"/>
                <w:sz w:val="22"/>
                <w:szCs w:val="22"/>
              </w:rPr>
              <w:t xml:space="preserve">  </w:t>
            </w:r>
            <w:r w:rsidR="007F600C" w:rsidRPr="00C577BA">
              <w:rPr>
                <w:color w:val="000000"/>
                <w:sz w:val="22"/>
                <w:szCs w:val="22"/>
              </w:rPr>
              <w:t>The portion of costs for ERCOT’s work regarding an initial installation or reconfiguration of an existing installation will not exceed $7,000</w:t>
            </w:r>
            <w:r w:rsidR="007C7119">
              <w:rPr>
                <w:color w:val="000000"/>
                <w:sz w:val="22"/>
                <w:szCs w:val="22"/>
              </w:rPr>
              <w:t xml:space="preserve">.  </w:t>
            </w:r>
            <w:r w:rsidR="007F600C" w:rsidRPr="00C577BA">
              <w:rPr>
                <w:color w:val="000000"/>
                <w:sz w:val="22"/>
                <w:szCs w:val="22"/>
              </w:rPr>
              <w:t>The portion of the monthly network management fee for ERCOT’s work will not exceed $450 per month.</w:t>
            </w:r>
          </w:p>
        </w:tc>
      </w:tr>
      <w:tr w:rsidR="00F36F5F" w14:paraId="05348E7C" w14:textId="77777777" w:rsidTr="008B21E8">
        <w:trPr>
          <w:trHeight w:val="816"/>
        </w:trPr>
        <w:tc>
          <w:tcPr>
            <w:tcW w:w="1925" w:type="dxa"/>
            <w:tcBorders>
              <w:top w:val="nil"/>
              <w:left w:val="single" w:sz="4" w:space="0" w:color="auto"/>
              <w:bottom w:val="single" w:sz="4" w:space="0" w:color="auto"/>
              <w:right w:val="single" w:sz="4" w:space="0" w:color="auto"/>
            </w:tcBorders>
          </w:tcPr>
          <w:p w14:paraId="34DF8C2D" w14:textId="320D972B" w:rsidR="00F36F5F" w:rsidRDefault="002C399B">
            <w:pPr>
              <w:rPr>
                <w:color w:val="000000"/>
                <w:sz w:val="22"/>
                <w:szCs w:val="22"/>
              </w:rPr>
            </w:pPr>
            <w:r w:rsidRPr="00C577BA">
              <w:rPr>
                <w:sz w:val="22"/>
                <w:szCs w:val="22"/>
              </w:rPr>
              <w:t xml:space="preserve">ERCOT Load Resource </w:t>
            </w:r>
            <w:r>
              <w:rPr>
                <w:sz w:val="22"/>
                <w:szCs w:val="22"/>
              </w:rPr>
              <w:t>R</w:t>
            </w:r>
            <w:r w:rsidRPr="00C577BA">
              <w:rPr>
                <w:sz w:val="22"/>
                <w:szCs w:val="22"/>
              </w:rPr>
              <w:t>egistration and Generator Interconnection or Modification fees</w:t>
            </w:r>
          </w:p>
        </w:tc>
        <w:tc>
          <w:tcPr>
            <w:tcW w:w="1425" w:type="dxa"/>
            <w:tcBorders>
              <w:top w:val="nil"/>
              <w:left w:val="nil"/>
              <w:bottom w:val="single" w:sz="4" w:space="0" w:color="auto"/>
              <w:right w:val="single" w:sz="4" w:space="0" w:color="auto"/>
            </w:tcBorders>
          </w:tcPr>
          <w:p w14:paraId="7F117049" w14:textId="77777777" w:rsidR="00F36F5F" w:rsidRDefault="00F36F5F">
            <w:pPr>
              <w:jc w:val="center"/>
              <w:rPr>
                <w:color w:val="000000"/>
                <w:sz w:val="22"/>
                <w:szCs w:val="22"/>
              </w:rPr>
            </w:pPr>
            <w:r>
              <w:rPr>
                <w:color w:val="000000"/>
                <w:sz w:val="22"/>
                <w:szCs w:val="22"/>
              </w:rPr>
              <w:t>NA</w:t>
            </w:r>
          </w:p>
        </w:tc>
        <w:tc>
          <w:tcPr>
            <w:tcW w:w="6400" w:type="dxa"/>
            <w:tcBorders>
              <w:top w:val="nil"/>
              <w:left w:val="nil"/>
              <w:bottom w:val="single" w:sz="4" w:space="0" w:color="auto"/>
              <w:right w:val="single" w:sz="4" w:space="0" w:color="auto"/>
            </w:tcBorders>
          </w:tcPr>
          <w:p w14:paraId="60598416" w14:textId="77777777" w:rsidR="002C399B" w:rsidRPr="00C577BA" w:rsidRDefault="002C399B" w:rsidP="002C399B">
            <w:pPr>
              <w:spacing w:after="120"/>
              <w:rPr>
                <w:sz w:val="22"/>
                <w:szCs w:val="22"/>
              </w:rPr>
            </w:pPr>
            <w:r w:rsidRPr="00C577BA">
              <w:rPr>
                <w:sz w:val="22"/>
                <w:szCs w:val="22"/>
              </w:rPr>
              <w:t xml:space="preserve">$500 for registration of a new Load Resource. </w:t>
            </w:r>
          </w:p>
          <w:p w14:paraId="652D2A04" w14:textId="77777777" w:rsidR="002C399B" w:rsidRPr="00C577BA" w:rsidRDefault="002C399B" w:rsidP="002C399B">
            <w:pPr>
              <w:spacing w:before="120" w:after="120"/>
              <w:rPr>
                <w:sz w:val="22"/>
                <w:szCs w:val="22"/>
              </w:rPr>
            </w:pPr>
            <w:r w:rsidRPr="00C577BA">
              <w:rPr>
                <w:sz w:val="22"/>
                <w:szCs w:val="22"/>
              </w:rPr>
              <w:t>If a Resource Entity seeks to increase the MW size of an existing Load Resource by more than 20% or change the Load Resource’s registration between non-Controllable Load Resource and Controllable Load Resource, it will incur a registration fee of $500.</w:t>
            </w:r>
          </w:p>
          <w:p w14:paraId="10B1B61F" w14:textId="77777777" w:rsidR="002C399B" w:rsidRPr="00C577BA" w:rsidRDefault="002C399B" w:rsidP="002C399B">
            <w:pPr>
              <w:spacing w:before="120" w:after="120"/>
              <w:rPr>
                <w:color w:val="000000"/>
                <w:sz w:val="22"/>
                <w:szCs w:val="22"/>
              </w:rPr>
            </w:pPr>
            <w:r w:rsidRPr="00C577BA">
              <w:rPr>
                <w:sz w:val="22"/>
                <w:szCs w:val="22"/>
              </w:rPr>
              <w:t>The term “generator,” as used in this fee schedule relating to interconnection fees and Full Interconnection Study (FIS) Application fees, includes Generation Resources, Energy Storage Resources (ESRs), and Settlement Only Generators (SOGs) but, as reflected below, Settlement</w:t>
            </w:r>
            <w:r>
              <w:rPr>
                <w:sz w:val="22"/>
                <w:szCs w:val="22"/>
              </w:rPr>
              <w:t xml:space="preserve"> </w:t>
            </w:r>
            <w:r w:rsidRPr="00C577BA">
              <w:rPr>
                <w:sz w:val="22"/>
                <w:szCs w:val="22"/>
              </w:rPr>
              <w:t xml:space="preserve">Only Distribution Generators (SODGs) will incur a different fee amount than </w:t>
            </w:r>
            <w:r>
              <w:rPr>
                <w:sz w:val="22"/>
                <w:szCs w:val="22"/>
              </w:rPr>
              <w:t>t</w:t>
            </w:r>
            <w:r w:rsidRPr="00C577BA">
              <w:rPr>
                <w:sz w:val="22"/>
                <w:szCs w:val="22"/>
              </w:rPr>
              <w:t>ransmission connected SOGs.</w:t>
            </w:r>
            <w:r w:rsidRPr="00C577BA">
              <w:rPr>
                <w:color w:val="000000"/>
                <w:sz w:val="22"/>
                <w:szCs w:val="22"/>
              </w:rPr>
              <w:t xml:space="preserve"> </w:t>
            </w:r>
            <w:r>
              <w:rPr>
                <w:color w:val="000000"/>
                <w:sz w:val="22"/>
                <w:szCs w:val="22"/>
              </w:rPr>
              <w:t xml:space="preserve"> </w:t>
            </w:r>
            <w:r w:rsidRPr="00C577BA">
              <w:rPr>
                <w:color w:val="000000"/>
                <w:sz w:val="22"/>
                <w:szCs w:val="22"/>
              </w:rPr>
              <w:t xml:space="preserve">The following fee amounts apply for the registration of a new generator:  </w:t>
            </w:r>
          </w:p>
          <w:p w14:paraId="0CA46E80" w14:textId="77777777" w:rsidR="002C399B" w:rsidRPr="00C577BA" w:rsidRDefault="002C399B" w:rsidP="002C399B">
            <w:pPr>
              <w:spacing w:before="120" w:after="120"/>
              <w:rPr>
                <w:sz w:val="22"/>
                <w:szCs w:val="22"/>
              </w:rPr>
            </w:pPr>
            <w:r w:rsidRPr="00C577BA">
              <w:rPr>
                <w:sz w:val="22"/>
                <w:szCs w:val="22"/>
              </w:rPr>
              <w:t xml:space="preserve">$2,300 for SODGs; </w:t>
            </w:r>
          </w:p>
          <w:p w14:paraId="1B2FD08F" w14:textId="77777777" w:rsidR="002C399B" w:rsidRPr="00C577BA" w:rsidRDefault="002C399B" w:rsidP="002C399B">
            <w:pPr>
              <w:spacing w:before="120" w:after="120"/>
              <w:rPr>
                <w:sz w:val="22"/>
                <w:szCs w:val="22"/>
              </w:rPr>
            </w:pPr>
            <w:r w:rsidRPr="00C577BA">
              <w:rPr>
                <w:sz w:val="22"/>
                <w:szCs w:val="22"/>
              </w:rPr>
              <w:t>$8,000 for generators that are less than 10</w:t>
            </w:r>
            <w:r>
              <w:rPr>
                <w:sz w:val="22"/>
                <w:szCs w:val="22"/>
              </w:rPr>
              <w:t xml:space="preserve"> </w:t>
            </w:r>
            <w:r w:rsidRPr="00C577BA">
              <w:rPr>
                <w:sz w:val="22"/>
                <w:szCs w:val="22"/>
              </w:rPr>
              <w:t>MW (other than SODGs); and</w:t>
            </w:r>
          </w:p>
          <w:p w14:paraId="1460D04C" w14:textId="77777777" w:rsidR="002C399B" w:rsidRPr="00C577BA" w:rsidRDefault="002C399B" w:rsidP="002C399B">
            <w:pPr>
              <w:spacing w:before="120" w:after="120"/>
              <w:rPr>
                <w:sz w:val="22"/>
                <w:szCs w:val="22"/>
              </w:rPr>
            </w:pPr>
            <w:r w:rsidRPr="00C577BA">
              <w:rPr>
                <w:sz w:val="22"/>
                <w:szCs w:val="22"/>
              </w:rPr>
              <w:t>$14,000 for generators that are 10</w:t>
            </w:r>
            <w:r>
              <w:rPr>
                <w:sz w:val="22"/>
                <w:szCs w:val="22"/>
              </w:rPr>
              <w:t xml:space="preserve"> </w:t>
            </w:r>
            <w:r w:rsidRPr="00C577BA">
              <w:rPr>
                <w:sz w:val="22"/>
                <w:szCs w:val="22"/>
              </w:rPr>
              <w:t>MW or greater.</w:t>
            </w:r>
          </w:p>
          <w:p w14:paraId="6123BEFC" w14:textId="77777777" w:rsidR="002C399B" w:rsidRPr="00C577BA" w:rsidRDefault="002C399B" w:rsidP="002C399B">
            <w:pPr>
              <w:spacing w:before="120" w:after="120"/>
              <w:rPr>
                <w:sz w:val="22"/>
                <w:szCs w:val="22"/>
              </w:rPr>
            </w:pPr>
            <w:r w:rsidRPr="00C577BA">
              <w:rPr>
                <w:sz w:val="22"/>
                <w:szCs w:val="22"/>
              </w:rPr>
              <w:t>If a Resource Entity for an existing SODG seeks to change its registration to a Distribution Generation Resource (DGR) it will incur a registration fee of $8,000.</w:t>
            </w:r>
          </w:p>
          <w:p w14:paraId="4C5F75BC" w14:textId="0F3AAB8D" w:rsidR="000930D3" w:rsidRPr="00185BFC" w:rsidRDefault="002C399B" w:rsidP="00185BFC">
            <w:pPr>
              <w:spacing w:before="120" w:after="120"/>
              <w:rPr>
                <w:sz w:val="22"/>
                <w:szCs w:val="22"/>
              </w:rPr>
            </w:pPr>
            <w:r w:rsidRPr="00C577BA">
              <w:rPr>
                <w:sz w:val="22"/>
                <w:szCs w:val="22"/>
              </w:rPr>
              <w:t>If a Resource Entity seeks to make a modification that is covered by paragraph (1)(c) of Planning Guide Section 5.2.1, Applicability, to an existing generator it will incur a registration fee in association with the modification request.  If, at the time the modification is submitted, the cumulative MW amount of the modification and any other modifications that have been submitted for that generator within the last 12 months amount to less than 10</w:t>
            </w:r>
            <w:r>
              <w:rPr>
                <w:sz w:val="22"/>
                <w:szCs w:val="22"/>
              </w:rPr>
              <w:t xml:space="preserve"> </w:t>
            </w:r>
            <w:r w:rsidRPr="00C577BA">
              <w:rPr>
                <w:sz w:val="22"/>
                <w:szCs w:val="22"/>
              </w:rPr>
              <w:t xml:space="preserve">MW, the registration fee will be $2,300.  If, at the time the modification is submitted, the cumulative MW amount of the modification and any other </w:t>
            </w:r>
            <w:r w:rsidRPr="00C577BA">
              <w:rPr>
                <w:sz w:val="22"/>
                <w:szCs w:val="22"/>
              </w:rPr>
              <w:lastRenderedPageBreak/>
              <w:t>modifications that have been submitted for that generator within the last 12 months amount to 10</w:t>
            </w:r>
            <w:r>
              <w:rPr>
                <w:sz w:val="22"/>
                <w:szCs w:val="22"/>
              </w:rPr>
              <w:t xml:space="preserve"> </w:t>
            </w:r>
            <w:r w:rsidRPr="00C577BA">
              <w:rPr>
                <w:sz w:val="22"/>
                <w:szCs w:val="22"/>
              </w:rPr>
              <w:t>MW or greater, the registration fee will be $14,000.</w:t>
            </w:r>
          </w:p>
        </w:tc>
      </w:tr>
      <w:tr w:rsidR="00F36F5F" w14:paraId="4A082995" w14:textId="77777777" w:rsidTr="002C399B">
        <w:trPr>
          <w:trHeight w:val="816"/>
        </w:trPr>
        <w:tc>
          <w:tcPr>
            <w:tcW w:w="1925" w:type="dxa"/>
            <w:tcBorders>
              <w:top w:val="single" w:sz="4" w:space="0" w:color="auto"/>
              <w:left w:val="single" w:sz="4" w:space="0" w:color="auto"/>
              <w:bottom w:val="single" w:sz="4" w:space="0" w:color="auto"/>
              <w:right w:val="single" w:sz="4" w:space="0" w:color="auto"/>
            </w:tcBorders>
            <w:vAlign w:val="center"/>
          </w:tcPr>
          <w:p w14:paraId="4C4ACEB6" w14:textId="41204D1A" w:rsidR="00F36F5F" w:rsidRDefault="00F36F5F">
            <w:pPr>
              <w:pStyle w:val="Style1"/>
              <w:rPr>
                <w:sz w:val="22"/>
                <w:szCs w:val="22"/>
              </w:rPr>
            </w:pPr>
            <w:r>
              <w:rPr>
                <w:sz w:val="22"/>
                <w:szCs w:val="22"/>
              </w:rPr>
              <w:lastRenderedPageBreak/>
              <w:t>Full Interconnection Study</w:t>
            </w:r>
            <w:r w:rsidR="00451E4E">
              <w:rPr>
                <w:sz w:val="22"/>
                <w:szCs w:val="22"/>
              </w:rPr>
              <w:t xml:space="preserve"> </w:t>
            </w:r>
            <w:r w:rsidR="00A41F8D">
              <w:rPr>
                <w:sz w:val="22"/>
                <w:szCs w:val="22"/>
              </w:rPr>
              <w:t xml:space="preserve">(FIS) </w:t>
            </w:r>
            <w:r w:rsidR="00451E4E">
              <w:rPr>
                <w:sz w:val="22"/>
                <w:szCs w:val="22"/>
              </w:rPr>
              <w:t>Application fee</w:t>
            </w:r>
          </w:p>
        </w:tc>
        <w:tc>
          <w:tcPr>
            <w:tcW w:w="1425" w:type="dxa"/>
            <w:tcBorders>
              <w:top w:val="single" w:sz="4" w:space="0" w:color="auto"/>
              <w:left w:val="nil"/>
              <w:bottom w:val="single" w:sz="4" w:space="0" w:color="auto"/>
              <w:right w:val="single" w:sz="4" w:space="0" w:color="auto"/>
            </w:tcBorders>
          </w:tcPr>
          <w:p w14:paraId="6CE907A3" w14:textId="77777777" w:rsidR="00F36F5F" w:rsidRDefault="00F36F5F">
            <w:pPr>
              <w:jc w:val="center"/>
              <w:rPr>
                <w:color w:val="000000"/>
                <w:sz w:val="22"/>
                <w:szCs w:val="22"/>
              </w:rPr>
            </w:pPr>
            <w:r>
              <w:rPr>
                <w:color w:val="000000"/>
                <w:sz w:val="22"/>
                <w:szCs w:val="22"/>
              </w:rPr>
              <w:t>NA</w:t>
            </w:r>
          </w:p>
        </w:tc>
        <w:tc>
          <w:tcPr>
            <w:tcW w:w="6400" w:type="dxa"/>
            <w:tcBorders>
              <w:top w:val="single" w:sz="4" w:space="0" w:color="auto"/>
              <w:left w:val="nil"/>
              <w:bottom w:val="single" w:sz="4" w:space="0" w:color="auto"/>
              <w:right w:val="single" w:sz="4" w:space="0" w:color="auto"/>
            </w:tcBorders>
          </w:tcPr>
          <w:p w14:paraId="53356176" w14:textId="77777777" w:rsidR="002C399B" w:rsidRPr="00C577BA" w:rsidRDefault="002C399B" w:rsidP="002C399B">
            <w:pPr>
              <w:rPr>
                <w:sz w:val="22"/>
                <w:szCs w:val="22"/>
              </w:rPr>
            </w:pPr>
            <w:r w:rsidRPr="00C577BA">
              <w:rPr>
                <w:sz w:val="22"/>
                <w:szCs w:val="22"/>
              </w:rPr>
              <w:t>$3,000 for an FIS Application relating to a new generator.</w:t>
            </w:r>
          </w:p>
          <w:p w14:paraId="42D6EB28" w14:textId="37B3BAB7" w:rsidR="00F36F5F" w:rsidRDefault="002C399B" w:rsidP="002C399B">
            <w:pPr>
              <w:rPr>
                <w:color w:val="000000"/>
                <w:sz w:val="22"/>
                <w:szCs w:val="22"/>
              </w:rPr>
            </w:pPr>
            <w:r w:rsidRPr="00C577BA">
              <w:rPr>
                <w:sz w:val="22"/>
                <w:szCs w:val="22"/>
              </w:rPr>
              <w:t>$2,700 for an FIS Application relating to modification of an existing generator.</w:t>
            </w:r>
          </w:p>
        </w:tc>
      </w:tr>
      <w:tr w:rsidR="00F36F5F" w14:paraId="2D7BE493" w14:textId="77777777" w:rsidTr="008B21E8">
        <w:trPr>
          <w:trHeight w:val="204"/>
        </w:trPr>
        <w:tc>
          <w:tcPr>
            <w:tcW w:w="1925" w:type="dxa"/>
            <w:tcBorders>
              <w:top w:val="nil"/>
              <w:left w:val="single" w:sz="4" w:space="0" w:color="auto"/>
              <w:bottom w:val="single" w:sz="4" w:space="0" w:color="auto"/>
              <w:right w:val="single" w:sz="4" w:space="0" w:color="auto"/>
            </w:tcBorders>
          </w:tcPr>
          <w:p w14:paraId="27B2E53F" w14:textId="1FE3C83B" w:rsidR="00F36F5F" w:rsidRDefault="00F36F5F">
            <w:pPr>
              <w:rPr>
                <w:color w:val="000000"/>
                <w:sz w:val="22"/>
                <w:szCs w:val="22"/>
              </w:rPr>
            </w:pPr>
            <w:r>
              <w:rPr>
                <w:color w:val="000000"/>
                <w:sz w:val="22"/>
                <w:szCs w:val="22"/>
              </w:rPr>
              <w:t>Qualified Scheduling Entity</w:t>
            </w:r>
            <w:r w:rsidR="00A41F8D">
              <w:rPr>
                <w:color w:val="000000"/>
                <w:sz w:val="22"/>
                <w:szCs w:val="22"/>
              </w:rPr>
              <w:t xml:space="preserve"> (QSE)</w:t>
            </w:r>
            <w:r>
              <w:rPr>
                <w:color w:val="000000"/>
                <w:sz w:val="22"/>
                <w:szCs w:val="22"/>
              </w:rPr>
              <w:t xml:space="preserve"> Application fee</w:t>
            </w:r>
          </w:p>
        </w:tc>
        <w:tc>
          <w:tcPr>
            <w:tcW w:w="1425" w:type="dxa"/>
            <w:tcBorders>
              <w:top w:val="nil"/>
              <w:left w:val="nil"/>
              <w:bottom w:val="single" w:sz="4" w:space="0" w:color="auto"/>
              <w:right w:val="single" w:sz="4" w:space="0" w:color="auto"/>
            </w:tcBorders>
          </w:tcPr>
          <w:p w14:paraId="151163FA" w14:textId="77777777" w:rsidR="00F36F5F" w:rsidRDefault="000D6F36">
            <w:pPr>
              <w:jc w:val="center"/>
              <w:rPr>
                <w:color w:val="000000"/>
                <w:sz w:val="22"/>
                <w:szCs w:val="22"/>
              </w:rPr>
            </w:pPr>
            <w:r>
              <w:rPr>
                <w:color w:val="000000"/>
                <w:sz w:val="22"/>
                <w:szCs w:val="22"/>
              </w:rPr>
              <w:t>9.16.2</w:t>
            </w:r>
          </w:p>
        </w:tc>
        <w:tc>
          <w:tcPr>
            <w:tcW w:w="6400" w:type="dxa"/>
            <w:tcBorders>
              <w:top w:val="nil"/>
              <w:left w:val="nil"/>
              <w:bottom w:val="single" w:sz="4" w:space="0" w:color="auto"/>
              <w:right w:val="single" w:sz="4" w:space="0" w:color="auto"/>
            </w:tcBorders>
          </w:tcPr>
          <w:p w14:paraId="5735293D" w14:textId="77777777" w:rsidR="00F36F5F" w:rsidRDefault="00F36F5F" w:rsidP="007728D6">
            <w:pPr>
              <w:rPr>
                <w:color w:val="000000"/>
                <w:sz w:val="22"/>
                <w:szCs w:val="22"/>
              </w:rPr>
            </w:pPr>
            <w:r>
              <w:rPr>
                <w:color w:val="000000"/>
                <w:sz w:val="22"/>
                <w:szCs w:val="22"/>
              </w:rPr>
              <w:t>$500 per Entity</w:t>
            </w:r>
          </w:p>
        </w:tc>
      </w:tr>
      <w:tr w:rsidR="008B21E8" w14:paraId="40A4DFD2" w14:textId="77777777" w:rsidTr="008B21E8">
        <w:trPr>
          <w:trHeight w:val="435"/>
        </w:trPr>
        <w:tc>
          <w:tcPr>
            <w:tcW w:w="1925" w:type="dxa"/>
            <w:tcBorders>
              <w:top w:val="nil"/>
              <w:left w:val="single" w:sz="4" w:space="0" w:color="auto"/>
              <w:bottom w:val="single" w:sz="4" w:space="0" w:color="auto"/>
              <w:right w:val="single" w:sz="4" w:space="0" w:color="auto"/>
            </w:tcBorders>
          </w:tcPr>
          <w:p w14:paraId="42200ED5" w14:textId="0D01BEB2" w:rsidR="008B21E8" w:rsidRDefault="008B21E8" w:rsidP="008B21E8">
            <w:pPr>
              <w:rPr>
                <w:color w:val="000000"/>
                <w:sz w:val="22"/>
                <w:szCs w:val="22"/>
              </w:rPr>
            </w:pPr>
            <w:r w:rsidRPr="00C577BA">
              <w:rPr>
                <w:color w:val="000000"/>
                <w:sz w:val="22"/>
                <w:szCs w:val="22"/>
              </w:rPr>
              <w:t>Subordinate QSE (Sub-QSE) Application fee</w:t>
            </w:r>
          </w:p>
        </w:tc>
        <w:tc>
          <w:tcPr>
            <w:tcW w:w="1425" w:type="dxa"/>
            <w:tcBorders>
              <w:top w:val="nil"/>
              <w:left w:val="nil"/>
              <w:bottom w:val="single" w:sz="4" w:space="0" w:color="auto"/>
              <w:right w:val="single" w:sz="4" w:space="0" w:color="auto"/>
            </w:tcBorders>
          </w:tcPr>
          <w:p w14:paraId="62E5CC28" w14:textId="16FD7D12" w:rsidR="008B21E8" w:rsidRDefault="008B21E8" w:rsidP="008B21E8">
            <w:pPr>
              <w:jc w:val="center"/>
              <w:rPr>
                <w:color w:val="000000"/>
                <w:sz w:val="22"/>
                <w:szCs w:val="22"/>
              </w:rPr>
            </w:pPr>
            <w:r w:rsidRPr="00C577BA">
              <w:rPr>
                <w:color w:val="000000"/>
                <w:sz w:val="22"/>
                <w:szCs w:val="22"/>
              </w:rPr>
              <w:t>9.16.2</w:t>
            </w:r>
          </w:p>
        </w:tc>
        <w:tc>
          <w:tcPr>
            <w:tcW w:w="6400" w:type="dxa"/>
            <w:tcBorders>
              <w:top w:val="nil"/>
              <w:left w:val="nil"/>
              <w:bottom w:val="single" w:sz="4" w:space="0" w:color="auto"/>
              <w:right w:val="single" w:sz="4" w:space="0" w:color="auto"/>
            </w:tcBorders>
          </w:tcPr>
          <w:p w14:paraId="24D5FF03" w14:textId="15B3DD2E" w:rsidR="008B21E8" w:rsidRDefault="008B21E8" w:rsidP="008B21E8">
            <w:pPr>
              <w:rPr>
                <w:color w:val="000000"/>
                <w:sz w:val="22"/>
                <w:szCs w:val="22"/>
              </w:rPr>
            </w:pPr>
            <w:r w:rsidRPr="00C577BA">
              <w:rPr>
                <w:color w:val="000000"/>
                <w:sz w:val="22"/>
                <w:szCs w:val="22"/>
              </w:rPr>
              <w:t>$500 per Sub-QSE</w:t>
            </w:r>
          </w:p>
        </w:tc>
      </w:tr>
      <w:tr w:rsidR="00F36F5F" w14:paraId="05FF4C87" w14:textId="77777777" w:rsidTr="008B21E8">
        <w:trPr>
          <w:trHeight w:val="435"/>
        </w:trPr>
        <w:tc>
          <w:tcPr>
            <w:tcW w:w="1925" w:type="dxa"/>
            <w:tcBorders>
              <w:top w:val="nil"/>
              <w:left w:val="single" w:sz="4" w:space="0" w:color="auto"/>
              <w:bottom w:val="single" w:sz="4" w:space="0" w:color="auto"/>
              <w:right w:val="single" w:sz="4" w:space="0" w:color="auto"/>
            </w:tcBorders>
          </w:tcPr>
          <w:p w14:paraId="04FCA5F6" w14:textId="4CD8B438" w:rsidR="00F36F5F" w:rsidRDefault="00F36F5F">
            <w:pPr>
              <w:rPr>
                <w:color w:val="000000"/>
                <w:sz w:val="22"/>
                <w:szCs w:val="22"/>
              </w:rPr>
            </w:pPr>
            <w:r>
              <w:rPr>
                <w:color w:val="000000"/>
                <w:sz w:val="22"/>
                <w:szCs w:val="22"/>
              </w:rPr>
              <w:t>Competitive Retailer</w:t>
            </w:r>
            <w:r w:rsidR="00A41F8D">
              <w:rPr>
                <w:color w:val="000000"/>
                <w:sz w:val="22"/>
                <w:szCs w:val="22"/>
              </w:rPr>
              <w:t xml:space="preserve"> (CR)</w:t>
            </w:r>
            <w:r>
              <w:rPr>
                <w:color w:val="000000"/>
                <w:sz w:val="22"/>
                <w:szCs w:val="22"/>
              </w:rPr>
              <w:t xml:space="preserve"> Application fee</w:t>
            </w:r>
          </w:p>
        </w:tc>
        <w:tc>
          <w:tcPr>
            <w:tcW w:w="1425" w:type="dxa"/>
            <w:tcBorders>
              <w:top w:val="nil"/>
              <w:left w:val="nil"/>
              <w:bottom w:val="single" w:sz="4" w:space="0" w:color="auto"/>
              <w:right w:val="single" w:sz="4" w:space="0" w:color="auto"/>
            </w:tcBorders>
          </w:tcPr>
          <w:p w14:paraId="6B777793" w14:textId="77777777" w:rsidR="00F36F5F" w:rsidRDefault="000D6F36">
            <w:pPr>
              <w:jc w:val="center"/>
              <w:rPr>
                <w:color w:val="000000"/>
                <w:sz w:val="22"/>
                <w:szCs w:val="22"/>
              </w:rPr>
            </w:pPr>
            <w:r>
              <w:rPr>
                <w:color w:val="000000"/>
                <w:sz w:val="22"/>
                <w:szCs w:val="22"/>
              </w:rPr>
              <w:t>9.16.2</w:t>
            </w:r>
          </w:p>
        </w:tc>
        <w:tc>
          <w:tcPr>
            <w:tcW w:w="6400" w:type="dxa"/>
            <w:tcBorders>
              <w:top w:val="nil"/>
              <w:left w:val="nil"/>
              <w:bottom w:val="single" w:sz="4" w:space="0" w:color="auto"/>
              <w:right w:val="single" w:sz="4" w:space="0" w:color="auto"/>
            </w:tcBorders>
          </w:tcPr>
          <w:p w14:paraId="61333EDB" w14:textId="77777777" w:rsidR="00F36F5F" w:rsidRDefault="00F36F5F">
            <w:pPr>
              <w:rPr>
                <w:color w:val="000000"/>
                <w:sz w:val="22"/>
                <w:szCs w:val="22"/>
              </w:rPr>
            </w:pPr>
            <w:r>
              <w:rPr>
                <w:color w:val="000000"/>
                <w:sz w:val="22"/>
                <w:szCs w:val="22"/>
              </w:rPr>
              <w:t>$500 per Entity</w:t>
            </w:r>
          </w:p>
        </w:tc>
      </w:tr>
      <w:tr w:rsidR="00377A7F" w14:paraId="01BC388D" w14:textId="77777777" w:rsidTr="008B21E8">
        <w:trPr>
          <w:trHeight w:val="510"/>
        </w:trPr>
        <w:tc>
          <w:tcPr>
            <w:tcW w:w="1925" w:type="dxa"/>
            <w:tcBorders>
              <w:top w:val="nil"/>
              <w:left w:val="single" w:sz="4" w:space="0" w:color="auto"/>
              <w:bottom w:val="single" w:sz="4" w:space="0" w:color="auto"/>
              <w:right w:val="single" w:sz="4" w:space="0" w:color="auto"/>
            </w:tcBorders>
          </w:tcPr>
          <w:p w14:paraId="2E2778E9" w14:textId="77777777" w:rsidR="00377A7F" w:rsidRDefault="00377A7F">
            <w:pPr>
              <w:rPr>
                <w:color w:val="000000"/>
                <w:sz w:val="22"/>
                <w:szCs w:val="22"/>
              </w:rPr>
            </w:pPr>
            <w:r>
              <w:rPr>
                <w:color w:val="000000"/>
                <w:sz w:val="22"/>
                <w:szCs w:val="22"/>
              </w:rPr>
              <w:t>Congestion Revenue Right (CRR) Account Holder Application fee</w:t>
            </w:r>
          </w:p>
        </w:tc>
        <w:tc>
          <w:tcPr>
            <w:tcW w:w="1425" w:type="dxa"/>
            <w:tcBorders>
              <w:top w:val="nil"/>
              <w:left w:val="nil"/>
              <w:bottom w:val="single" w:sz="4" w:space="0" w:color="auto"/>
              <w:right w:val="single" w:sz="4" w:space="0" w:color="auto"/>
            </w:tcBorders>
          </w:tcPr>
          <w:p w14:paraId="3B566061" w14:textId="77777777" w:rsidR="00377A7F" w:rsidRDefault="00377A7F">
            <w:pPr>
              <w:jc w:val="center"/>
              <w:rPr>
                <w:color w:val="000000"/>
                <w:sz w:val="22"/>
                <w:szCs w:val="22"/>
              </w:rPr>
            </w:pPr>
            <w:r>
              <w:rPr>
                <w:color w:val="000000"/>
                <w:sz w:val="22"/>
                <w:szCs w:val="22"/>
              </w:rPr>
              <w:t>9.16.2</w:t>
            </w:r>
          </w:p>
        </w:tc>
        <w:tc>
          <w:tcPr>
            <w:tcW w:w="6400" w:type="dxa"/>
            <w:tcBorders>
              <w:top w:val="nil"/>
              <w:left w:val="nil"/>
              <w:bottom w:val="single" w:sz="4" w:space="0" w:color="auto"/>
              <w:right w:val="single" w:sz="4" w:space="0" w:color="auto"/>
            </w:tcBorders>
          </w:tcPr>
          <w:p w14:paraId="7BBC4BFE" w14:textId="77777777" w:rsidR="00377A7F" w:rsidRDefault="00377A7F">
            <w:pPr>
              <w:rPr>
                <w:color w:val="000000"/>
                <w:sz w:val="22"/>
                <w:szCs w:val="22"/>
              </w:rPr>
            </w:pPr>
            <w:r>
              <w:rPr>
                <w:color w:val="000000"/>
                <w:sz w:val="22"/>
                <w:szCs w:val="22"/>
              </w:rPr>
              <w:t>$500 per Entity</w:t>
            </w:r>
          </w:p>
        </w:tc>
      </w:tr>
      <w:tr w:rsidR="00377A7F" w14:paraId="05C8A0E4"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2CD234A4" w14:textId="082D1388" w:rsidR="00377A7F" w:rsidRDefault="00377A7F">
            <w:pPr>
              <w:rPr>
                <w:color w:val="000000"/>
                <w:sz w:val="22"/>
                <w:szCs w:val="22"/>
              </w:rPr>
            </w:pPr>
            <w:r>
              <w:rPr>
                <w:color w:val="000000"/>
                <w:sz w:val="22"/>
                <w:szCs w:val="22"/>
              </w:rPr>
              <w:t xml:space="preserve">Independent Market Information System Registered Entity </w:t>
            </w:r>
            <w:r w:rsidR="00A41F8D">
              <w:rPr>
                <w:color w:val="000000"/>
                <w:sz w:val="22"/>
                <w:szCs w:val="22"/>
              </w:rPr>
              <w:t xml:space="preserve">(IMRE) </w:t>
            </w:r>
            <w:r w:rsidR="00451E4E">
              <w:rPr>
                <w:color w:val="000000"/>
                <w:sz w:val="22"/>
                <w:szCs w:val="22"/>
              </w:rPr>
              <w:t>fee</w:t>
            </w:r>
          </w:p>
        </w:tc>
        <w:tc>
          <w:tcPr>
            <w:tcW w:w="1425" w:type="dxa"/>
            <w:tcBorders>
              <w:top w:val="single" w:sz="4" w:space="0" w:color="auto"/>
              <w:left w:val="nil"/>
              <w:bottom w:val="single" w:sz="4" w:space="0" w:color="auto"/>
              <w:right w:val="single" w:sz="4" w:space="0" w:color="auto"/>
            </w:tcBorders>
          </w:tcPr>
          <w:p w14:paraId="173A52FF" w14:textId="77777777" w:rsidR="00377A7F" w:rsidRDefault="00377A7F">
            <w:pPr>
              <w:jc w:val="center"/>
              <w:rPr>
                <w:color w:val="000000"/>
                <w:sz w:val="22"/>
                <w:szCs w:val="22"/>
              </w:rPr>
            </w:pPr>
            <w:r>
              <w:rPr>
                <w:color w:val="000000"/>
                <w:sz w:val="22"/>
                <w:szCs w:val="22"/>
              </w:rPr>
              <w:t>9.16.2</w:t>
            </w:r>
          </w:p>
        </w:tc>
        <w:tc>
          <w:tcPr>
            <w:tcW w:w="6400" w:type="dxa"/>
            <w:tcBorders>
              <w:top w:val="single" w:sz="4" w:space="0" w:color="auto"/>
              <w:left w:val="nil"/>
              <w:bottom w:val="single" w:sz="4" w:space="0" w:color="auto"/>
              <w:right w:val="single" w:sz="4" w:space="0" w:color="auto"/>
            </w:tcBorders>
          </w:tcPr>
          <w:p w14:paraId="338EBBD5" w14:textId="77777777" w:rsidR="00377A7F" w:rsidRDefault="00377A7F">
            <w:pPr>
              <w:rPr>
                <w:color w:val="000000"/>
                <w:sz w:val="22"/>
                <w:szCs w:val="22"/>
              </w:rPr>
            </w:pPr>
            <w:r>
              <w:rPr>
                <w:color w:val="000000"/>
                <w:sz w:val="22"/>
                <w:szCs w:val="22"/>
              </w:rPr>
              <w:t>$500 per Entity</w:t>
            </w:r>
          </w:p>
        </w:tc>
      </w:tr>
      <w:tr w:rsidR="008B21E8" w14:paraId="6BB673ED"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6EE0256E" w14:textId="26126786" w:rsidR="008B21E8" w:rsidRPr="009B2C64" w:rsidRDefault="008B21E8" w:rsidP="008B21E8">
            <w:pPr>
              <w:rPr>
                <w:color w:val="000000"/>
                <w:sz w:val="22"/>
                <w:szCs w:val="22"/>
              </w:rPr>
            </w:pPr>
            <w:r w:rsidRPr="00C577BA">
              <w:rPr>
                <w:color w:val="000000"/>
                <w:sz w:val="22"/>
                <w:szCs w:val="22"/>
              </w:rPr>
              <w:t>Resource Entity Application fee</w:t>
            </w:r>
          </w:p>
        </w:tc>
        <w:tc>
          <w:tcPr>
            <w:tcW w:w="1425" w:type="dxa"/>
            <w:tcBorders>
              <w:top w:val="single" w:sz="4" w:space="0" w:color="auto"/>
              <w:left w:val="single" w:sz="4" w:space="0" w:color="auto"/>
              <w:bottom w:val="single" w:sz="4" w:space="0" w:color="auto"/>
              <w:right w:val="single" w:sz="4" w:space="0" w:color="auto"/>
            </w:tcBorders>
          </w:tcPr>
          <w:p w14:paraId="2808D50A" w14:textId="2B1A5506" w:rsidR="008B21E8" w:rsidRPr="009B2C64" w:rsidRDefault="008B21E8" w:rsidP="008B21E8">
            <w:pPr>
              <w:jc w:val="center"/>
              <w:rPr>
                <w:sz w:val="22"/>
                <w:szCs w:val="22"/>
              </w:rPr>
            </w:pPr>
            <w:r w:rsidRPr="00C577BA">
              <w:rPr>
                <w:color w:val="000000"/>
                <w:sz w:val="22"/>
                <w:szCs w:val="22"/>
              </w:rPr>
              <w:t>9.16.2</w:t>
            </w:r>
          </w:p>
        </w:tc>
        <w:tc>
          <w:tcPr>
            <w:tcW w:w="6400" w:type="dxa"/>
            <w:tcBorders>
              <w:top w:val="single" w:sz="4" w:space="0" w:color="auto"/>
              <w:left w:val="single" w:sz="4" w:space="0" w:color="auto"/>
              <w:bottom w:val="single" w:sz="4" w:space="0" w:color="auto"/>
              <w:right w:val="single" w:sz="4" w:space="0" w:color="auto"/>
            </w:tcBorders>
          </w:tcPr>
          <w:p w14:paraId="2C3C9CC0" w14:textId="77777777" w:rsidR="008B21E8" w:rsidRPr="00C577BA" w:rsidRDefault="008B21E8" w:rsidP="008B21E8">
            <w:pPr>
              <w:rPr>
                <w:color w:val="000000"/>
                <w:sz w:val="22"/>
                <w:szCs w:val="22"/>
              </w:rPr>
            </w:pPr>
            <w:r w:rsidRPr="00C577BA">
              <w:rPr>
                <w:color w:val="000000"/>
                <w:sz w:val="22"/>
                <w:szCs w:val="22"/>
              </w:rPr>
              <w:t>$500 per Entity</w:t>
            </w:r>
          </w:p>
          <w:p w14:paraId="2C5635DD" w14:textId="77777777" w:rsidR="008B21E8" w:rsidRPr="00C577BA" w:rsidRDefault="008B21E8" w:rsidP="008B21E8">
            <w:pPr>
              <w:rPr>
                <w:sz w:val="22"/>
                <w:szCs w:val="22"/>
              </w:rPr>
            </w:pPr>
          </w:p>
          <w:p w14:paraId="75E19FA5" w14:textId="025D1709" w:rsidR="008B21E8" w:rsidRPr="009B2C64" w:rsidRDefault="008B21E8" w:rsidP="008B21E8">
            <w:pPr>
              <w:spacing w:after="240"/>
              <w:rPr>
                <w:color w:val="000000"/>
                <w:sz w:val="22"/>
                <w:szCs w:val="22"/>
              </w:rPr>
            </w:pPr>
            <w:r w:rsidRPr="00C577BA">
              <w:rPr>
                <w:sz w:val="22"/>
                <w:szCs w:val="22"/>
              </w:rPr>
              <w:tab/>
            </w:r>
          </w:p>
        </w:tc>
      </w:tr>
      <w:tr w:rsidR="008B21E8" w14:paraId="465D17D6"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2BA9EBE3" w14:textId="48496D24" w:rsidR="008B21E8" w:rsidRPr="009B2C64" w:rsidRDefault="008B21E8" w:rsidP="008B21E8">
            <w:pPr>
              <w:rPr>
                <w:color w:val="000000"/>
                <w:sz w:val="22"/>
                <w:szCs w:val="22"/>
              </w:rPr>
            </w:pPr>
            <w:r w:rsidRPr="00C577BA">
              <w:rPr>
                <w:rFonts w:cs="Arial"/>
                <w:sz w:val="22"/>
                <w:szCs w:val="22"/>
              </w:rPr>
              <w:t>Transmission and/or Distribution Service Providers (TDSPs)</w:t>
            </w:r>
          </w:p>
        </w:tc>
        <w:tc>
          <w:tcPr>
            <w:tcW w:w="1425" w:type="dxa"/>
            <w:tcBorders>
              <w:top w:val="single" w:sz="4" w:space="0" w:color="auto"/>
              <w:left w:val="single" w:sz="4" w:space="0" w:color="auto"/>
              <w:bottom w:val="single" w:sz="4" w:space="0" w:color="auto"/>
              <w:right w:val="single" w:sz="4" w:space="0" w:color="auto"/>
            </w:tcBorders>
          </w:tcPr>
          <w:p w14:paraId="30CB1EA9" w14:textId="43ECD2C0" w:rsidR="008B21E8" w:rsidRPr="009B2C64" w:rsidRDefault="008B21E8" w:rsidP="008B21E8">
            <w:pPr>
              <w:jc w:val="center"/>
              <w:rPr>
                <w:sz w:val="22"/>
                <w:szCs w:val="22"/>
              </w:rPr>
            </w:pPr>
            <w:r w:rsidRPr="00C577BA">
              <w:rPr>
                <w:color w:val="000000"/>
                <w:sz w:val="22"/>
                <w:szCs w:val="22"/>
              </w:rPr>
              <w:t>9.16.2</w:t>
            </w:r>
          </w:p>
        </w:tc>
        <w:tc>
          <w:tcPr>
            <w:tcW w:w="6400" w:type="dxa"/>
            <w:tcBorders>
              <w:top w:val="single" w:sz="4" w:space="0" w:color="auto"/>
              <w:left w:val="single" w:sz="4" w:space="0" w:color="auto"/>
              <w:bottom w:val="single" w:sz="4" w:space="0" w:color="auto"/>
              <w:right w:val="single" w:sz="4" w:space="0" w:color="auto"/>
            </w:tcBorders>
          </w:tcPr>
          <w:p w14:paraId="6F5DE3F8" w14:textId="77777777" w:rsidR="008B21E8" w:rsidRPr="00C577BA" w:rsidRDefault="008B21E8" w:rsidP="008B21E8">
            <w:pPr>
              <w:rPr>
                <w:color w:val="000000"/>
                <w:sz w:val="22"/>
                <w:szCs w:val="22"/>
              </w:rPr>
            </w:pPr>
            <w:r w:rsidRPr="00C577BA">
              <w:rPr>
                <w:color w:val="000000"/>
                <w:sz w:val="22"/>
                <w:szCs w:val="22"/>
              </w:rPr>
              <w:t>$500 per Entity</w:t>
            </w:r>
          </w:p>
          <w:p w14:paraId="7B63FFE6" w14:textId="77777777" w:rsidR="008B21E8" w:rsidRPr="009B2C64" w:rsidRDefault="008B21E8" w:rsidP="008B21E8">
            <w:pPr>
              <w:spacing w:after="240"/>
              <w:rPr>
                <w:color w:val="000000"/>
                <w:sz w:val="22"/>
                <w:szCs w:val="22"/>
              </w:rPr>
            </w:pPr>
          </w:p>
        </w:tc>
      </w:tr>
      <w:tr w:rsidR="001D14A6" w14:paraId="0BC37A3A"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2997BF24" w14:textId="40FCF9EC" w:rsidR="001D14A6" w:rsidRPr="00C577BA" w:rsidRDefault="001D14A6" w:rsidP="001D14A6">
            <w:pPr>
              <w:rPr>
                <w:rFonts w:cs="Arial"/>
                <w:sz w:val="22"/>
                <w:szCs w:val="22"/>
              </w:rPr>
            </w:pPr>
            <w:r w:rsidRPr="002B0524">
              <w:rPr>
                <w:color w:val="000000"/>
                <w:sz w:val="22"/>
                <w:szCs w:val="22"/>
              </w:rPr>
              <w:t xml:space="preserve">Counter-Party Background Check </w:t>
            </w:r>
            <w:r w:rsidR="004D5537">
              <w:rPr>
                <w:color w:val="000000"/>
                <w:sz w:val="22"/>
                <w:szCs w:val="22"/>
              </w:rPr>
              <w:t>f</w:t>
            </w:r>
            <w:r w:rsidRPr="002B0524">
              <w:rPr>
                <w:color w:val="000000"/>
                <w:sz w:val="22"/>
                <w:szCs w:val="22"/>
              </w:rPr>
              <w:t>ee</w:t>
            </w:r>
          </w:p>
        </w:tc>
        <w:tc>
          <w:tcPr>
            <w:tcW w:w="1425" w:type="dxa"/>
            <w:tcBorders>
              <w:top w:val="single" w:sz="4" w:space="0" w:color="auto"/>
              <w:left w:val="single" w:sz="4" w:space="0" w:color="auto"/>
              <w:bottom w:val="single" w:sz="4" w:space="0" w:color="auto"/>
              <w:right w:val="single" w:sz="4" w:space="0" w:color="auto"/>
            </w:tcBorders>
          </w:tcPr>
          <w:p w14:paraId="3D8C9661" w14:textId="751E58BD" w:rsidR="001D14A6" w:rsidRPr="00C577BA" w:rsidRDefault="001D14A6" w:rsidP="001D14A6">
            <w:pPr>
              <w:jc w:val="center"/>
              <w:rPr>
                <w:color w:val="000000"/>
                <w:sz w:val="22"/>
                <w:szCs w:val="22"/>
              </w:rPr>
            </w:pPr>
            <w:r w:rsidRPr="002B0524">
              <w:rPr>
                <w:color w:val="000000"/>
                <w:sz w:val="22"/>
                <w:szCs w:val="22"/>
              </w:rPr>
              <w:t>9.16.2</w:t>
            </w:r>
          </w:p>
        </w:tc>
        <w:tc>
          <w:tcPr>
            <w:tcW w:w="6400" w:type="dxa"/>
            <w:tcBorders>
              <w:top w:val="single" w:sz="4" w:space="0" w:color="auto"/>
              <w:left w:val="single" w:sz="4" w:space="0" w:color="auto"/>
              <w:bottom w:val="single" w:sz="4" w:space="0" w:color="auto"/>
              <w:right w:val="single" w:sz="4" w:space="0" w:color="auto"/>
            </w:tcBorders>
          </w:tcPr>
          <w:p w14:paraId="5571D9F5" w14:textId="283F45C5" w:rsidR="001D14A6" w:rsidRPr="00C577BA" w:rsidRDefault="001D14A6" w:rsidP="001D14A6">
            <w:pPr>
              <w:rPr>
                <w:color w:val="000000"/>
                <w:sz w:val="22"/>
                <w:szCs w:val="22"/>
              </w:rPr>
            </w:pPr>
            <w:r w:rsidRPr="002B0524">
              <w:rPr>
                <w:color w:val="000000"/>
                <w:sz w:val="22"/>
                <w:szCs w:val="22"/>
              </w:rPr>
              <w:t>$350 per Principal</w:t>
            </w:r>
          </w:p>
        </w:tc>
      </w:tr>
      <w:tr w:rsidR="003768EF" w14:paraId="712F9996"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3D93A37E" w14:textId="780758C7" w:rsidR="003768EF" w:rsidRDefault="003768EF" w:rsidP="003768EF">
            <w:pPr>
              <w:rPr>
                <w:color w:val="000000"/>
                <w:sz w:val="22"/>
                <w:szCs w:val="22"/>
              </w:rPr>
            </w:pPr>
            <w:r w:rsidRPr="009B2C64">
              <w:rPr>
                <w:color w:val="000000"/>
                <w:sz w:val="22"/>
                <w:szCs w:val="22"/>
              </w:rPr>
              <w:t>Weatherization Inspection fees</w:t>
            </w:r>
          </w:p>
        </w:tc>
        <w:tc>
          <w:tcPr>
            <w:tcW w:w="1425" w:type="dxa"/>
            <w:tcBorders>
              <w:top w:val="single" w:sz="4" w:space="0" w:color="auto"/>
              <w:left w:val="nil"/>
              <w:bottom w:val="single" w:sz="4" w:space="0" w:color="auto"/>
              <w:right w:val="single" w:sz="4" w:space="0" w:color="auto"/>
            </w:tcBorders>
          </w:tcPr>
          <w:p w14:paraId="4CE5C8C5" w14:textId="77777777" w:rsidR="003768EF" w:rsidRDefault="003768EF" w:rsidP="003768EF">
            <w:pPr>
              <w:jc w:val="center"/>
              <w:rPr>
                <w:sz w:val="22"/>
                <w:szCs w:val="22"/>
              </w:rPr>
            </w:pPr>
            <w:r w:rsidRPr="009B2C64">
              <w:rPr>
                <w:sz w:val="22"/>
                <w:szCs w:val="22"/>
              </w:rPr>
              <w:t>NA</w:t>
            </w:r>
          </w:p>
          <w:p w14:paraId="26541EC9" w14:textId="77777777" w:rsidR="003768EF" w:rsidRPr="00A41F8D" w:rsidRDefault="003768EF" w:rsidP="003768EF">
            <w:pPr>
              <w:rPr>
                <w:sz w:val="22"/>
                <w:szCs w:val="22"/>
              </w:rPr>
            </w:pPr>
          </w:p>
          <w:p w14:paraId="042DCA1B" w14:textId="77777777" w:rsidR="003768EF" w:rsidRPr="00A41F8D" w:rsidRDefault="003768EF" w:rsidP="003768EF">
            <w:pPr>
              <w:rPr>
                <w:sz w:val="22"/>
                <w:szCs w:val="22"/>
              </w:rPr>
            </w:pPr>
          </w:p>
          <w:p w14:paraId="63F3E499" w14:textId="77777777" w:rsidR="003768EF" w:rsidRDefault="003768EF" w:rsidP="003768EF">
            <w:pPr>
              <w:jc w:val="center"/>
              <w:rPr>
                <w:color w:val="000000"/>
                <w:sz w:val="22"/>
                <w:szCs w:val="22"/>
              </w:rPr>
            </w:pPr>
          </w:p>
        </w:tc>
        <w:tc>
          <w:tcPr>
            <w:tcW w:w="6400" w:type="dxa"/>
            <w:tcBorders>
              <w:top w:val="single" w:sz="4" w:space="0" w:color="auto"/>
              <w:left w:val="nil"/>
              <w:bottom w:val="single" w:sz="4" w:space="0" w:color="auto"/>
              <w:right w:val="single" w:sz="4" w:space="0" w:color="auto"/>
            </w:tcBorders>
          </w:tcPr>
          <w:p w14:paraId="6BAF336A" w14:textId="40A5826F" w:rsidR="003768EF" w:rsidRPr="009B2C64" w:rsidRDefault="003768EF" w:rsidP="003768EF">
            <w:pPr>
              <w:spacing w:after="240"/>
              <w:rPr>
                <w:color w:val="000000"/>
                <w:sz w:val="22"/>
                <w:szCs w:val="22"/>
              </w:rPr>
            </w:pPr>
            <w:r w:rsidRPr="009B2C64">
              <w:rPr>
                <w:color w:val="000000"/>
                <w:sz w:val="22"/>
                <w:szCs w:val="22"/>
              </w:rPr>
              <w:t>Resource Entities</w:t>
            </w:r>
            <w:r w:rsidR="008156B5">
              <w:rPr>
                <w:color w:val="000000"/>
                <w:sz w:val="22"/>
                <w:szCs w:val="22"/>
              </w:rPr>
              <w:t xml:space="preserve"> with </w:t>
            </w:r>
            <w:r w:rsidR="008156B5" w:rsidRPr="0070469B">
              <w:rPr>
                <w:color w:val="000000"/>
                <w:sz w:val="22"/>
                <w:szCs w:val="22"/>
              </w:rPr>
              <w:t xml:space="preserve">Generation Resources </w:t>
            </w:r>
            <w:r w:rsidR="008156B5">
              <w:rPr>
                <w:color w:val="000000"/>
                <w:sz w:val="22"/>
                <w:szCs w:val="22"/>
              </w:rPr>
              <w:t xml:space="preserve">or </w:t>
            </w:r>
            <w:r w:rsidR="008156B5" w:rsidRPr="0070469B">
              <w:rPr>
                <w:color w:val="000000"/>
                <w:sz w:val="22"/>
                <w:szCs w:val="22"/>
              </w:rPr>
              <w:t xml:space="preserve">Energy Storage Resources </w:t>
            </w:r>
            <w:r w:rsidR="008156B5">
              <w:rPr>
                <w:color w:val="000000"/>
                <w:sz w:val="22"/>
                <w:szCs w:val="22"/>
              </w:rPr>
              <w:t>(ESRs)</w:t>
            </w:r>
            <w:r w:rsidRPr="009B2C64">
              <w:rPr>
                <w:color w:val="000000"/>
                <w:sz w:val="22"/>
                <w:szCs w:val="22"/>
              </w:rPr>
              <w:t xml:space="preserve"> </w:t>
            </w:r>
            <w:r>
              <w:rPr>
                <w:color w:val="000000"/>
                <w:sz w:val="22"/>
                <w:szCs w:val="22"/>
              </w:rPr>
              <w:t>and Transmission Service Providers (TSPs)</w:t>
            </w:r>
            <w:r w:rsidRPr="009B2C64">
              <w:rPr>
                <w:color w:val="000000"/>
                <w:sz w:val="22"/>
                <w:szCs w:val="22"/>
              </w:rPr>
              <w:t xml:space="preserve"> shall pay fee</w:t>
            </w:r>
            <w:r>
              <w:rPr>
                <w:color w:val="000000"/>
                <w:sz w:val="22"/>
                <w:szCs w:val="22"/>
              </w:rPr>
              <w:t>s</w:t>
            </w:r>
            <w:r w:rsidRPr="009B2C64">
              <w:rPr>
                <w:color w:val="000000"/>
                <w:sz w:val="22"/>
                <w:szCs w:val="22"/>
              </w:rPr>
              <w:t xml:space="preserve"> to </w:t>
            </w:r>
            <w:r>
              <w:rPr>
                <w:color w:val="000000"/>
                <w:sz w:val="22"/>
                <w:szCs w:val="22"/>
              </w:rPr>
              <w:t>ERCOT for costs related to</w:t>
            </w:r>
            <w:r w:rsidRPr="009B2C64">
              <w:rPr>
                <w:color w:val="000000"/>
                <w:sz w:val="22"/>
                <w:szCs w:val="22"/>
              </w:rPr>
              <w:t xml:space="preserve"> weatherization inspection</w:t>
            </w:r>
            <w:r>
              <w:rPr>
                <w:color w:val="000000"/>
                <w:sz w:val="22"/>
                <w:szCs w:val="22"/>
              </w:rPr>
              <w:t>s</w:t>
            </w:r>
            <w:r w:rsidRPr="009B2C64">
              <w:rPr>
                <w:color w:val="000000"/>
                <w:sz w:val="22"/>
                <w:szCs w:val="22"/>
              </w:rPr>
              <w:t xml:space="preserve"> </w:t>
            </w:r>
            <w:r>
              <w:rPr>
                <w:color w:val="000000"/>
                <w:sz w:val="22"/>
                <w:szCs w:val="22"/>
              </w:rPr>
              <w:t xml:space="preserve">conducted </w:t>
            </w:r>
            <w:r w:rsidRPr="009B2C64">
              <w:rPr>
                <w:color w:val="000000"/>
                <w:sz w:val="22"/>
                <w:szCs w:val="22"/>
              </w:rPr>
              <w:t>pursuant to 16 Texas Administrative Code (TAC) § 25.55</w:t>
            </w:r>
            <w:r w:rsidR="0053630E">
              <w:rPr>
                <w:color w:val="000000"/>
                <w:sz w:val="22"/>
                <w:szCs w:val="22"/>
              </w:rPr>
              <w:t>, Weather Emergency Preparedness,</w:t>
            </w:r>
            <w:r>
              <w:rPr>
                <w:color w:val="000000"/>
                <w:sz w:val="22"/>
                <w:szCs w:val="22"/>
              </w:rPr>
              <w:t xml:space="preserve"> as provided below</w:t>
            </w:r>
            <w:r w:rsidRPr="009B2C64">
              <w:rPr>
                <w:color w:val="000000"/>
                <w:sz w:val="22"/>
                <w:szCs w:val="22"/>
              </w:rPr>
              <w:t xml:space="preserve">.     </w:t>
            </w:r>
          </w:p>
          <w:p w14:paraId="3B545FE5" w14:textId="77777777" w:rsidR="003768EF" w:rsidRDefault="003768EF" w:rsidP="003768EF">
            <w:pPr>
              <w:spacing w:after="240"/>
              <w:rPr>
                <w:color w:val="000000"/>
                <w:sz w:val="22"/>
                <w:szCs w:val="22"/>
              </w:rPr>
            </w:pPr>
            <w:r w:rsidRPr="009B2C64">
              <w:rPr>
                <w:color w:val="000000"/>
                <w:sz w:val="22"/>
                <w:szCs w:val="22"/>
              </w:rPr>
              <w:t xml:space="preserve">TSPs shall pay an inspection fee of $3,000 </w:t>
            </w:r>
            <w:r>
              <w:rPr>
                <w:color w:val="000000"/>
                <w:sz w:val="22"/>
                <w:szCs w:val="22"/>
              </w:rPr>
              <w:t>for each of their</w:t>
            </w:r>
            <w:r w:rsidRPr="009B2C64">
              <w:rPr>
                <w:color w:val="000000"/>
                <w:sz w:val="22"/>
                <w:szCs w:val="22"/>
              </w:rPr>
              <w:t xml:space="preserve"> substation</w:t>
            </w:r>
            <w:r>
              <w:rPr>
                <w:color w:val="000000"/>
                <w:sz w:val="22"/>
                <w:szCs w:val="22"/>
              </w:rPr>
              <w:t>s</w:t>
            </w:r>
            <w:r w:rsidRPr="009B2C64">
              <w:rPr>
                <w:color w:val="000000"/>
                <w:sz w:val="22"/>
                <w:szCs w:val="22"/>
              </w:rPr>
              <w:t xml:space="preserve"> or switching station</w:t>
            </w:r>
            <w:r>
              <w:rPr>
                <w:color w:val="000000"/>
                <w:sz w:val="22"/>
                <w:szCs w:val="22"/>
              </w:rPr>
              <w:t>s</w:t>
            </w:r>
            <w:r w:rsidRPr="009B2C64">
              <w:rPr>
                <w:color w:val="000000"/>
                <w:sz w:val="22"/>
                <w:szCs w:val="22"/>
              </w:rPr>
              <w:t xml:space="preserve"> </w:t>
            </w:r>
            <w:r>
              <w:rPr>
                <w:color w:val="000000"/>
                <w:sz w:val="22"/>
                <w:szCs w:val="22"/>
              </w:rPr>
              <w:t xml:space="preserve">that are </w:t>
            </w:r>
            <w:r w:rsidRPr="009B2C64">
              <w:rPr>
                <w:color w:val="000000"/>
                <w:sz w:val="22"/>
                <w:szCs w:val="22"/>
              </w:rPr>
              <w:t>inspected.</w:t>
            </w:r>
          </w:p>
          <w:p w14:paraId="2EEFADBB" w14:textId="28BF4CDC" w:rsidR="003768EF" w:rsidRDefault="003768EF" w:rsidP="003768EF">
            <w:pPr>
              <w:spacing w:after="240"/>
              <w:rPr>
                <w:color w:val="000000"/>
                <w:sz w:val="22"/>
                <w:szCs w:val="22"/>
              </w:rPr>
            </w:pPr>
            <w:r w:rsidRPr="00F931FD">
              <w:rPr>
                <w:color w:val="000000"/>
                <w:sz w:val="22"/>
                <w:szCs w:val="22"/>
              </w:rPr>
              <w:t>Each Resource Entity</w:t>
            </w:r>
            <w:r w:rsidR="008156B5">
              <w:rPr>
                <w:color w:val="000000"/>
                <w:sz w:val="22"/>
                <w:szCs w:val="22"/>
              </w:rPr>
              <w:t xml:space="preserve"> with </w:t>
            </w:r>
            <w:r w:rsidR="008156B5" w:rsidRPr="0070469B">
              <w:rPr>
                <w:color w:val="000000"/>
                <w:sz w:val="22"/>
                <w:szCs w:val="22"/>
              </w:rPr>
              <w:t xml:space="preserve">Generation Resources </w:t>
            </w:r>
            <w:r w:rsidR="008156B5">
              <w:rPr>
                <w:color w:val="000000"/>
                <w:sz w:val="22"/>
                <w:szCs w:val="22"/>
              </w:rPr>
              <w:t>or ESRs</w:t>
            </w:r>
            <w:r w:rsidRPr="00F931FD">
              <w:rPr>
                <w:color w:val="000000"/>
                <w:sz w:val="22"/>
                <w:szCs w:val="22"/>
              </w:rPr>
              <w:t xml:space="preserve"> shall pay an inspection fee calculated as the </w:t>
            </w:r>
            <w:r w:rsidR="00203085">
              <w:rPr>
                <w:color w:val="000000"/>
                <w:sz w:val="22"/>
                <w:szCs w:val="22"/>
              </w:rPr>
              <w:t>Semiannual</w:t>
            </w:r>
            <w:r w:rsidRPr="00F931FD">
              <w:rPr>
                <w:color w:val="000000"/>
                <w:sz w:val="22"/>
                <w:szCs w:val="22"/>
              </w:rPr>
              <w:t xml:space="preserve"> Generation Resource Inspection Costs</w:t>
            </w:r>
            <w:r>
              <w:rPr>
                <w:color w:val="000000"/>
                <w:sz w:val="22"/>
                <w:szCs w:val="22"/>
              </w:rPr>
              <w:t xml:space="preserve"> </w:t>
            </w:r>
            <w:r w:rsidRPr="00F931FD">
              <w:rPr>
                <w:color w:val="000000"/>
                <w:sz w:val="22"/>
                <w:szCs w:val="22"/>
              </w:rPr>
              <w:t>*</w:t>
            </w:r>
            <w:r>
              <w:rPr>
                <w:color w:val="000000"/>
                <w:sz w:val="22"/>
                <w:szCs w:val="22"/>
              </w:rPr>
              <w:t xml:space="preserve"> </w:t>
            </w:r>
            <w:r w:rsidRPr="00F931FD">
              <w:rPr>
                <w:color w:val="000000"/>
                <w:sz w:val="22"/>
                <w:szCs w:val="22"/>
              </w:rPr>
              <w:t xml:space="preserve">(Resource Entity MW Capacity/Aggregate MW Capacity).  ERCOT will perform this calculation </w:t>
            </w:r>
            <w:r w:rsidR="00203085">
              <w:rPr>
                <w:color w:val="000000"/>
                <w:sz w:val="22"/>
                <w:szCs w:val="22"/>
              </w:rPr>
              <w:t>twice per</w:t>
            </w:r>
            <w:r w:rsidRPr="00F931FD">
              <w:rPr>
                <w:color w:val="000000"/>
                <w:sz w:val="22"/>
                <w:szCs w:val="22"/>
              </w:rPr>
              <w:t xml:space="preserve"> calendar </w:t>
            </w:r>
            <w:r w:rsidR="00203085">
              <w:rPr>
                <w:color w:val="000000"/>
                <w:sz w:val="22"/>
                <w:szCs w:val="22"/>
              </w:rPr>
              <w:t>year</w:t>
            </w:r>
            <w:r w:rsidRPr="00F931FD">
              <w:rPr>
                <w:color w:val="000000"/>
                <w:sz w:val="22"/>
                <w:szCs w:val="22"/>
              </w:rPr>
              <w:t xml:space="preserve"> </w:t>
            </w:r>
            <w:r>
              <w:rPr>
                <w:color w:val="000000"/>
                <w:sz w:val="22"/>
                <w:szCs w:val="22"/>
              </w:rPr>
              <w:t xml:space="preserve">and gather the necessary MW capacity data for that </w:t>
            </w:r>
            <w:r w:rsidR="00203085">
              <w:rPr>
                <w:color w:val="000000"/>
                <w:sz w:val="22"/>
                <w:szCs w:val="22"/>
              </w:rPr>
              <w:t xml:space="preserve">six-month </w:t>
            </w:r>
            <w:r w:rsidR="00203085">
              <w:rPr>
                <w:color w:val="000000"/>
                <w:sz w:val="22"/>
                <w:szCs w:val="22"/>
              </w:rPr>
              <w:lastRenderedPageBreak/>
              <w:t>period</w:t>
            </w:r>
            <w:r>
              <w:rPr>
                <w:color w:val="000000"/>
                <w:sz w:val="22"/>
                <w:szCs w:val="22"/>
              </w:rPr>
              <w:t xml:space="preserve"> on one of the last 15 Business Days at the end of the </w:t>
            </w:r>
            <w:r w:rsidR="00203085">
              <w:rPr>
                <w:color w:val="000000"/>
                <w:sz w:val="22"/>
                <w:szCs w:val="22"/>
              </w:rPr>
              <w:t>period</w:t>
            </w:r>
            <w:r w:rsidRPr="00F931FD">
              <w:rPr>
                <w:color w:val="000000"/>
                <w:sz w:val="22"/>
                <w:szCs w:val="22"/>
              </w:rPr>
              <w:t>.  Terms used in this formula are defined as follows:</w:t>
            </w:r>
            <w:r>
              <w:rPr>
                <w:color w:val="000000"/>
                <w:sz w:val="22"/>
                <w:szCs w:val="22"/>
              </w:rPr>
              <w:t xml:space="preserve"> </w:t>
            </w:r>
          </w:p>
          <w:p w14:paraId="3BE8BB19" w14:textId="6E15621D" w:rsidR="003768EF" w:rsidRPr="00F931FD" w:rsidRDefault="00203085" w:rsidP="003768EF">
            <w:pPr>
              <w:spacing w:after="240"/>
              <w:rPr>
                <w:color w:val="000000"/>
                <w:sz w:val="22"/>
                <w:szCs w:val="22"/>
              </w:rPr>
            </w:pPr>
            <w:r>
              <w:rPr>
                <w:color w:val="000000"/>
                <w:sz w:val="22"/>
                <w:szCs w:val="22"/>
              </w:rPr>
              <w:t>Semiannual</w:t>
            </w:r>
            <w:r w:rsidR="003768EF" w:rsidRPr="00F931FD">
              <w:rPr>
                <w:color w:val="000000"/>
                <w:sz w:val="22"/>
                <w:szCs w:val="22"/>
              </w:rPr>
              <w:t xml:space="preserve"> Generation Resource Inspection Costs = the sum of outside services costs, ERCOT internal costs, and overhead costs related to weatherization inspections, less inspection fees that will be invoiced to TSPs</w:t>
            </w:r>
            <w:r>
              <w:rPr>
                <w:color w:val="000000"/>
                <w:sz w:val="22"/>
                <w:szCs w:val="22"/>
              </w:rPr>
              <w:t>,</w:t>
            </w:r>
            <w:r w:rsidR="003768EF" w:rsidRPr="00F931FD">
              <w:rPr>
                <w:color w:val="000000"/>
                <w:sz w:val="22"/>
                <w:szCs w:val="22"/>
              </w:rPr>
              <w:t xml:space="preserve"> for that </w:t>
            </w:r>
            <w:r>
              <w:rPr>
                <w:color w:val="000000"/>
                <w:sz w:val="22"/>
                <w:szCs w:val="22"/>
              </w:rPr>
              <w:t>six-month period</w:t>
            </w:r>
            <w:r w:rsidR="003768EF" w:rsidRPr="00F931FD">
              <w:rPr>
                <w:color w:val="000000"/>
                <w:sz w:val="22"/>
                <w:szCs w:val="22"/>
              </w:rPr>
              <w:t xml:space="preserve">.  </w:t>
            </w:r>
          </w:p>
          <w:p w14:paraId="6A5E7197" w14:textId="3D79180A" w:rsidR="003768EF" w:rsidRPr="00F931FD" w:rsidRDefault="003768EF" w:rsidP="003768EF">
            <w:pPr>
              <w:spacing w:after="240"/>
              <w:rPr>
                <w:color w:val="000000"/>
                <w:sz w:val="22"/>
                <w:szCs w:val="22"/>
              </w:rPr>
            </w:pPr>
            <w:r w:rsidRPr="00F931FD">
              <w:rPr>
                <w:color w:val="000000"/>
                <w:sz w:val="22"/>
                <w:szCs w:val="22"/>
              </w:rPr>
              <w:t>Resource Entity MW Capacity = the total MW capacity associated with a Resource Entity</w:t>
            </w:r>
            <w:r w:rsidR="008156B5">
              <w:rPr>
                <w:color w:val="000000"/>
                <w:sz w:val="22"/>
                <w:szCs w:val="22"/>
              </w:rPr>
              <w:t xml:space="preserve"> with </w:t>
            </w:r>
            <w:r w:rsidR="008156B5" w:rsidRPr="0070469B">
              <w:rPr>
                <w:color w:val="000000"/>
                <w:sz w:val="22"/>
                <w:szCs w:val="22"/>
              </w:rPr>
              <w:t xml:space="preserve">Generation Resources </w:t>
            </w:r>
            <w:r w:rsidR="008156B5">
              <w:rPr>
                <w:color w:val="000000"/>
                <w:sz w:val="22"/>
                <w:szCs w:val="22"/>
              </w:rPr>
              <w:t>or</w:t>
            </w:r>
            <w:r w:rsidR="008156B5" w:rsidRPr="0070469B">
              <w:rPr>
                <w:color w:val="000000"/>
                <w:sz w:val="22"/>
                <w:szCs w:val="22"/>
              </w:rPr>
              <w:t xml:space="preserve"> </w:t>
            </w:r>
            <w:r w:rsidR="008156B5">
              <w:rPr>
                <w:color w:val="000000"/>
                <w:sz w:val="22"/>
                <w:szCs w:val="22"/>
              </w:rPr>
              <w:t>ESRs</w:t>
            </w:r>
            <w:r w:rsidRPr="00F931FD">
              <w:rPr>
                <w:color w:val="000000"/>
                <w:sz w:val="22"/>
                <w:szCs w:val="22"/>
              </w:rPr>
              <w:t>.  To calculate these amounts, ERCOT will query the Resource Integration and Ongoing Operations-Resource</w:t>
            </w:r>
            <w:r>
              <w:rPr>
                <w:color w:val="000000"/>
                <w:sz w:val="22"/>
                <w:szCs w:val="22"/>
              </w:rPr>
              <w:t xml:space="preserve"> </w:t>
            </w:r>
            <w:r w:rsidRPr="00F931FD">
              <w:rPr>
                <w:color w:val="000000"/>
                <w:sz w:val="22"/>
                <w:szCs w:val="22"/>
              </w:rPr>
              <w:t>Services (</w:t>
            </w:r>
            <w:r>
              <w:rPr>
                <w:color w:val="000000"/>
                <w:sz w:val="22"/>
                <w:szCs w:val="22"/>
              </w:rPr>
              <w:t>“</w:t>
            </w:r>
            <w:r w:rsidRPr="00F931FD">
              <w:rPr>
                <w:color w:val="000000"/>
                <w:sz w:val="22"/>
                <w:szCs w:val="22"/>
              </w:rPr>
              <w:t>RIOO-RS</w:t>
            </w:r>
            <w:r>
              <w:rPr>
                <w:color w:val="000000"/>
                <w:sz w:val="22"/>
                <w:szCs w:val="22"/>
              </w:rPr>
              <w:t>”</w:t>
            </w:r>
            <w:r w:rsidRPr="00F931FD">
              <w:rPr>
                <w:color w:val="000000"/>
                <w:sz w:val="22"/>
                <w:szCs w:val="22"/>
              </w:rPr>
              <w:t>) for a report that lists the total MW capacity (real power rating) for all generation assets associated with each Resource Entity.</w:t>
            </w:r>
          </w:p>
          <w:p w14:paraId="4438A0F2" w14:textId="6DE25BC4" w:rsidR="003768EF" w:rsidRPr="009B2C64" w:rsidRDefault="003768EF" w:rsidP="003768EF">
            <w:pPr>
              <w:spacing w:after="240"/>
              <w:rPr>
                <w:color w:val="000000"/>
                <w:sz w:val="22"/>
                <w:szCs w:val="22"/>
              </w:rPr>
            </w:pPr>
            <w:r w:rsidRPr="00F931FD">
              <w:rPr>
                <w:color w:val="000000"/>
                <w:sz w:val="22"/>
                <w:szCs w:val="22"/>
              </w:rPr>
              <w:t xml:space="preserve">Aggregate MW Capacity = the total of all the Resource Entity MW Capacity amounts. </w:t>
            </w:r>
            <w:r>
              <w:rPr>
                <w:color w:val="000000"/>
                <w:sz w:val="22"/>
                <w:szCs w:val="22"/>
              </w:rPr>
              <w:t xml:space="preserve"> </w:t>
            </w:r>
            <w:r w:rsidRPr="00F931FD">
              <w:rPr>
                <w:color w:val="000000"/>
                <w:sz w:val="22"/>
                <w:szCs w:val="22"/>
              </w:rPr>
              <w:t xml:space="preserve">To calculate this amount, ERCOT will query the RIOO-RS for a report that lists the total MW capacity (real power rating) for all </w:t>
            </w:r>
            <w:r w:rsidR="008156B5" w:rsidRPr="0070469B">
              <w:rPr>
                <w:color w:val="000000"/>
                <w:sz w:val="22"/>
                <w:szCs w:val="22"/>
              </w:rPr>
              <w:t xml:space="preserve">Generation Resources and </w:t>
            </w:r>
            <w:r w:rsidR="008156B5">
              <w:rPr>
                <w:color w:val="000000"/>
                <w:sz w:val="22"/>
                <w:szCs w:val="22"/>
              </w:rPr>
              <w:t>ESRs</w:t>
            </w:r>
            <w:r w:rsidRPr="00F931FD">
              <w:rPr>
                <w:color w:val="000000"/>
                <w:sz w:val="22"/>
                <w:szCs w:val="22"/>
              </w:rPr>
              <w:t xml:space="preserve"> associated with all Resource Entities.</w:t>
            </w:r>
          </w:p>
          <w:p w14:paraId="1E95BAE5" w14:textId="22694557" w:rsidR="003768EF" w:rsidRDefault="003768EF" w:rsidP="003768EF">
            <w:pPr>
              <w:rPr>
                <w:color w:val="000000"/>
                <w:sz w:val="22"/>
                <w:szCs w:val="22"/>
              </w:rPr>
            </w:pPr>
            <w:r w:rsidRPr="009B2C64">
              <w:rPr>
                <w:color w:val="000000"/>
                <w:sz w:val="22"/>
                <w:szCs w:val="22"/>
              </w:rPr>
              <w:t xml:space="preserve">ERCOT will </w:t>
            </w:r>
            <w:r>
              <w:rPr>
                <w:color w:val="000000"/>
                <w:sz w:val="22"/>
                <w:szCs w:val="22"/>
              </w:rPr>
              <w:t>issue</w:t>
            </w:r>
            <w:r w:rsidRPr="009B2C64">
              <w:rPr>
                <w:color w:val="000000"/>
                <w:sz w:val="22"/>
                <w:szCs w:val="22"/>
              </w:rPr>
              <w:t xml:space="preserve"> </w:t>
            </w:r>
            <w:r>
              <w:rPr>
                <w:color w:val="000000"/>
                <w:sz w:val="22"/>
                <w:szCs w:val="22"/>
              </w:rPr>
              <w:t>I</w:t>
            </w:r>
            <w:r w:rsidRPr="009B2C64">
              <w:rPr>
                <w:color w:val="000000"/>
                <w:sz w:val="22"/>
                <w:szCs w:val="22"/>
              </w:rPr>
              <w:t>nvoice</w:t>
            </w:r>
            <w:r>
              <w:rPr>
                <w:color w:val="000000"/>
                <w:sz w:val="22"/>
                <w:szCs w:val="22"/>
              </w:rPr>
              <w:t>s</w:t>
            </w:r>
            <w:r w:rsidRPr="009B2C64">
              <w:rPr>
                <w:color w:val="000000"/>
                <w:sz w:val="22"/>
                <w:szCs w:val="22"/>
              </w:rPr>
              <w:t xml:space="preserve"> </w:t>
            </w:r>
            <w:r w:rsidR="00203085">
              <w:rPr>
                <w:color w:val="000000"/>
                <w:sz w:val="22"/>
                <w:szCs w:val="22"/>
              </w:rPr>
              <w:t xml:space="preserve">semiannually </w:t>
            </w:r>
            <w:r w:rsidRPr="009B2C64">
              <w:rPr>
                <w:color w:val="000000"/>
                <w:sz w:val="22"/>
                <w:szCs w:val="22"/>
              </w:rPr>
              <w:t xml:space="preserve">in </w:t>
            </w:r>
            <w:r w:rsidR="00203085" w:rsidRPr="00FA381C">
              <w:rPr>
                <w:color w:val="000000"/>
                <w:sz w:val="22"/>
                <w:szCs w:val="22"/>
              </w:rPr>
              <w:t>the months of J</w:t>
            </w:r>
            <w:r w:rsidR="00203085">
              <w:rPr>
                <w:color w:val="000000"/>
                <w:sz w:val="22"/>
                <w:szCs w:val="22"/>
              </w:rPr>
              <w:t>anuary</w:t>
            </w:r>
            <w:r w:rsidR="00203085" w:rsidRPr="00FA381C">
              <w:rPr>
                <w:color w:val="000000"/>
                <w:sz w:val="22"/>
                <w:szCs w:val="22"/>
              </w:rPr>
              <w:t xml:space="preserve"> and </w:t>
            </w:r>
            <w:r w:rsidR="00203085">
              <w:rPr>
                <w:color w:val="000000"/>
                <w:sz w:val="22"/>
                <w:szCs w:val="22"/>
              </w:rPr>
              <w:t>July for the preceding six-month period</w:t>
            </w:r>
            <w:r w:rsidRPr="009B2C64">
              <w:rPr>
                <w:color w:val="000000"/>
                <w:sz w:val="22"/>
                <w:szCs w:val="22"/>
              </w:rPr>
              <w:t xml:space="preserve"> to the Resource </w:t>
            </w:r>
            <w:r>
              <w:rPr>
                <w:color w:val="000000"/>
                <w:sz w:val="22"/>
                <w:szCs w:val="22"/>
              </w:rPr>
              <w:t>Entities</w:t>
            </w:r>
            <w:r w:rsidRPr="009B2C64">
              <w:rPr>
                <w:color w:val="000000"/>
                <w:sz w:val="22"/>
                <w:szCs w:val="22"/>
              </w:rPr>
              <w:t xml:space="preserve"> </w:t>
            </w:r>
            <w:r>
              <w:rPr>
                <w:color w:val="000000"/>
                <w:sz w:val="22"/>
                <w:szCs w:val="22"/>
              </w:rPr>
              <w:t>and</w:t>
            </w:r>
            <w:r w:rsidRPr="009B2C64">
              <w:rPr>
                <w:color w:val="000000"/>
                <w:sz w:val="22"/>
                <w:szCs w:val="22"/>
              </w:rPr>
              <w:t xml:space="preserve"> TSP</w:t>
            </w:r>
            <w:r>
              <w:rPr>
                <w:color w:val="000000"/>
                <w:sz w:val="22"/>
                <w:szCs w:val="22"/>
              </w:rPr>
              <w:t>s that owe inspection fees</w:t>
            </w:r>
            <w:r w:rsidRPr="009B2C64">
              <w:rPr>
                <w:color w:val="000000"/>
                <w:sz w:val="22"/>
                <w:szCs w:val="22"/>
              </w:rPr>
              <w:t xml:space="preserve">.  Payment of the fee will be due within 30 days </w:t>
            </w:r>
            <w:r>
              <w:rPr>
                <w:color w:val="000000"/>
                <w:sz w:val="22"/>
                <w:szCs w:val="22"/>
              </w:rPr>
              <w:t xml:space="preserve">of the Invoice date </w:t>
            </w:r>
            <w:r w:rsidRPr="009B2C64">
              <w:rPr>
                <w:color w:val="000000"/>
                <w:sz w:val="22"/>
                <w:szCs w:val="22"/>
              </w:rPr>
              <w:t xml:space="preserve">and late payments will incur </w:t>
            </w:r>
            <w:r>
              <w:rPr>
                <w:color w:val="000000"/>
                <w:sz w:val="22"/>
                <w:szCs w:val="22"/>
              </w:rPr>
              <w:t>18</w:t>
            </w:r>
            <w:r w:rsidRPr="009B2C64">
              <w:rPr>
                <w:color w:val="000000"/>
                <w:sz w:val="22"/>
                <w:szCs w:val="22"/>
              </w:rPr>
              <w:t xml:space="preserve">% annual interest.  </w:t>
            </w:r>
            <w:r>
              <w:rPr>
                <w:color w:val="000000"/>
                <w:sz w:val="22"/>
                <w:szCs w:val="22"/>
              </w:rPr>
              <w:t xml:space="preserve">Entities that fail to pay their Invoice on time will be publicly reported in a filing with the </w:t>
            </w:r>
            <w:r w:rsidR="00F96C41">
              <w:rPr>
                <w:color w:val="000000"/>
                <w:sz w:val="22"/>
                <w:szCs w:val="22"/>
              </w:rPr>
              <w:t>Public Utility Commission of Texas (</w:t>
            </w:r>
            <w:r>
              <w:rPr>
                <w:color w:val="000000"/>
                <w:sz w:val="22"/>
                <w:szCs w:val="22"/>
              </w:rPr>
              <w:t>PUCT</w:t>
            </w:r>
            <w:r w:rsidR="00F96C41">
              <w:rPr>
                <w:color w:val="000000"/>
                <w:sz w:val="22"/>
                <w:szCs w:val="22"/>
              </w:rPr>
              <w:t>)</w:t>
            </w:r>
            <w:r>
              <w:rPr>
                <w:color w:val="000000"/>
                <w:sz w:val="22"/>
                <w:szCs w:val="22"/>
              </w:rPr>
              <w:t xml:space="preserve">.  </w:t>
            </w:r>
            <w:r w:rsidRPr="009B2C64">
              <w:rPr>
                <w:color w:val="000000"/>
                <w:sz w:val="22"/>
                <w:szCs w:val="22"/>
              </w:rPr>
              <w:t xml:space="preserve">Further payment terms and instructions will be included on the </w:t>
            </w:r>
            <w:r>
              <w:rPr>
                <w:color w:val="000000"/>
                <w:sz w:val="22"/>
                <w:szCs w:val="22"/>
              </w:rPr>
              <w:t>I</w:t>
            </w:r>
            <w:r w:rsidRPr="009B2C64">
              <w:rPr>
                <w:color w:val="000000"/>
                <w:sz w:val="22"/>
                <w:szCs w:val="22"/>
              </w:rPr>
              <w:t>nvoice.</w:t>
            </w:r>
          </w:p>
        </w:tc>
      </w:tr>
      <w:tr w:rsidR="00F36F5F" w14:paraId="5284AD0D"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17EFB8F2" w14:textId="77777777" w:rsidR="00F36F5F" w:rsidRDefault="00F36F5F">
            <w:pPr>
              <w:rPr>
                <w:color w:val="000000"/>
                <w:sz w:val="22"/>
                <w:szCs w:val="22"/>
              </w:rPr>
            </w:pPr>
            <w:r>
              <w:rPr>
                <w:color w:val="000000"/>
                <w:sz w:val="22"/>
                <w:szCs w:val="22"/>
              </w:rPr>
              <w:lastRenderedPageBreak/>
              <w:t>Voluminous Copy fee</w:t>
            </w:r>
          </w:p>
        </w:tc>
        <w:tc>
          <w:tcPr>
            <w:tcW w:w="1425" w:type="dxa"/>
            <w:tcBorders>
              <w:top w:val="single" w:sz="4" w:space="0" w:color="auto"/>
              <w:left w:val="nil"/>
              <w:bottom w:val="single" w:sz="4" w:space="0" w:color="auto"/>
              <w:right w:val="single" w:sz="4" w:space="0" w:color="auto"/>
            </w:tcBorders>
          </w:tcPr>
          <w:p w14:paraId="6296D887" w14:textId="77777777" w:rsidR="00F36F5F" w:rsidRDefault="00F36F5F">
            <w:pPr>
              <w:jc w:val="center"/>
              <w:rPr>
                <w:color w:val="000000"/>
                <w:sz w:val="22"/>
                <w:szCs w:val="22"/>
              </w:rPr>
            </w:pPr>
            <w:r>
              <w:rPr>
                <w:color w:val="000000"/>
                <w:sz w:val="22"/>
                <w:szCs w:val="22"/>
              </w:rPr>
              <w:t>NA</w:t>
            </w:r>
          </w:p>
        </w:tc>
        <w:tc>
          <w:tcPr>
            <w:tcW w:w="6400" w:type="dxa"/>
            <w:tcBorders>
              <w:top w:val="single" w:sz="4" w:space="0" w:color="auto"/>
              <w:left w:val="nil"/>
              <w:bottom w:val="single" w:sz="4" w:space="0" w:color="auto"/>
              <w:right w:val="single" w:sz="4" w:space="0" w:color="auto"/>
            </w:tcBorders>
          </w:tcPr>
          <w:p w14:paraId="4FFDB139" w14:textId="77777777" w:rsidR="00F36F5F" w:rsidRDefault="00F36F5F">
            <w:pPr>
              <w:rPr>
                <w:color w:val="000000"/>
                <w:sz w:val="22"/>
                <w:szCs w:val="22"/>
              </w:rPr>
            </w:pPr>
            <w:r>
              <w:rPr>
                <w:color w:val="000000"/>
                <w:sz w:val="22"/>
                <w:szCs w:val="22"/>
              </w:rPr>
              <w:t>$0.15 per page in excess of 50 pages</w:t>
            </w:r>
          </w:p>
        </w:tc>
      </w:tr>
      <w:tr w:rsidR="008B21E8" w14:paraId="3C1CDCC6"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22C8D576" w14:textId="7155251B" w:rsidR="008B21E8" w:rsidRDefault="008B21E8" w:rsidP="008B21E8">
            <w:pPr>
              <w:rPr>
                <w:color w:val="000000"/>
                <w:sz w:val="22"/>
                <w:szCs w:val="22"/>
              </w:rPr>
            </w:pPr>
            <w:r w:rsidRPr="00C577BA">
              <w:rPr>
                <w:color w:val="000000"/>
                <w:sz w:val="22"/>
                <w:szCs w:val="22"/>
              </w:rPr>
              <w:t xml:space="preserve">Actual Costs associated with Information Requests </w:t>
            </w:r>
          </w:p>
        </w:tc>
        <w:tc>
          <w:tcPr>
            <w:tcW w:w="1425" w:type="dxa"/>
            <w:tcBorders>
              <w:top w:val="single" w:sz="4" w:space="0" w:color="auto"/>
              <w:left w:val="nil"/>
              <w:bottom w:val="single" w:sz="4" w:space="0" w:color="auto"/>
              <w:right w:val="single" w:sz="4" w:space="0" w:color="auto"/>
            </w:tcBorders>
          </w:tcPr>
          <w:p w14:paraId="0DB1D28F" w14:textId="6A7D6628" w:rsidR="008B21E8" w:rsidRDefault="008B21E8" w:rsidP="008B21E8">
            <w:pPr>
              <w:jc w:val="center"/>
              <w:rPr>
                <w:color w:val="000000"/>
                <w:sz w:val="22"/>
                <w:szCs w:val="22"/>
              </w:rPr>
            </w:pPr>
            <w:r w:rsidRPr="00C577BA">
              <w:rPr>
                <w:color w:val="000000"/>
                <w:sz w:val="22"/>
                <w:szCs w:val="22"/>
              </w:rPr>
              <w:t>NA</w:t>
            </w:r>
          </w:p>
        </w:tc>
        <w:tc>
          <w:tcPr>
            <w:tcW w:w="6400" w:type="dxa"/>
            <w:tcBorders>
              <w:top w:val="single" w:sz="4" w:space="0" w:color="auto"/>
              <w:left w:val="nil"/>
              <w:bottom w:val="single" w:sz="4" w:space="0" w:color="auto"/>
              <w:right w:val="single" w:sz="4" w:space="0" w:color="auto"/>
            </w:tcBorders>
          </w:tcPr>
          <w:p w14:paraId="79E75E62" w14:textId="67C4F55B" w:rsidR="008B21E8" w:rsidRDefault="008B21E8" w:rsidP="008B21E8">
            <w:pPr>
              <w:rPr>
                <w:color w:val="000000"/>
                <w:sz w:val="22"/>
                <w:szCs w:val="22"/>
              </w:rPr>
            </w:pPr>
            <w:r w:rsidRPr="00C577BA">
              <w:rPr>
                <w:color w:val="000000"/>
                <w:sz w:val="22"/>
                <w:szCs w:val="22"/>
              </w:rPr>
              <w:t xml:space="preserve">ERCOT will provide an estimate to the requestor of any vendor or third-party costs ERCOT deems appropriate to fulfill the information request.  If the requestor approves the cost estimate, the requestor must pay all such costs as instructed by ERCOT before the information will be delivered to the requestor. </w:t>
            </w:r>
          </w:p>
        </w:tc>
      </w:tr>
      <w:tr w:rsidR="008B21E8" w14:paraId="5FC90AFE"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7A76FFD8" w14:textId="0A058252" w:rsidR="008B21E8" w:rsidRDefault="008B21E8" w:rsidP="008B21E8">
            <w:pPr>
              <w:rPr>
                <w:color w:val="000000"/>
                <w:sz w:val="22"/>
                <w:szCs w:val="22"/>
              </w:rPr>
            </w:pPr>
            <w:r w:rsidRPr="00C577BA">
              <w:rPr>
                <w:color w:val="000000"/>
                <w:sz w:val="22"/>
                <w:szCs w:val="22"/>
              </w:rPr>
              <w:t>ERCOT Labor Costs for Information Requests</w:t>
            </w:r>
          </w:p>
        </w:tc>
        <w:tc>
          <w:tcPr>
            <w:tcW w:w="1425" w:type="dxa"/>
            <w:tcBorders>
              <w:top w:val="single" w:sz="4" w:space="0" w:color="auto"/>
              <w:left w:val="nil"/>
              <w:bottom w:val="single" w:sz="4" w:space="0" w:color="auto"/>
              <w:right w:val="single" w:sz="4" w:space="0" w:color="auto"/>
            </w:tcBorders>
          </w:tcPr>
          <w:p w14:paraId="4241F6A8" w14:textId="10654A99" w:rsidR="008B21E8" w:rsidRDefault="008B21E8" w:rsidP="008B21E8">
            <w:pPr>
              <w:jc w:val="center"/>
              <w:rPr>
                <w:color w:val="000000"/>
                <w:sz w:val="22"/>
                <w:szCs w:val="22"/>
              </w:rPr>
            </w:pPr>
            <w:r w:rsidRPr="00C577BA">
              <w:rPr>
                <w:color w:val="000000"/>
                <w:sz w:val="22"/>
                <w:szCs w:val="22"/>
              </w:rPr>
              <w:t>NA</w:t>
            </w:r>
          </w:p>
        </w:tc>
        <w:tc>
          <w:tcPr>
            <w:tcW w:w="6400" w:type="dxa"/>
            <w:tcBorders>
              <w:top w:val="single" w:sz="4" w:space="0" w:color="auto"/>
              <w:left w:val="nil"/>
              <w:bottom w:val="single" w:sz="4" w:space="0" w:color="auto"/>
              <w:right w:val="single" w:sz="4" w:space="0" w:color="auto"/>
            </w:tcBorders>
          </w:tcPr>
          <w:p w14:paraId="18EB9C03" w14:textId="77777777" w:rsidR="008B21E8" w:rsidRPr="00C577BA" w:rsidRDefault="008B21E8" w:rsidP="00F73A29">
            <w:pPr>
              <w:spacing w:after="120"/>
              <w:rPr>
                <w:color w:val="000000"/>
                <w:sz w:val="22"/>
                <w:szCs w:val="22"/>
              </w:rPr>
            </w:pPr>
            <w:r w:rsidRPr="00C577BA">
              <w:rPr>
                <w:color w:val="000000"/>
                <w:sz w:val="22"/>
                <w:szCs w:val="22"/>
              </w:rPr>
              <w:t>$15 per hour of ERCOT time.</w:t>
            </w:r>
          </w:p>
          <w:p w14:paraId="77A0682A" w14:textId="21CCDD0F" w:rsidR="008B21E8" w:rsidRDefault="008B21E8" w:rsidP="008B21E8">
            <w:pPr>
              <w:rPr>
                <w:color w:val="000000"/>
                <w:sz w:val="22"/>
                <w:szCs w:val="22"/>
              </w:rPr>
            </w:pPr>
            <w:r w:rsidRPr="00C577BA">
              <w:rPr>
                <w:color w:val="000000"/>
                <w:sz w:val="22"/>
                <w:szCs w:val="22"/>
              </w:rPr>
              <w:t>If ERCOT determines that a request will involve a substantial burden on ERCOT employee or contractor time to fulfill the request, ERCOT will provide an estimate to the requestor of the anticipated labor costs.  If the requestor approves the cost estimate, the requestor must pay all such labor costs as instructed by ERCOT before the information will be delivered to the requestor.</w:t>
            </w:r>
          </w:p>
        </w:tc>
      </w:tr>
      <w:tr w:rsidR="008B21E8" w14:paraId="4DF6651B"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4AF09B8E" w14:textId="4B49443E" w:rsidR="008B21E8" w:rsidRDefault="008B21E8" w:rsidP="008B21E8">
            <w:pPr>
              <w:rPr>
                <w:color w:val="000000"/>
                <w:sz w:val="22"/>
                <w:szCs w:val="22"/>
              </w:rPr>
            </w:pPr>
            <w:r w:rsidRPr="00C577BA">
              <w:rPr>
                <w:color w:val="000000"/>
                <w:sz w:val="22"/>
                <w:szCs w:val="22"/>
              </w:rPr>
              <w:t xml:space="preserve">ERCOT Training fees for courses that award Continuing Education Hours (CEHs) </w:t>
            </w:r>
          </w:p>
        </w:tc>
        <w:tc>
          <w:tcPr>
            <w:tcW w:w="1425" w:type="dxa"/>
            <w:tcBorders>
              <w:top w:val="single" w:sz="4" w:space="0" w:color="auto"/>
              <w:left w:val="nil"/>
              <w:bottom w:val="single" w:sz="4" w:space="0" w:color="auto"/>
              <w:right w:val="single" w:sz="4" w:space="0" w:color="auto"/>
            </w:tcBorders>
          </w:tcPr>
          <w:p w14:paraId="0B8C6198" w14:textId="54CBD66A" w:rsidR="008B21E8" w:rsidRDefault="008B21E8" w:rsidP="008B21E8">
            <w:pPr>
              <w:jc w:val="center"/>
              <w:rPr>
                <w:color w:val="000000"/>
                <w:sz w:val="22"/>
                <w:szCs w:val="22"/>
              </w:rPr>
            </w:pPr>
            <w:r w:rsidRPr="00C577BA">
              <w:rPr>
                <w:color w:val="000000"/>
                <w:sz w:val="22"/>
                <w:szCs w:val="22"/>
              </w:rPr>
              <w:t>NA</w:t>
            </w:r>
          </w:p>
        </w:tc>
        <w:tc>
          <w:tcPr>
            <w:tcW w:w="6400" w:type="dxa"/>
            <w:tcBorders>
              <w:top w:val="single" w:sz="4" w:space="0" w:color="auto"/>
              <w:left w:val="nil"/>
              <w:bottom w:val="single" w:sz="4" w:space="0" w:color="auto"/>
              <w:right w:val="single" w:sz="4" w:space="0" w:color="auto"/>
            </w:tcBorders>
          </w:tcPr>
          <w:p w14:paraId="2AED7CD2" w14:textId="77777777" w:rsidR="008B21E8" w:rsidRPr="00C577BA" w:rsidRDefault="008B21E8" w:rsidP="00F73A29">
            <w:pPr>
              <w:spacing w:after="120"/>
              <w:rPr>
                <w:color w:val="000000"/>
                <w:sz w:val="22"/>
                <w:szCs w:val="22"/>
              </w:rPr>
            </w:pPr>
            <w:r w:rsidRPr="00C577BA">
              <w:rPr>
                <w:color w:val="000000"/>
                <w:sz w:val="22"/>
                <w:szCs w:val="22"/>
              </w:rPr>
              <w:t>$25 per North American Electric Reliability Corporation (NERC) CEH.</w:t>
            </w:r>
            <w:r w:rsidRPr="00C577BA">
              <w:t xml:space="preserve"> </w:t>
            </w:r>
            <w:r w:rsidRPr="00C577BA">
              <w:rPr>
                <w:color w:val="000000"/>
                <w:sz w:val="22"/>
                <w:szCs w:val="22"/>
              </w:rPr>
              <w:t xml:space="preserve"> </w:t>
            </w:r>
          </w:p>
          <w:p w14:paraId="2388B0E1" w14:textId="73DA55BC" w:rsidR="008B21E8" w:rsidRDefault="008B21E8" w:rsidP="008B21E8">
            <w:pPr>
              <w:rPr>
                <w:color w:val="000000"/>
                <w:sz w:val="22"/>
                <w:szCs w:val="22"/>
              </w:rPr>
            </w:pPr>
            <w:r w:rsidRPr="00C577BA">
              <w:rPr>
                <w:color w:val="000000"/>
                <w:sz w:val="22"/>
                <w:szCs w:val="22"/>
              </w:rPr>
              <w:t>Examples of such trainings include, without limitation, the Operator Training Seminar and Black Start Training.</w:t>
            </w:r>
          </w:p>
        </w:tc>
      </w:tr>
      <w:tr w:rsidR="008B21E8" w14:paraId="5B466B5B" w14:textId="77777777" w:rsidTr="008B21E8">
        <w:trPr>
          <w:trHeight w:val="510"/>
        </w:trPr>
        <w:tc>
          <w:tcPr>
            <w:tcW w:w="1925" w:type="dxa"/>
            <w:tcBorders>
              <w:top w:val="single" w:sz="4" w:space="0" w:color="auto"/>
              <w:left w:val="single" w:sz="4" w:space="0" w:color="auto"/>
              <w:bottom w:val="single" w:sz="4" w:space="0" w:color="auto"/>
              <w:right w:val="single" w:sz="4" w:space="0" w:color="auto"/>
            </w:tcBorders>
          </w:tcPr>
          <w:p w14:paraId="2712FB45" w14:textId="1A17F826" w:rsidR="008B21E8" w:rsidRDefault="008B21E8" w:rsidP="008B21E8">
            <w:pPr>
              <w:rPr>
                <w:color w:val="000000"/>
                <w:sz w:val="22"/>
                <w:szCs w:val="22"/>
              </w:rPr>
            </w:pPr>
            <w:r w:rsidRPr="00C577BA">
              <w:rPr>
                <w:color w:val="000000"/>
                <w:sz w:val="22"/>
                <w:szCs w:val="22"/>
              </w:rPr>
              <w:t xml:space="preserve">Cybersecurity Monitor fee for Non-ERCOT </w:t>
            </w:r>
            <w:r w:rsidRPr="00C577BA">
              <w:rPr>
                <w:color w:val="000000"/>
                <w:sz w:val="22"/>
                <w:szCs w:val="22"/>
              </w:rPr>
              <w:lastRenderedPageBreak/>
              <w:t>Utilities that participate in the</w:t>
            </w:r>
            <w:r w:rsidRPr="00C577BA">
              <w:t xml:space="preserve"> </w:t>
            </w:r>
            <w:r w:rsidRPr="00C577BA">
              <w:rPr>
                <w:color w:val="000000"/>
                <w:sz w:val="22"/>
                <w:szCs w:val="22"/>
              </w:rPr>
              <w:t>Texas Cybersecurity Monitor Program</w:t>
            </w:r>
          </w:p>
        </w:tc>
        <w:tc>
          <w:tcPr>
            <w:tcW w:w="1425" w:type="dxa"/>
            <w:tcBorders>
              <w:top w:val="single" w:sz="4" w:space="0" w:color="auto"/>
              <w:left w:val="nil"/>
              <w:bottom w:val="single" w:sz="4" w:space="0" w:color="auto"/>
              <w:right w:val="single" w:sz="4" w:space="0" w:color="auto"/>
            </w:tcBorders>
          </w:tcPr>
          <w:p w14:paraId="1E3E5AE3" w14:textId="24977E2E" w:rsidR="008B21E8" w:rsidRDefault="008B21E8" w:rsidP="008B21E8">
            <w:pPr>
              <w:jc w:val="center"/>
              <w:rPr>
                <w:color w:val="000000"/>
                <w:sz w:val="22"/>
                <w:szCs w:val="22"/>
              </w:rPr>
            </w:pPr>
            <w:r w:rsidRPr="00C577BA">
              <w:rPr>
                <w:color w:val="000000"/>
                <w:sz w:val="22"/>
                <w:szCs w:val="22"/>
              </w:rPr>
              <w:lastRenderedPageBreak/>
              <w:t>NA</w:t>
            </w:r>
          </w:p>
        </w:tc>
        <w:tc>
          <w:tcPr>
            <w:tcW w:w="6400" w:type="dxa"/>
            <w:tcBorders>
              <w:top w:val="single" w:sz="4" w:space="0" w:color="auto"/>
              <w:left w:val="nil"/>
              <w:bottom w:val="single" w:sz="4" w:space="0" w:color="auto"/>
              <w:right w:val="single" w:sz="4" w:space="0" w:color="auto"/>
            </w:tcBorders>
          </w:tcPr>
          <w:p w14:paraId="62D08346" w14:textId="77777777" w:rsidR="008B21E8" w:rsidRPr="00C577BA" w:rsidRDefault="008B21E8" w:rsidP="008B21E8">
            <w:pPr>
              <w:rPr>
                <w:color w:val="000000"/>
                <w:sz w:val="22"/>
                <w:szCs w:val="22"/>
              </w:rPr>
            </w:pPr>
            <w:r w:rsidRPr="00C577BA">
              <w:rPr>
                <w:color w:val="000000"/>
                <w:sz w:val="22"/>
                <w:szCs w:val="22"/>
              </w:rPr>
              <w:t xml:space="preserve">The Cybersecurity Monitor fee amount varies from year to year. </w:t>
            </w:r>
            <w:r>
              <w:rPr>
                <w:color w:val="000000"/>
                <w:sz w:val="22"/>
                <w:szCs w:val="22"/>
              </w:rPr>
              <w:t xml:space="preserve"> </w:t>
            </w:r>
            <w:r w:rsidRPr="00C577BA">
              <w:rPr>
                <w:color w:val="000000"/>
                <w:sz w:val="22"/>
                <w:szCs w:val="22"/>
              </w:rPr>
              <w:t>The current fee amount is posted on ERCOT’s website here:</w:t>
            </w:r>
          </w:p>
          <w:p w14:paraId="74490917" w14:textId="77777777" w:rsidR="008B21E8" w:rsidRPr="00C577BA" w:rsidRDefault="008B21E8" w:rsidP="008B21E8">
            <w:pPr>
              <w:rPr>
                <w:color w:val="000000"/>
                <w:sz w:val="22"/>
                <w:szCs w:val="22"/>
              </w:rPr>
            </w:pPr>
          </w:p>
          <w:p w14:paraId="5931819E" w14:textId="30EEB071" w:rsidR="008B21E8" w:rsidRDefault="00A8396F" w:rsidP="008B21E8">
            <w:pPr>
              <w:rPr>
                <w:color w:val="000000"/>
                <w:sz w:val="22"/>
                <w:szCs w:val="22"/>
              </w:rPr>
            </w:pPr>
            <w:hyperlink r:id="rId7" w:history="1">
              <w:r w:rsidR="008B21E8" w:rsidRPr="00C577BA">
                <w:rPr>
                  <w:color w:val="0000FF"/>
                  <w:sz w:val="22"/>
                  <w:szCs w:val="22"/>
                  <w:u w:val="single"/>
                </w:rPr>
                <w:t>https://www.ercot.com/services/programs/tcmp</w:t>
              </w:r>
            </w:hyperlink>
          </w:p>
        </w:tc>
      </w:tr>
    </w:tbl>
    <w:p w14:paraId="46EFA14A" w14:textId="77777777" w:rsidR="008427B1" w:rsidRPr="006C62EF" w:rsidRDefault="008427B1">
      <w:pPr>
        <w:pStyle w:val="BodyText"/>
      </w:pPr>
    </w:p>
    <w:sectPr w:rsidR="008427B1" w:rsidRPr="006C62EF">
      <w:footerReference w:type="default" r:id="rId8"/>
      <w:pgSz w:w="12240" w:h="15840" w:code="1"/>
      <w:pgMar w:top="1152" w:right="1440" w:bottom="1296"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1E664" w14:textId="77777777" w:rsidR="00C12D30" w:rsidRDefault="00C12D30">
      <w:r>
        <w:separator/>
      </w:r>
    </w:p>
    <w:p w14:paraId="12B091BA" w14:textId="77777777" w:rsidR="00C12D30" w:rsidRDefault="00C12D30"/>
  </w:endnote>
  <w:endnote w:type="continuationSeparator" w:id="0">
    <w:p w14:paraId="369A4F08" w14:textId="77777777" w:rsidR="00C12D30" w:rsidRDefault="00C12D30">
      <w:r>
        <w:continuationSeparator/>
      </w:r>
    </w:p>
    <w:p w14:paraId="58D6AD9D" w14:textId="77777777" w:rsidR="00C12D30" w:rsidRDefault="00C12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F8DE" w14:textId="5C7F3CED" w:rsidR="000D6F36" w:rsidRDefault="000D6F36" w:rsidP="007D5AC7">
    <w:pPr>
      <w:pStyle w:val="Footer"/>
      <w:spacing w:before="0" w:after="0"/>
      <w:jc w:val="center"/>
    </w:pPr>
    <w:r>
      <w:t xml:space="preserve">ERCOT Fee Schedule – </w:t>
    </w:r>
    <w:r w:rsidR="002C399B">
      <w:t>Dec</w:t>
    </w:r>
    <w:r w:rsidR="00DE3A2C">
      <w:t>ember</w:t>
    </w:r>
    <w:r w:rsidR="00754049">
      <w:t xml:space="preserve"> </w:t>
    </w:r>
    <w:r w:rsidR="00A8396F">
      <w:t>20</w:t>
    </w:r>
    <w:r w:rsidR="000B612E">
      <w:t xml:space="preserve">, </w:t>
    </w:r>
    <w:proofErr w:type="gramStart"/>
    <w:r w:rsidR="000B612E">
      <w:t>20</w:t>
    </w:r>
    <w:r w:rsidR="00A41F8D">
      <w:t>2</w:t>
    </w:r>
    <w:r w:rsidR="004E311D">
      <w:t>3</w:t>
    </w:r>
    <w:proofErr w:type="gramEnd"/>
    <w:r>
      <w:tab/>
    </w:r>
    <w:r>
      <w:tab/>
      <w:t xml:space="preserve">Page </w:t>
    </w:r>
    <w:r>
      <w:fldChar w:fldCharType="begin"/>
    </w:r>
    <w:r>
      <w:instrText xml:space="preserve"> PAGE </w:instrText>
    </w:r>
    <w:r>
      <w:fldChar w:fldCharType="separate"/>
    </w:r>
    <w:r w:rsidR="005404BD">
      <w:rPr>
        <w:noProof/>
      </w:rPr>
      <w:t>1</w:t>
    </w:r>
    <w:r>
      <w:fldChar w:fldCharType="end"/>
    </w:r>
    <w:r>
      <w:t xml:space="preserve"> of </w:t>
    </w:r>
    <w:r w:rsidR="00A8396F">
      <w:fldChar w:fldCharType="begin"/>
    </w:r>
    <w:r w:rsidR="00A8396F">
      <w:instrText xml:space="preserve"> NUMPAGES </w:instrText>
    </w:r>
    <w:r w:rsidR="00A8396F">
      <w:fldChar w:fldCharType="separate"/>
    </w:r>
    <w:r w:rsidR="005404BD">
      <w:rPr>
        <w:noProof/>
      </w:rPr>
      <w:t>1</w:t>
    </w:r>
    <w:r w:rsidR="00A8396F">
      <w:rPr>
        <w:noProof/>
      </w:rPr>
      <w:fldChar w:fldCharType="end"/>
    </w:r>
  </w:p>
  <w:p w14:paraId="2FB85210" w14:textId="77777777" w:rsidR="000D6F36" w:rsidRPr="007D5AC7" w:rsidRDefault="000D6F36" w:rsidP="007D5AC7">
    <w:pPr>
      <w:jc w:val="center"/>
      <w:rPr>
        <w:sz w:val="20"/>
      </w:rPr>
    </w:pPr>
    <w:r w:rsidRPr="007D5AC7">
      <w:rPr>
        <w:sz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A7CD" w14:textId="77777777" w:rsidR="00C12D30" w:rsidRDefault="00C12D30">
      <w:r>
        <w:separator/>
      </w:r>
    </w:p>
    <w:p w14:paraId="22794375" w14:textId="77777777" w:rsidR="00C12D30" w:rsidRDefault="00C12D30"/>
  </w:footnote>
  <w:footnote w:type="continuationSeparator" w:id="0">
    <w:p w14:paraId="0A87ABB9" w14:textId="77777777" w:rsidR="00C12D30" w:rsidRDefault="00C12D30">
      <w:r>
        <w:continuationSeparator/>
      </w:r>
    </w:p>
    <w:p w14:paraId="11D39ECB" w14:textId="77777777" w:rsidR="00C12D30" w:rsidRDefault="00C12D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4A3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52BF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A2DB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F8C3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76F1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6247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0C2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743D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94E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AD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11" w15:restartNumberingAfterBreak="0">
    <w:nsid w:val="00474B90"/>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0E866E2"/>
    <w:multiLevelType w:val="multilevel"/>
    <w:tmpl w:val="136803B8"/>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134639B"/>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5E4D0A"/>
    <w:multiLevelType w:val="multilevel"/>
    <w:tmpl w:val="4328D4C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7C349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DD363E"/>
    <w:multiLevelType w:val="hybridMultilevel"/>
    <w:tmpl w:val="4816E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40B4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B17412D"/>
    <w:multiLevelType w:val="multilevel"/>
    <w:tmpl w:val="737E134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4C1AB9"/>
    <w:multiLevelType w:val="multilevel"/>
    <w:tmpl w:val="4D4E01F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0154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6F0B0E"/>
    <w:multiLevelType w:val="multilevel"/>
    <w:tmpl w:val="B778143E"/>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9E5411C"/>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D0247AE"/>
    <w:multiLevelType w:val="multilevel"/>
    <w:tmpl w:val="633674A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F335921"/>
    <w:multiLevelType w:val="multilevel"/>
    <w:tmpl w:val="479A345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27D7AF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FD6A5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1B2DB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F2910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67A5874"/>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6A372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95675FF"/>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9D57125"/>
    <w:multiLevelType w:val="multilevel"/>
    <w:tmpl w:val="A90CDAA2"/>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A492FB2"/>
    <w:multiLevelType w:val="multilevel"/>
    <w:tmpl w:val="E8F8349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9E23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A4C12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num w:numId="1" w16cid:durableId="1107627065">
    <w:abstractNumId w:val="39"/>
  </w:num>
  <w:num w:numId="2" w16cid:durableId="332534813">
    <w:abstractNumId w:val="10"/>
  </w:num>
  <w:num w:numId="3" w16cid:durableId="168640752">
    <w:abstractNumId w:val="13"/>
  </w:num>
  <w:num w:numId="4" w16cid:durableId="241107696">
    <w:abstractNumId w:val="11"/>
  </w:num>
  <w:num w:numId="5" w16cid:durableId="1786923160">
    <w:abstractNumId w:val="18"/>
  </w:num>
  <w:num w:numId="6" w16cid:durableId="1234506580">
    <w:abstractNumId w:val="31"/>
  </w:num>
  <w:num w:numId="7" w16cid:durableId="1867668807">
    <w:abstractNumId w:val="16"/>
  </w:num>
  <w:num w:numId="8" w16cid:durableId="979460786">
    <w:abstractNumId w:val="32"/>
  </w:num>
  <w:num w:numId="9" w16cid:durableId="464350044">
    <w:abstractNumId w:val="37"/>
  </w:num>
  <w:num w:numId="10" w16cid:durableId="485127160">
    <w:abstractNumId w:val="30"/>
  </w:num>
  <w:num w:numId="11" w16cid:durableId="468978038">
    <w:abstractNumId w:val="15"/>
  </w:num>
  <w:num w:numId="12" w16cid:durableId="1466660316">
    <w:abstractNumId w:val="28"/>
  </w:num>
  <w:num w:numId="13" w16cid:durableId="421802807">
    <w:abstractNumId w:val="22"/>
  </w:num>
  <w:num w:numId="14" w16cid:durableId="984745848">
    <w:abstractNumId w:val="27"/>
  </w:num>
  <w:num w:numId="15" w16cid:durableId="2024671532">
    <w:abstractNumId w:val="9"/>
  </w:num>
  <w:num w:numId="16" w16cid:durableId="339239634">
    <w:abstractNumId w:val="7"/>
  </w:num>
  <w:num w:numId="17" w16cid:durableId="1749113669">
    <w:abstractNumId w:val="6"/>
  </w:num>
  <w:num w:numId="18" w16cid:durableId="1013609206">
    <w:abstractNumId w:val="5"/>
  </w:num>
  <w:num w:numId="19" w16cid:durableId="1066998747">
    <w:abstractNumId w:val="4"/>
  </w:num>
  <w:num w:numId="20" w16cid:durableId="228148991">
    <w:abstractNumId w:val="8"/>
  </w:num>
  <w:num w:numId="21" w16cid:durableId="1216233370">
    <w:abstractNumId w:val="3"/>
  </w:num>
  <w:num w:numId="22" w16cid:durableId="319579596">
    <w:abstractNumId w:val="2"/>
  </w:num>
  <w:num w:numId="23" w16cid:durableId="1702243734">
    <w:abstractNumId w:val="1"/>
  </w:num>
  <w:num w:numId="24" w16cid:durableId="197276511">
    <w:abstractNumId w:val="0"/>
  </w:num>
  <w:num w:numId="25" w16cid:durableId="547650615">
    <w:abstractNumId w:val="34"/>
  </w:num>
  <w:num w:numId="26" w16cid:durableId="449907114">
    <w:abstractNumId w:val="36"/>
  </w:num>
  <w:num w:numId="27" w16cid:durableId="615721671">
    <w:abstractNumId w:val="38"/>
  </w:num>
  <w:num w:numId="28" w16cid:durableId="767506576">
    <w:abstractNumId w:val="23"/>
  </w:num>
  <w:num w:numId="29" w16cid:durableId="392506795">
    <w:abstractNumId w:val="26"/>
  </w:num>
  <w:num w:numId="30" w16cid:durableId="332221140">
    <w:abstractNumId w:val="12"/>
  </w:num>
  <w:num w:numId="31" w16cid:durableId="1432431640">
    <w:abstractNumId w:val="25"/>
  </w:num>
  <w:num w:numId="32" w16cid:durableId="251085219">
    <w:abstractNumId w:val="20"/>
  </w:num>
  <w:num w:numId="33" w16cid:durableId="1560896710">
    <w:abstractNumId w:val="21"/>
  </w:num>
  <w:num w:numId="34" w16cid:durableId="1220440791">
    <w:abstractNumId w:val="35"/>
  </w:num>
  <w:num w:numId="35" w16cid:durableId="146945683">
    <w:abstractNumId w:val="33"/>
  </w:num>
  <w:num w:numId="36" w16cid:durableId="1445491602">
    <w:abstractNumId w:val="19"/>
  </w:num>
  <w:num w:numId="37" w16cid:durableId="900024730">
    <w:abstractNumId w:val="24"/>
  </w:num>
  <w:num w:numId="38" w16cid:durableId="1011370301">
    <w:abstractNumId w:val="29"/>
  </w:num>
  <w:num w:numId="39" w16cid:durableId="64569961">
    <w:abstractNumId w:val="14"/>
  </w:num>
  <w:num w:numId="40" w16cid:durableId="10833359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C7"/>
    <w:rsid w:val="0000206B"/>
    <w:rsid w:val="000217A6"/>
    <w:rsid w:val="000256DD"/>
    <w:rsid w:val="00045478"/>
    <w:rsid w:val="00073D87"/>
    <w:rsid w:val="000930D3"/>
    <w:rsid w:val="000A1CD7"/>
    <w:rsid w:val="000A318B"/>
    <w:rsid w:val="000A4CE5"/>
    <w:rsid w:val="000B612E"/>
    <w:rsid w:val="000D1362"/>
    <w:rsid w:val="000D6F36"/>
    <w:rsid w:val="000E09F8"/>
    <w:rsid w:val="000F313E"/>
    <w:rsid w:val="00116B20"/>
    <w:rsid w:val="00117D3F"/>
    <w:rsid w:val="001257DC"/>
    <w:rsid w:val="001626B8"/>
    <w:rsid w:val="00172B10"/>
    <w:rsid w:val="00185BFC"/>
    <w:rsid w:val="001915C3"/>
    <w:rsid w:val="00191947"/>
    <w:rsid w:val="001964EF"/>
    <w:rsid w:val="001970F8"/>
    <w:rsid w:val="001B018D"/>
    <w:rsid w:val="001D14A6"/>
    <w:rsid w:val="001E029D"/>
    <w:rsid w:val="00203085"/>
    <w:rsid w:val="00214E73"/>
    <w:rsid w:val="00222575"/>
    <w:rsid w:val="0023544D"/>
    <w:rsid w:val="002453D3"/>
    <w:rsid w:val="002515D4"/>
    <w:rsid w:val="002650C2"/>
    <w:rsid w:val="002654E1"/>
    <w:rsid w:val="002729D8"/>
    <w:rsid w:val="00282663"/>
    <w:rsid w:val="00287205"/>
    <w:rsid w:val="002A0898"/>
    <w:rsid w:val="002A23EF"/>
    <w:rsid w:val="002C399B"/>
    <w:rsid w:val="002C783A"/>
    <w:rsid w:val="002D4CC0"/>
    <w:rsid w:val="002D5E2C"/>
    <w:rsid w:val="002E2746"/>
    <w:rsid w:val="002E4A11"/>
    <w:rsid w:val="00314564"/>
    <w:rsid w:val="00323D26"/>
    <w:rsid w:val="00324C5A"/>
    <w:rsid w:val="0033323D"/>
    <w:rsid w:val="00340E73"/>
    <w:rsid w:val="00342B0E"/>
    <w:rsid w:val="003768EF"/>
    <w:rsid w:val="00377A7F"/>
    <w:rsid w:val="00393155"/>
    <w:rsid w:val="003C1245"/>
    <w:rsid w:val="003D2FBB"/>
    <w:rsid w:val="003D44AF"/>
    <w:rsid w:val="003D4C15"/>
    <w:rsid w:val="003F3E64"/>
    <w:rsid w:val="00403A9A"/>
    <w:rsid w:val="0042118A"/>
    <w:rsid w:val="004249C7"/>
    <w:rsid w:val="00430726"/>
    <w:rsid w:val="00433341"/>
    <w:rsid w:val="004449B7"/>
    <w:rsid w:val="00451E4E"/>
    <w:rsid w:val="00452951"/>
    <w:rsid w:val="0047160F"/>
    <w:rsid w:val="00493D44"/>
    <w:rsid w:val="00496113"/>
    <w:rsid w:val="00496B29"/>
    <w:rsid w:val="004D5537"/>
    <w:rsid w:val="004E2E7C"/>
    <w:rsid w:val="004E311D"/>
    <w:rsid w:val="004E57E9"/>
    <w:rsid w:val="004F55D5"/>
    <w:rsid w:val="00514E37"/>
    <w:rsid w:val="0053630E"/>
    <w:rsid w:val="005404BD"/>
    <w:rsid w:val="00543A70"/>
    <w:rsid w:val="00581CB1"/>
    <w:rsid w:val="0058314E"/>
    <w:rsid w:val="00587DA1"/>
    <w:rsid w:val="005A0450"/>
    <w:rsid w:val="005D1554"/>
    <w:rsid w:val="005E1CED"/>
    <w:rsid w:val="0060036E"/>
    <w:rsid w:val="00610669"/>
    <w:rsid w:val="00617EEA"/>
    <w:rsid w:val="00627869"/>
    <w:rsid w:val="006425FA"/>
    <w:rsid w:val="00653C21"/>
    <w:rsid w:val="00654412"/>
    <w:rsid w:val="006638A0"/>
    <w:rsid w:val="00665050"/>
    <w:rsid w:val="006B263A"/>
    <w:rsid w:val="0070590C"/>
    <w:rsid w:val="00705C52"/>
    <w:rsid w:val="00744E24"/>
    <w:rsid w:val="00754049"/>
    <w:rsid w:val="007728D6"/>
    <w:rsid w:val="0078414C"/>
    <w:rsid w:val="007A3131"/>
    <w:rsid w:val="007C50B2"/>
    <w:rsid w:val="007C7119"/>
    <w:rsid w:val="007D5AC7"/>
    <w:rsid w:val="007D62C1"/>
    <w:rsid w:val="007F1B28"/>
    <w:rsid w:val="007F1E16"/>
    <w:rsid w:val="007F600C"/>
    <w:rsid w:val="00804C43"/>
    <w:rsid w:val="008072D7"/>
    <w:rsid w:val="008145E5"/>
    <w:rsid w:val="008156B5"/>
    <w:rsid w:val="00840A23"/>
    <w:rsid w:val="008427B1"/>
    <w:rsid w:val="008478CA"/>
    <w:rsid w:val="00865A11"/>
    <w:rsid w:val="00873E76"/>
    <w:rsid w:val="00876421"/>
    <w:rsid w:val="00892E78"/>
    <w:rsid w:val="008935B8"/>
    <w:rsid w:val="008B21E8"/>
    <w:rsid w:val="008C2380"/>
    <w:rsid w:val="008D69CA"/>
    <w:rsid w:val="008D7A5A"/>
    <w:rsid w:val="008F4C5C"/>
    <w:rsid w:val="00907867"/>
    <w:rsid w:val="009424ED"/>
    <w:rsid w:val="009858C2"/>
    <w:rsid w:val="009949E5"/>
    <w:rsid w:val="009962A0"/>
    <w:rsid w:val="009A0F4B"/>
    <w:rsid w:val="009C5B2F"/>
    <w:rsid w:val="009C5CCC"/>
    <w:rsid w:val="009C5EE1"/>
    <w:rsid w:val="009D2696"/>
    <w:rsid w:val="00A10ECC"/>
    <w:rsid w:val="00A1392C"/>
    <w:rsid w:val="00A177F9"/>
    <w:rsid w:val="00A36257"/>
    <w:rsid w:val="00A37966"/>
    <w:rsid w:val="00A41F8D"/>
    <w:rsid w:val="00A527F4"/>
    <w:rsid w:val="00A5686A"/>
    <w:rsid w:val="00A61B99"/>
    <w:rsid w:val="00A80273"/>
    <w:rsid w:val="00A8396F"/>
    <w:rsid w:val="00AA254A"/>
    <w:rsid w:val="00AD5CC9"/>
    <w:rsid w:val="00AF5A81"/>
    <w:rsid w:val="00AF7F14"/>
    <w:rsid w:val="00B035C4"/>
    <w:rsid w:val="00B052E8"/>
    <w:rsid w:val="00B06890"/>
    <w:rsid w:val="00B31C28"/>
    <w:rsid w:val="00B5252E"/>
    <w:rsid w:val="00B52B11"/>
    <w:rsid w:val="00B74D2B"/>
    <w:rsid w:val="00B9448D"/>
    <w:rsid w:val="00BA4944"/>
    <w:rsid w:val="00BD780E"/>
    <w:rsid w:val="00BE1E3B"/>
    <w:rsid w:val="00BE7580"/>
    <w:rsid w:val="00C10969"/>
    <w:rsid w:val="00C12D30"/>
    <w:rsid w:val="00C22901"/>
    <w:rsid w:val="00C278A3"/>
    <w:rsid w:val="00C54B98"/>
    <w:rsid w:val="00C71297"/>
    <w:rsid w:val="00C76959"/>
    <w:rsid w:val="00C81CAE"/>
    <w:rsid w:val="00C97D5A"/>
    <w:rsid w:val="00CA4C79"/>
    <w:rsid w:val="00CC0FD9"/>
    <w:rsid w:val="00CC2F4E"/>
    <w:rsid w:val="00CD7468"/>
    <w:rsid w:val="00CE49F5"/>
    <w:rsid w:val="00D100F4"/>
    <w:rsid w:val="00D10983"/>
    <w:rsid w:val="00D354DA"/>
    <w:rsid w:val="00D443C5"/>
    <w:rsid w:val="00D468E0"/>
    <w:rsid w:val="00D473CE"/>
    <w:rsid w:val="00D474BD"/>
    <w:rsid w:val="00D558C3"/>
    <w:rsid w:val="00D70788"/>
    <w:rsid w:val="00D779E4"/>
    <w:rsid w:val="00D81333"/>
    <w:rsid w:val="00D825D4"/>
    <w:rsid w:val="00D86A4E"/>
    <w:rsid w:val="00D93B13"/>
    <w:rsid w:val="00DA7D83"/>
    <w:rsid w:val="00DB5CF7"/>
    <w:rsid w:val="00DB79A0"/>
    <w:rsid w:val="00DE0FF9"/>
    <w:rsid w:val="00DE3A2C"/>
    <w:rsid w:val="00E05B16"/>
    <w:rsid w:val="00E11930"/>
    <w:rsid w:val="00E14F20"/>
    <w:rsid w:val="00E308E5"/>
    <w:rsid w:val="00E3275D"/>
    <w:rsid w:val="00E417F0"/>
    <w:rsid w:val="00E51353"/>
    <w:rsid w:val="00E53487"/>
    <w:rsid w:val="00E60026"/>
    <w:rsid w:val="00E61723"/>
    <w:rsid w:val="00E95EFE"/>
    <w:rsid w:val="00EA58E9"/>
    <w:rsid w:val="00EB201D"/>
    <w:rsid w:val="00EC73B0"/>
    <w:rsid w:val="00EF209E"/>
    <w:rsid w:val="00EF411E"/>
    <w:rsid w:val="00F01E82"/>
    <w:rsid w:val="00F23CD6"/>
    <w:rsid w:val="00F36F5F"/>
    <w:rsid w:val="00F73A29"/>
    <w:rsid w:val="00F82824"/>
    <w:rsid w:val="00F8420C"/>
    <w:rsid w:val="00F8711F"/>
    <w:rsid w:val="00F95CD4"/>
    <w:rsid w:val="00F96C41"/>
    <w:rsid w:val="00FB3CE6"/>
    <w:rsid w:val="00FC10B5"/>
    <w:rsid w:val="00FC3478"/>
    <w:rsid w:val="00FD0E3A"/>
    <w:rsid w:val="00FE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6FDD2"/>
  <w15:chartTrackingRefBased/>
  <w15:docId w15:val="{DE9DE746-D66E-49D2-8403-1C1B06C6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numPr>
        <w:numId w:val="25"/>
      </w:numPr>
      <w:tabs>
        <w:tab w:val="clear" w:pos="432"/>
        <w:tab w:val="num" w:pos="540"/>
      </w:tabs>
      <w:spacing w:after="240"/>
      <w:ind w:left="540" w:hanging="540"/>
      <w:outlineLvl w:val="0"/>
    </w:pPr>
    <w:rPr>
      <w:b/>
      <w:caps/>
    </w:rPr>
  </w:style>
  <w:style w:type="paragraph" w:styleId="Heading2">
    <w:name w:val="heading 2"/>
    <w:basedOn w:val="Normal"/>
    <w:next w:val="BodyText"/>
    <w:qFormat/>
    <w:pPr>
      <w:keepNext/>
      <w:numPr>
        <w:ilvl w:val="1"/>
        <w:numId w:val="25"/>
      </w:numPr>
      <w:tabs>
        <w:tab w:val="left" w:pos="720"/>
      </w:tabs>
      <w:spacing w:before="240" w:after="240"/>
      <w:outlineLvl w:val="1"/>
    </w:pPr>
    <w:rPr>
      <w:b/>
    </w:rPr>
  </w:style>
  <w:style w:type="paragraph" w:styleId="Heading3">
    <w:name w:val="heading 3"/>
    <w:basedOn w:val="Normal"/>
    <w:next w:val="BodyText"/>
    <w:qFormat/>
    <w:pPr>
      <w:keepNext/>
      <w:numPr>
        <w:ilvl w:val="2"/>
        <w:numId w:val="25"/>
      </w:numPr>
      <w:tabs>
        <w:tab w:val="left" w:pos="1008"/>
      </w:tabs>
      <w:spacing w:before="240" w:after="240"/>
      <w:outlineLvl w:val="2"/>
    </w:pPr>
    <w:rPr>
      <w:b/>
      <w:bCs/>
      <w:i/>
    </w:rPr>
  </w:style>
  <w:style w:type="paragraph" w:styleId="Heading4">
    <w:name w:val="heading 4"/>
    <w:basedOn w:val="Normal"/>
    <w:next w:val="BodyText"/>
    <w:qFormat/>
    <w:pPr>
      <w:keepNext/>
      <w:widowControl w:val="0"/>
      <w:numPr>
        <w:ilvl w:val="3"/>
        <w:numId w:val="25"/>
      </w:numPr>
      <w:tabs>
        <w:tab w:val="left" w:pos="1296"/>
      </w:tabs>
      <w:spacing w:before="240" w:after="240"/>
      <w:outlineLvl w:val="3"/>
    </w:pPr>
    <w:rPr>
      <w:b/>
      <w:bCs/>
      <w:snapToGrid w:val="0"/>
    </w:rPr>
  </w:style>
  <w:style w:type="paragraph" w:styleId="Heading5">
    <w:name w:val="heading 5"/>
    <w:basedOn w:val="Normal"/>
    <w:next w:val="BodyText"/>
    <w:qFormat/>
    <w:pPr>
      <w:keepNext/>
      <w:numPr>
        <w:ilvl w:val="4"/>
        <w:numId w:val="25"/>
      </w:numPr>
      <w:tabs>
        <w:tab w:val="left" w:pos="1440"/>
      </w:tabs>
      <w:spacing w:before="240" w:after="240"/>
      <w:outlineLvl w:val="4"/>
    </w:pPr>
    <w:rPr>
      <w:b/>
      <w:bCs/>
      <w:i/>
      <w:iCs/>
      <w:szCs w:val="26"/>
    </w:rPr>
  </w:style>
  <w:style w:type="paragraph" w:styleId="Heading6">
    <w:name w:val="heading 6"/>
    <w:basedOn w:val="Normal"/>
    <w:next w:val="BodyText"/>
    <w:qFormat/>
    <w:pPr>
      <w:keepNext/>
      <w:numPr>
        <w:ilvl w:val="5"/>
        <w:numId w:val="25"/>
      </w:numPr>
      <w:tabs>
        <w:tab w:val="left" w:pos="1584"/>
      </w:tabs>
      <w:spacing w:before="240" w:after="240"/>
      <w:outlineLvl w:val="5"/>
    </w:pPr>
    <w:rPr>
      <w:b/>
      <w:bCs/>
      <w:szCs w:val="22"/>
    </w:rPr>
  </w:style>
  <w:style w:type="paragraph" w:styleId="Heading7">
    <w:name w:val="heading 7"/>
    <w:basedOn w:val="Normal"/>
    <w:next w:val="BodyText"/>
    <w:qFormat/>
    <w:pPr>
      <w:keepNext/>
      <w:numPr>
        <w:ilvl w:val="6"/>
        <w:numId w:val="25"/>
      </w:numPr>
      <w:tabs>
        <w:tab w:val="left" w:pos="1728"/>
      </w:tabs>
      <w:spacing w:before="240" w:after="240"/>
      <w:outlineLvl w:val="6"/>
    </w:pPr>
    <w:rPr>
      <w:szCs w:val="24"/>
    </w:rPr>
  </w:style>
  <w:style w:type="paragraph" w:styleId="Heading8">
    <w:name w:val="heading 8"/>
    <w:basedOn w:val="Normal"/>
    <w:next w:val="BodyText"/>
    <w:qFormat/>
    <w:pPr>
      <w:keepNext/>
      <w:numPr>
        <w:ilvl w:val="7"/>
        <w:numId w:val="25"/>
      </w:numPr>
      <w:tabs>
        <w:tab w:val="left" w:pos="1872"/>
      </w:tabs>
      <w:spacing w:before="240" w:after="240"/>
      <w:outlineLvl w:val="7"/>
    </w:pPr>
    <w:rPr>
      <w:i/>
      <w:iCs/>
      <w:szCs w:val="24"/>
    </w:rPr>
  </w:style>
  <w:style w:type="paragraph" w:styleId="Heading9">
    <w:name w:val="heading 9"/>
    <w:basedOn w:val="Normal"/>
    <w:next w:val="BodyText"/>
    <w:qFormat/>
    <w:pPr>
      <w:keepNext/>
      <w:numPr>
        <w:ilvl w:val="8"/>
        <w:numId w:val="25"/>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link w:val="InstructionsChar"/>
    <w:rPr>
      <w:b/>
      <w:i/>
      <w:szCs w:val="24"/>
    </w:rPr>
  </w:style>
  <w:style w:type="paragraph" w:styleId="List">
    <w:name w:val="List"/>
    <w:basedOn w:val="Normal"/>
    <w:pPr>
      <w:spacing w:after="240"/>
      <w:ind w:left="720" w:hanging="720"/>
    </w:pPr>
  </w:style>
  <w:style w:type="paragraph" w:styleId="BodyText">
    <w:name w:val="Body Text"/>
    <w:basedOn w:val="Normal"/>
    <w:pPr>
      <w:spacing w:after="240"/>
    </w:pPr>
    <w:rPr>
      <w:iCs/>
    </w:rPr>
  </w:style>
  <w:style w:type="paragraph" w:styleId="BodyTextIndent">
    <w:name w:val="Body Text Indent"/>
    <w:basedOn w:val="Normal"/>
    <w:pPr>
      <w:spacing w:after="240"/>
      <w:ind w:left="720"/>
    </w:pPr>
    <w:rPr>
      <w:iCs/>
    </w:rPr>
  </w:style>
  <w:style w:type="paragraph" w:customStyle="1" w:styleId="Bullet">
    <w:name w:val="Bullet"/>
    <w:basedOn w:val="Normal"/>
    <w:pPr>
      <w:numPr>
        <w:numId w:val="1"/>
      </w:numPr>
      <w:tabs>
        <w:tab w:val="clear" w:pos="360"/>
        <w:tab w:val="num" w:pos="1080"/>
      </w:tabs>
      <w:spacing w:after="180"/>
      <w:ind w:left="1080"/>
    </w:pPr>
  </w:style>
  <w:style w:type="paragraph" w:customStyle="1" w:styleId="BulletIndent">
    <w:name w:val="Bullet Indent"/>
    <w:basedOn w:val="Normal"/>
    <w:pPr>
      <w:numPr>
        <w:numId w:val="2"/>
      </w:numPr>
      <w:tabs>
        <w:tab w:val="clear" w:pos="360"/>
      </w:tabs>
      <w:spacing w:after="180"/>
      <w:ind w:left="1987" w:hanging="547"/>
    </w:pPr>
  </w:style>
  <w:style w:type="paragraph" w:styleId="Footer">
    <w:name w:val="footer"/>
    <w:basedOn w:val="Normal"/>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Pr>
      <w:sz w:val="18"/>
    </w:rPr>
  </w:style>
  <w:style w:type="paragraph" w:styleId="Header">
    <w:name w:val="header"/>
    <w:basedOn w:val="Normal"/>
    <w:pPr>
      <w:tabs>
        <w:tab w:val="center" w:pos="4320"/>
        <w:tab w:val="right" w:pos="8640"/>
      </w:tabs>
    </w:pPr>
    <w:rPr>
      <w:rFonts w:ascii="Arial" w:hAnsi="Arial"/>
      <w:b/>
      <w:bCs/>
      <w:szCs w:val="24"/>
    </w:rPr>
  </w:style>
  <w:style w:type="character" w:styleId="Hyperlink">
    <w:name w:val="Hyperlink"/>
    <w:rPr>
      <w:color w:val="0000FF"/>
      <w:u w:val="single"/>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szCs w:val="24"/>
    </w:rPr>
  </w:style>
  <w:style w:type="paragraph" w:styleId="TOC2">
    <w:name w:val="toc 2"/>
    <w:basedOn w:val="Normal"/>
    <w:next w:val="Normal"/>
    <w:autoRedefine/>
    <w:semiHidden/>
    <w:pPr>
      <w:tabs>
        <w:tab w:val="left" w:pos="1260"/>
        <w:tab w:val="right" w:leader="dot" w:pos="9360"/>
      </w:tabs>
      <w:ind w:left="1260" w:right="720" w:hanging="720"/>
    </w:pPr>
    <w:rPr>
      <w:sz w:val="20"/>
    </w:rPr>
  </w:style>
  <w:style w:type="paragraph" w:styleId="TOC3">
    <w:name w:val="toc 3"/>
    <w:basedOn w:val="Normal"/>
    <w:next w:val="Normal"/>
    <w:autoRedefine/>
    <w:semiHidden/>
    <w:pPr>
      <w:tabs>
        <w:tab w:val="left" w:pos="1980"/>
        <w:tab w:val="right" w:leader="dot" w:pos="9360"/>
      </w:tabs>
      <w:ind w:left="1980" w:right="720" w:hanging="900"/>
    </w:pPr>
    <w:rPr>
      <w:i/>
      <w:iCs/>
      <w:sz w:val="20"/>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style>
  <w:style w:type="paragraph" w:styleId="List3">
    <w:name w:val="List 3"/>
    <w:basedOn w:val="Normal"/>
    <w:pPr>
      <w:spacing w:after="240"/>
      <w:ind w:left="2160" w:hanging="720"/>
    </w:p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pPr>
      <w:numPr>
        <w:ilvl w:val="0"/>
        <w:numId w:val="0"/>
      </w:numPr>
      <w:tabs>
        <w:tab w:val="clear" w:pos="1440"/>
        <w:tab w:val="left" w:pos="1620"/>
      </w:tabs>
      <w:ind w:left="1620" w:hanging="1620"/>
    </w:pPr>
  </w:style>
  <w:style w:type="paragraph" w:customStyle="1" w:styleId="H2">
    <w:name w:val="H2"/>
    <w:basedOn w:val="Heading2"/>
    <w:next w:val="BodyText"/>
    <w:pPr>
      <w:numPr>
        <w:ilvl w:val="0"/>
        <w:numId w:val="0"/>
      </w:numPr>
      <w:tabs>
        <w:tab w:val="clear" w:pos="720"/>
        <w:tab w:val="left" w:pos="900"/>
      </w:tabs>
      <w:ind w:left="900" w:hanging="900"/>
    </w:pPr>
  </w:style>
  <w:style w:type="paragraph" w:customStyle="1" w:styleId="H3">
    <w:name w:val="H3"/>
    <w:basedOn w:val="Heading3"/>
    <w:next w:val="BodyText"/>
    <w:pPr>
      <w:numPr>
        <w:ilvl w:val="0"/>
        <w:numId w:val="0"/>
      </w:numPr>
      <w:tabs>
        <w:tab w:val="clear" w:pos="1008"/>
        <w:tab w:val="left" w:pos="1080"/>
      </w:tabs>
      <w:ind w:left="1080" w:hanging="1080"/>
    </w:pPr>
  </w:style>
  <w:style w:type="paragraph" w:customStyle="1" w:styleId="H4">
    <w:name w:val="H4"/>
    <w:basedOn w:val="Heading4"/>
    <w:next w:val="BodyText"/>
    <w:pPr>
      <w:numPr>
        <w:ilvl w:val="0"/>
        <w:numId w:val="0"/>
      </w:numPr>
      <w:tabs>
        <w:tab w:val="clear" w:pos="1296"/>
        <w:tab w:val="left" w:pos="1260"/>
      </w:tabs>
      <w:ind w:left="1260" w:hanging="1260"/>
    </w:pPr>
  </w:style>
  <w:style w:type="paragraph" w:customStyle="1" w:styleId="H6">
    <w:name w:val="H6"/>
    <w:basedOn w:val="Heading6"/>
    <w:next w:val="BodyText"/>
    <w:pPr>
      <w:numPr>
        <w:ilvl w:val="0"/>
        <w:numId w:val="0"/>
      </w:numPr>
      <w:tabs>
        <w:tab w:val="clear" w:pos="1584"/>
        <w:tab w:val="left" w:pos="1800"/>
      </w:tabs>
      <w:ind w:left="1800" w:hanging="1800"/>
    </w:pPr>
  </w:style>
  <w:style w:type="paragraph" w:customStyle="1" w:styleId="H7">
    <w:name w:val="H7"/>
    <w:basedOn w:val="Heading7"/>
    <w:next w:val="BodyText"/>
    <w:pPr>
      <w:numPr>
        <w:ilvl w:val="0"/>
        <w:numId w:val="0"/>
      </w:numPr>
      <w:tabs>
        <w:tab w:val="clear" w:pos="1728"/>
        <w:tab w:val="left" w:pos="1980"/>
      </w:tabs>
      <w:ind w:left="1980" w:hanging="1980"/>
    </w:pPr>
    <w:rPr>
      <w:b/>
      <w:i/>
    </w:rPr>
  </w:style>
  <w:style w:type="paragraph" w:customStyle="1" w:styleId="H8">
    <w:name w:val="H8"/>
    <w:basedOn w:val="Heading8"/>
    <w:next w:val="BodyText"/>
    <w:pPr>
      <w:numPr>
        <w:ilvl w:val="0"/>
        <w:numId w:val="0"/>
      </w:numPr>
      <w:tabs>
        <w:tab w:val="clear" w:pos="1872"/>
        <w:tab w:val="left" w:pos="2160"/>
      </w:tabs>
      <w:ind w:left="2160" w:hanging="2160"/>
    </w:pPr>
    <w:rPr>
      <w:b/>
      <w:i w:val="0"/>
    </w:rPr>
  </w:style>
  <w:style w:type="paragraph" w:customStyle="1" w:styleId="H9">
    <w:name w:val="H9"/>
    <w:basedOn w:val="Heading9"/>
    <w:next w:val="BodyText"/>
    <w:pPr>
      <w:numPr>
        <w:ilvl w:val="0"/>
        <w:numId w:val="0"/>
      </w:numPr>
      <w:tabs>
        <w:tab w:val="clear" w:pos="2160"/>
        <w:tab w:val="left" w:pos="2340"/>
      </w:tabs>
      <w:ind w:left="2340" w:hanging="2340"/>
    </w:pPr>
    <w:rPr>
      <w:i/>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style>
  <w:style w:type="paragraph" w:customStyle="1" w:styleId="ListIntroduction">
    <w:name w:val="List Introduction"/>
    <w:basedOn w:val="BodyText"/>
    <w:pPr>
      <w:keepNext/>
    </w:pPr>
  </w:style>
  <w:style w:type="paragraph" w:customStyle="1" w:styleId="VariableDefinition">
    <w:name w:val="Variable Definition"/>
    <w:basedOn w:val="BodyTextIndent"/>
    <w:pPr>
      <w:tabs>
        <w:tab w:val="left" w:pos="2160"/>
      </w:tabs>
      <w:ind w:left="2160" w:hanging="1440"/>
      <w:contextualSpacing/>
    </w:pPr>
  </w:style>
  <w:style w:type="paragraph" w:customStyle="1" w:styleId="FormulaBold">
    <w:name w:val="Formula Bold"/>
    <w:basedOn w:val="Normal"/>
    <w:autoRedefine/>
    <w:pPr>
      <w:tabs>
        <w:tab w:val="left" w:pos="2340"/>
        <w:tab w:val="left" w:pos="3420"/>
      </w:tabs>
      <w:spacing w:after="240"/>
      <w:ind w:left="3420" w:hanging="2700"/>
    </w:pPr>
    <w:rPr>
      <w:b/>
      <w:bCs/>
      <w:szCs w:val="24"/>
    </w:rPr>
  </w:style>
  <w:style w:type="paragraph" w:customStyle="1" w:styleId="Formula">
    <w:name w:val="Formula"/>
    <w:basedOn w:val="Normal"/>
    <w:autoRedefine/>
    <w:pPr>
      <w:tabs>
        <w:tab w:val="left" w:pos="2340"/>
        <w:tab w:val="left" w:pos="3420"/>
      </w:tabs>
      <w:spacing w:after="240"/>
      <w:ind w:left="3420" w:hanging="2700"/>
    </w:pPr>
    <w:rPr>
      <w:bCs/>
      <w:szCs w:val="24"/>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pPr>
    <w:rPr>
      <w:b/>
    </w:rPr>
  </w:style>
  <w:style w:type="paragraph" w:customStyle="1" w:styleId="TableBody">
    <w:name w:val="Table Body"/>
    <w:basedOn w:val="BodyText"/>
    <w:pPr>
      <w:spacing w:after="60"/>
    </w:pPr>
    <w:rPr>
      <w:sz w:val="20"/>
    </w:rPr>
  </w:style>
  <w:style w:type="paragraph" w:customStyle="1" w:styleId="TableHead">
    <w:name w:val="Table Head"/>
    <w:basedOn w:val="BodyText"/>
    <w:pPr>
      <w:spacing w:after="120"/>
    </w:pPr>
    <w:rPr>
      <w:b/>
      <w:sz w:val="20"/>
    </w:rPr>
  </w:style>
  <w:style w:type="paragraph" w:customStyle="1" w:styleId="TableBullet">
    <w:name w:val="Table Bullet"/>
    <w:basedOn w:val="TableBody"/>
    <w:pPr>
      <w:numPr>
        <w:numId w:val="40"/>
      </w:numPr>
    </w:pPr>
  </w:style>
  <w:style w:type="paragraph" w:customStyle="1" w:styleId="Style1">
    <w:name w:val="Style1"/>
    <w:basedOn w:val="Normal"/>
    <w:rPr>
      <w:szCs w:val="24"/>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rPr>
  </w:style>
  <w:style w:type="character" w:styleId="CommentReference">
    <w:name w:val="annotation reference"/>
    <w:rsid w:val="00865A11"/>
    <w:rPr>
      <w:sz w:val="16"/>
      <w:szCs w:val="16"/>
    </w:rPr>
  </w:style>
  <w:style w:type="paragraph" w:styleId="CommentText">
    <w:name w:val="annotation text"/>
    <w:basedOn w:val="Normal"/>
    <w:link w:val="CommentTextChar"/>
    <w:rsid w:val="00865A11"/>
    <w:rPr>
      <w:sz w:val="20"/>
    </w:rPr>
  </w:style>
  <w:style w:type="character" w:customStyle="1" w:styleId="CommentTextChar">
    <w:name w:val="Comment Text Char"/>
    <w:basedOn w:val="DefaultParagraphFont"/>
    <w:link w:val="CommentText"/>
    <w:rsid w:val="00865A11"/>
  </w:style>
  <w:style w:type="paragraph" w:styleId="CommentSubject">
    <w:name w:val="annotation subject"/>
    <w:basedOn w:val="CommentText"/>
    <w:next w:val="CommentText"/>
    <w:link w:val="CommentSubjectChar"/>
    <w:rsid w:val="00865A11"/>
    <w:rPr>
      <w:b/>
      <w:bCs/>
    </w:rPr>
  </w:style>
  <w:style w:type="character" w:customStyle="1" w:styleId="CommentSubjectChar">
    <w:name w:val="Comment Subject Char"/>
    <w:link w:val="CommentSubject"/>
    <w:rsid w:val="00865A11"/>
    <w:rPr>
      <w:b/>
      <w:bCs/>
    </w:rPr>
  </w:style>
  <w:style w:type="paragraph" w:styleId="Revision">
    <w:name w:val="Revision"/>
    <w:hidden/>
    <w:uiPriority w:val="99"/>
    <w:semiHidden/>
    <w:rsid w:val="00865A11"/>
    <w:rPr>
      <w:sz w:val="24"/>
    </w:rPr>
  </w:style>
  <w:style w:type="character" w:customStyle="1" w:styleId="InstructionsChar">
    <w:name w:val="Instructions Char"/>
    <w:link w:val="Instructions"/>
    <w:rsid w:val="008427B1"/>
    <w:rPr>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rcot.com/services/programs/tc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1075</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ERCOT Fee Schedule</vt:lpstr>
    </vt:vector>
  </TitlesOfParts>
  <Company>Hewlett-Packard Company</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Fee Schedule</dc:title>
  <dc:subject>ERCOT Protocols</dc:subject>
  <dc:creator>ERCOT</dc:creator>
  <cp:keywords/>
  <cp:lastModifiedBy>C Phillips</cp:lastModifiedBy>
  <cp:revision>4</cp:revision>
  <cp:lastPrinted>2018-12-26T15:15:00Z</cp:lastPrinted>
  <dcterms:created xsi:type="dcterms:W3CDTF">2023-12-11T20:26:00Z</dcterms:created>
  <dcterms:modified xsi:type="dcterms:W3CDTF">2023-12-18T15:09:00Z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2023-09-22T21:02:42Z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3b2cd61c-9b54-4331-8594-85ddde297a32</vt:lpwstr>
  </property>
  <property fmtid="{D5CDD505-2E9C-101B-9397-08002B2CF9AE}" pid="8" name="MSIP_Label_7084cbda-52b8-46fb-a7b7-cb5bd465ed85_ContentBits">
    <vt:lpwstr>0</vt:lpwstr>
  </property>
</Properties>
</file>