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body>
    <w:p>
      <w:pPr>
        <w:pStyle w:val="Title"/>
        <ck:id v="cloud-cost-optimization-program-achievement-write-up"/>
      </w:pPr>
      <w:bookmarkStart w:id="0" w:name="cloud_cost_optimization_program_achievem"/>
      <w:r>
        <w:t>Cloud Cost Optimization Program — Achievement Write-Up</w:t>
      </w:r>
      <w:bookmarkEnd w:id="0"/>
    </w:p>
    <w:p>
      <w:r>
        <w:rPr>
          <w:rStyle w:val="CkMuted"/>
        </w:rPr>
        <w:t>Western Union · 4 PIs · 5 initiatives · combined annual savings TBD pending 3 missing figures</w:t>
      </w:r>
    </w:p>
    <w:p>
      <w:pPr>
        <w:pStyle w:val="Heading2"/>
        <ck:id v="program-summary"/>
      </w:pPr>
      <w:bookmarkStart w:id="1" w:name="program_summary"/>
      <w:r>
        <w:t>Program Summary</w:t>
      </w:r>
      <w:bookmarkEnd w:id="1"/>
    </w:p>
    <w:p>
      <w:r>
        <w:t>Across roughly four PIs (about a year), five separate cost optimization initiatives were led under one cost-optimization feature, each following the same pattern: find where money or risk was leaking, fix it, then automate so it stays fixed without manual review.</w:t>
      </w:r>
    </w:p>
    <w:p>
      <w:r>
        <w:rPr>
          <w:b/>
        </w:rPr>
        <w:t>Initiative 1 — Orphaned and unmounted EBS volume cleanup.</w:t>
      </w:r>
      <w:r>
        <w:t xml:space="preserve"> Discovered during the in-place RHEL upgrade and RHEL-to-Amazon-Linux migration work: a significant number of EBS volumes existed unattached to any EC2 instance, and a further set were attached but never mounted or partitioned for use. Built an inventory script, sized and environment-tagged the findings, and executed a phased removal plan. Followed up with a daily Lambda that audits the environment automatically, writes findings to S3, and is reviewed weekly — turning a one-time cleanup into an ongoing control. </w:t>
      </w:r>
      <w:r>
        <w:rPr>
          <w:b/>
        </w:rPr>
        <w:t>Dollar figure and total storage reclaimed still needed.</w:t>
      </w:r>
    </w:p>
    <w:p>
      <w:r>
        <w:rPr>
          <w:b/>
        </w:rPr>
        <w:t>Initiative 2 — CloudWatch log retention standardization.</w:t>
      </w:r>
      <w:r>
        <w:t xml:space="preserve"> Found log groups with no retention period set, or retention periods far longer than needed. Brought the issue to the Architecture Review Board and established a tiered standard by environment criticality: Dev — 1 day, QA — 2 days, UAT — 1 week, Prod/DR — 3 months. Coordinated with 25+ application teams to decommission unused logs and apply the new policy. Result: ~60TB cleanup, ~$29K annual cost savings.</w:t>
      </w:r>
    </w:p>
    <w:p>
      <w:r>
        <w:rPr>
          <w:b/>
        </w:rPr>
        <w:t>Initiative 3 — gp2 to gp3 EBS volume migration.</w:t>
      </w:r>
      <w:r>
        <w:t xml:space="preserve"> Identified a large population of EBS volumes on the older gp2 volume type, which costs more and performs worse than gp3. Planned and executed a fleet-wide migration to gp3, improving performance while reducing cost. </w:t>
      </w:r>
      <w:r>
        <w:rPr>
          <w:b/>
        </w:rPr>
        <w:t>Dollar figure and volume count still needed.</w:t>
      </w:r>
    </w:p>
    <w:p>
      <w:r>
        <w:rPr>
          <w:b/>
        </w:rPr>
        <w:t>Initiative 4 — EC2 instance rightsizing.</w:t>
      </w:r>
      <w:r>
        <w:t xml:space="preserve"> Built a script to observe EC2 instance performance — CPU, memory, IO, and network — baselining peak and average usage per instance. Used that baseline to identify overprovisioned instances and moved them to smaller instance families. </w:t>
      </w:r>
      <w:r>
        <w:rPr>
          <w:b/>
        </w:rPr>
        <w:t>Dollar figure, instance count, and confirmation of whether the baselining logic was custom-built versus built on AWS Compute Optimizer still needed. Also worth having ready: how downsized instances were validated against real traffic spikes before being considered safe.</w:t>
      </w:r>
    </w:p>
    <w:p>
      <w:r>
        <w:rPr>
          <w:b/>
        </w:rPr>
        <w:t>Initiative 5 — Automated EBS snapshot and AMI lifecycle cleanup.</w:t>
      </w:r>
      <w:r>
        <w:t xml:space="preserve"> Built a Python Lambda for automated deletion of outdated EBS snapshots and AMIs, using AWS STS role assumption for secure cleanup across multiple AWS accounts, scheduled via CloudWatch Events. Reduced manual effort and achieved $20K–$25K in annual storage cost savings. This is the most technically advanced single artifact across the program — cross-account automation via STS role assumption is a meaningfully more sophisticated capability than single-account scripting.</w:t>
      </w:r>
    </w:p>
    <w:p>
      <w:pPr>
        <w:pStyle w:val="Heading2"/>
        <ck:id v="open-items"/>
      </w:pPr>
      <w:bookmarkStart w:id="2" w:name="open_items"/>
      <w:r>
        <w:t>Open Items</w:t>
      </w:r>
      <w:bookmarkEnd w:id="2"/>
    </w:p>
    <w:p>
      <w:pPr>
        <w:pStyle w:val="ListParagraph"/>
        <w:numPr>
          <w:ilvl w:val="0"/>
          <w:numId w:val="1"/>
        </w:numPr>
      </w:pPr>
      <w:r>
        <w:rPr>
          <w:b/>
        </w:rPr>
        <w:t>Initiative 1:</w:t>
      </w:r>
      <w:r>
        <w:t xml:space="preserve"> total dollar savings (monthly or annual) and total storage (GB/TB) reclaimed from the EBS cleanup.</w:t>
      </w:r>
    </w:p>
    <w:p>
      <w:pPr>
        <w:pStyle w:val="ListParagraph"/>
        <w:numPr>
          <w:ilvl w:val="0"/>
          <w:numId w:val="1"/>
        </w:numPr>
      </w:pPr>
      <w:r>
        <w:rPr>
          <w:b/>
        </w:rPr>
        <w:t>Initiative 3:</w:t>
      </w:r>
      <w:r>
        <w:t xml:space="preserve"> dollar savings and number of volumes migrated from gp2 to gp3.</w:t>
      </w:r>
    </w:p>
    <w:p>
      <w:pPr>
        <w:pStyle w:val="ListParagraph"/>
        <w:numPr>
          <w:ilvl w:val="0"/>
          <w:numId w:val="1"/>
        </w:numPr>
      </w:pPr>
      <w:r>
        <w:rPr>
          <w:b/>
        </w:rPr>
        <w:t>Initiative 4:</w:t>
      </w:r>
      <w:r>
        <w:t xml:space="preserve"> dollar savings, number of instances rightsized, and whether the baselining tool was custom-built or wrapped AWS Compute Optimizer. Also prepare a verbal answer for how rightsized instances were validated against real load before being trusted in production.</w:t>
      </w:r>
    </w:p>
    <w:p>
      <w:pPr>
        <w:pStyle w:val="ListParagraph"/>
        <w:numPr>
          <w:ilvl w:val="0"/>
          <w:numId w:val="1"/>
        </w:numPr>
      </w:pPr>
      <w:r>
        <w:rPr>
          <w:b/>
        </w:rPr>
        <w:t>Relationship to the RHEL-to-Amazon-Linux AMI migration project:</w:t>
      </w:r>
      <w:r>
        <w:t xml:space="preserve"> confirm whether that project is part of this same continuous cost-optimization body of work (making it six initiatives total) or a separate, already-counted effort — this affects whether it should be folded into the combined total below.</w:t>
      </w:r>
    </w:p>
    <w:p>
      <w:pPr>
        <w:pStyle w:val="ListParagraph"/>
        <w:numPr>
          <w:ilvl w:val="0"/>
          <w:numId w:val="1"/>
        </w:numPr>
      </w:pPr>
      <w:r>
        <w:t>Once all three missing figures are in, calculate the combined annual savings total across all five (or six) initiatives — this is likely the single strongest cost-savings headline number available across the entire Western Union tenure.</w:t>
      </w:r>
    </w:p>
    <w:p>
      <w:pPr>
        <w:pStyle w:val="Heading2"/>
        <ck:id v="resume-program-level-bullet"/>
      </w:pPr>
      <w:bookmarkStart w:id="3" w:name="resume_program_level_bullet"/>
      <w:r>
        <w:t>Resume — Program-Level Bullet</w:t>
      </w:r>
      <w:bookmarkEnd w:id="3"/>
    </w:p>
    <w:p>
      <w:r>
        <w:t>Led a 4-PI cloud cost optimization program spanning five initiatives: automated detection and cleanup of orphaned/unmounted EBS volumes via a daily Lambda audit (roughly $\[X\] annual savings); standardized CloudWatch log retention across 25\+ application teams by environment criticality, cleaning up \~60TB and saving \~$29K annually; migrated EBS volumes from gp2 to gp3 for improved performance at lower cost (roughly $[X] annual savings); built a custom EC2 rightsizing engine analyzing CPU, memory, IO, and network baselines to right-size overprovisioned instances (roughly $\[X\] annual savings); and automated EBS snapshot/AMI lifecycle cleanup via a Python Lambda with STS cross\-account role assumption ($20K–$25K annual savings). Combined program impact: roughly $[TOTAL] in annual cloud cost reduction.</w:t>
      </w:r>
    </w:p>
    <w:p>
      <w:pPr>
        <w:pStyle w:val="Heading2"/>
        <ck:id v="naukri-key-achievement"/>
      </w:pPr>
      <w:bookmarkStart w:id="4" w:name="naukri_key_achievement"/>
      <w:r>
        <w:t>Naukri — Key Achievement</w:t>
      </w:r>
      <w:bookmarkEnd w:id="4"/>
    </w:p>
    <w:p>
      <w:r>
        <w:t>Led enterprise-wide cloud cost optimization program (4 PIs, 5 initiatives) achieving combined annual savings of ~$\\\[TOTAL\\\]. Delivered automated EBS volume cleanup, CloudWatch log retention standardization (\\\~60TB/$29K savings across 25+ teams), gp2-to-gp3 volume migration, custom EC2 rightsizing engine, and cross-account automated snapshot/AMI cleanup via Python Lambda and AWS STS ($20K–$25K savings).</w:t>
      </w:r>
    </w:p>
    <w:p>
      <w:pPr>
        <w:pStyle w:val="Heading2"/>
        <ck:id v="linkedin-post"/>
      </w:pPr>
      <w:bookmarkStart w:id="5" w:name="linkedin_post"/>
      <w:r>
        <w:t>LinkedIn Post</w:t>
      </w:r>
      <w:bookmarkEnd w:id="5"/>
    </w:p>
    <w:p>
      <w:r>
        <w:t>Spent about a year running a cloud cost optimization program, five separate initiatives, all with the same shape: find where money's leaking, fix it, then automate so it stays fixed.</w:t>
      </w:r>
    </w:p>
    <w:p>
      <w:r>
        <w:t>Orphaned EBS volumes nobody was tracking — built a daily Lambda that audits the whole account and flags them automatically now.</w:t>
      </w:r>
    </w:p>
    <w:p>
      <w:r>
        <w:t>CloudWatch logs with no retention discipline — set actual environment-based policy (a day in Dev, a week in UAT, three months in Prod), coordinated it across 25+ application teams, cleaned up 60TB, saved about $29K a year.</w:t>
      </w:r>
    </w:p>
    <w:p>
      <w:r>
        <w:t>Old-generation gp2 EBS volumes running at higher cost and lower performance than gp3 — migrated the fleet.</w:t>
      </w:r>
    </w:p>
    <w:p>
      <w:r>
        <w:t>Overprovisioned EC2 instances — built a baselining tool against real CPU, memory, IO, and network usage and rightsized what didn't need to be that big.</w:t>
      </w:r>
    </w:p>
    <w:p>
      <w:r>
        <w:t>Stale EBS snapshots and AMIs piling up for cost across every account — automated the cleanup with a Lambda using cross-account STS role assumption, no manual review needed. $20-25K a year back, and nobody has to remember to do it.</w:t>
      </w:r>
    </w:p>
    <w:p>
      <w:r>
        <w:t>None of this is glamorous work. All of it is money that was just gone every month until someone looked.</w:t>
      </w:r>
    </w:p>
    <w:p>
      <w:pPr>
        <w:pStyle w:val="Heading2"/>
        <ck:id v="cover-letter-paragraph"/>
      </w:pPr>
      <w:bookmarkStart w:id="6" w:name="cover_letter_paragraph"/>
      <w:r>
        <w:t>Cover Letter Paragraph</w:t>
      </w:r>
      <w:bookmarkEnd w:id="6"/>
    </w:p>
    <w:p>
      <w:r>
        <w:t>Cost optimization became a recurring theme in my work at Western Union — across roughly a year, I led five separate initiatives that, combined, cut a meaningful chunk of our cloud spend. I found and automated cleanup of orphaned EBS volumes with a daily Lambda audit. I standardized CloudWatch log retention across 25+ application teams based on environment criticality, which alone cleaned up 60TB and saved about $29K annually. I migrated our EBS fleet from gp2 to gp3 for better performance at lower cost, built a rightsizing engine that baselines actual CPU, memory, and network usage to catch overprovisioned instances, and automated snapshot and AMI cleanup across our entire multi-account environment using a Python Lambda with cross-account role assumption, saving another $20-25K annually. What ties all of it together is the same pattern: find the waste, fix it, then build the automation that keeps it fixed without anyone having to remember to check.</w:t>
      </w:r>
    </w:p>
    <w:sectPr>
      <ck:section v="1:||margins=1in,size=letter"/>
      <w:footerReference w:type="default" r:id="rIdHf1"/>
      <w:pgSz w:w="12240" w:h="15840"/>
      <w:pgMar w:top="1440" w:right="1440" w:bottom="1440" w:left="1440" w:header="720" w:footer="720" w:gutter="0"/>
    </w:sectPr>
  </w:body>
</w:document>
</file>

<file path=word/fontTable.xml><?xml version="1.0" encoding="utf-8"?>
<w:fonts xmlns:w="http://schemas.openxmlformats.org/wordprocessingml/2006/main">
  <w:font w:name="Calibri">
    <w:family w:val="swiss"/>
  </w:font>
  <w:font w:name="Calibri Light">
    <w:family w:val="swiss"/>
  </w:font>
  <w:font w:name="Consolas">
    <w:family w:val="modern"/>
  </w:font>
</w:fonts>
</file>

<file path=word/footer1.xml><?xml version="1.0" encoding="utf-8"?>
<w:ftr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sdt>
    <w:sdtPr>
      <w:tag w:val="clarkdown:div"/>
      <ck:div v="||text-align=center"/>
    </w:sdtPr>
    <w:sdtContent>
      <w:p>
        <w:pPr>
          <w:jc w:val="center"/>
        </w:pPr>
        <w:fldSimple w:instr="PAGE">
          <w:r>
            <w:t>1</w:t>
          </w:r>
        </w:fldSimple>
      </w:p>
    </w:sdtContent>
  </w:sdt>
</w:ftr>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60" w:line="312" w:lineRule="auto"/>
      </w:pPr>
    </w:pPrDefault>
  </w:docDefaults>
  <w:style w:type="paragraph" w:styleId="Normal" w:default="1">
    <w:name w:val="Normal"/>
  </w:style>
  <w:style w:type="paragraph" w:styleId="Heading1" w:default="0">
    <w:name w:val="heading 1"/>
    <w:basedOn w:val="Normal"/>
    <w:next w:val="Normal"/>
    <w:pPr>
      <w:keepNext/>
      <w:keepLines/>
      <w:spacing w:before="320" w:line="264" w:lineRule="auto"/>
      <w:outlineLvl w:val="0"/>
    </w:pPr>
    <w:rPr>
      <w:rFonts w:ascii="Calibri Light" w:hAnsi="Calibri Light"/>
      <w:b/>
      <w:color w:val="1A1A1A"/>
      <w:sz w:val="43"/>
      <w:szCs w:val="43"/>
    </w:rPr>
  </w:style>
  <w:style w:type="paragraph" w:styleId="Heading2" w:default="0">
    <w:name w:val="heading 2"/>
    <w:basedOn w:val="Normal"/>
    <w:next w:val="Normal"/>
    <w:pPr>
      <w:keepNext/>
      <w:keepLines/>
      <w:spacing w:before="320" w:line="264" w:lineRule="auto"/>
      <w:outlineLvl w:val="1"/>
    </w:pPr>
    <w:rPr>
      <w:rFonts w:ascii="Calibri Light" w:hAnsi="Calibri Light"/>
      <w:b/>
      <w:sz w:val="34"/>
      <w:szCs w:val="34"/>
    </w:rPr>
  </w:style>
  <w:style w:type="paragraph" w:styleId="Heading3" w:default="0">
    <w:name w:val="heading 3"/>
    <w:basedOn w:val="Normal"/>
    <w:next w:val="Normal"/>
    <w:pPr>
      <w:keepNext/>
      <w:keepLines/>
      <w:spacing w:before="160" w:line="264" w:lineRule="auto"/>
      <w:outlineLvl w:val="2"/>
    </w:pPr>
    <w:rPr>
      <w:rFonts w:ascii="Calibri Light" w:hAnsi="Calibri Light"/>
      <w:b/>
      <w:sz w:val="28"/>
      <w:szCs w:val="28"/>
    </w:rPr>
  </w:style>
  <w:style w:type="paragraph" w:styleId="Heading4" w:default="0">
    <w:name w:val="heading 4"/>
    <w:basedOn w:val="Normal"/>
    <w:next w:val="Normal"/>
    <w:pPr>
      <w:keepNext/>
      <w:keepLines/>
      <w:spacing w:before="160" w:line="264" w:lineRule="auto"/>
      <w:outlineLvl w:val="3"/>
    </w:pPr>
    <w:rPr>
      <w:rFonts w:ascii="Calibri Light" w:hAnsi="Calibri Light"/>
      <w:b/>
      <w:sz w:val="22"/>
      <w:szCs w:val="22"/>
    </w:rPr>
  </w:style>
  <w:style w:type="paragraph" w:styleId="Heading5" w:default="0">
    <w:name w:val="heading 5"/>
    <w:basedOn w:val="Normal"/>
    <w:next w:val="Normal"/>
    <w:pPr>
      <w:keepNext/>
      <w:keepLines/>
      <w:spacing w:before="160" w:line="264" w:lineRule="auto"/>
      <w:outlineLvl w:val="4"/>
    </w:pPr>
    <w:rPr>
      <w:rFonts w:ascii="Calibri Light" w:hAnsi="Calibri Light"/>
      <w:b/>
      <w:sz w:val="22"/>
      <w:szCs w:val="22"/>
    </w:rPr>
  </w:style>
  <w:style w:type="paragraph" w:styleId="Heading6" w:default="0">
    <w:name w:val="heading 6"/>
    <w:basedOn w:val="Normal"/>
    <w:next w:val="Normal"/>
    <w:pPr>
      <w:keepNext/>
      <w:keepLines/>
      <w:spacing w:before="160" w:line="264" w:lineRule="auto"/>
      <w:outlineLvl w:val="5"/>
    </w:pPr>
    <w:rPr>
      <w:rFonts w:ascii="Calibri Light" w:hAnsi="Calibri Light"/>
      <w:b/>
      <w:sz w:val="22"/>
      <w:szCs w:val="22"/>
    </w:rPr>
  </w:style>
  <w:style w:type="paragraph" w:styleId="Quote" w:default="0">
    <w:name w:val="Quote"/>
    <w:basedOn w:val="Normal"/>
    <w:pPr>
      <w:ind w:left="320"/>
      <w:pBdr>
        <w:left w:val="single" w:sz="24" w:space="12" w:color="BFBFBF"/>
      </w:pBdr>
    </w:pPr>
    <w:rPr>
      <w:i/>
      <w:color w:val="595959"/>
    </w:rPr>
  </w:style>
  <w:style w:type="character" w:styleId="CkHighlight">
    <w:name w:val="Clarkdown Highlight"/>
    <w:rPr>
      <w:shd w:val="clear" w:fill="FFF2A8"/>
    </w:rPr>
  </w:style>
  <w:style w:type="character" w:styleId="CkSmallcaps">
    <w:name w:val="Clarkdown Smallcaps"/>
    <w:rPr>
      <w:smallCaps/>
    </w:rPr>
  </w:style>
  <w:style w:type="character" w:styleId="CkUnderline">
    <w:name w:val="Clarkdown Underline"/>
    <w:rPr>
      <w:u w:val="single"/>
    </w:rPr>
  </w:style>
  <w:style w:type="character" w:styleId="CkMuted">
    <w:name w:val="Clarkdown Muted"/>
    <w:rPr>
      <w:color w:val="595959"/>
    </w:rPr>
  </w:style>
  <w:style w:type="character" w:styleId="CkAccent">
    <w:name w:val="Clarkdown Accent"/>
    <w:rPr>
      <w:color w:val="1A1A1A"/>
    </w:rPr>
  </w:style>
  <w:style w:type="character" w:styleId="CkCaption">
    <w:name w:val="Clarkdown Caption"/>
    <w:rPr>
      <w:i/>
      <w:color w:val="595959"/>
      <w:sz w:val="20"/>
      <w:szCs w:val="20"/>
    </w:rPr>
  </w:style>
  <w:style w:type="paragraph" w:styleId="CkDisplay" w:default="0">
    <w:name w:val="Clarkdown Display"/>
    <w:basedOn w:val="Normal"/>
    <w:next w:val="Normal"/>
    <w:pPr>
      <w:keepNext/>
      <w:keepLines/>
      <w:spacing w:after="240" w:line="264" w:lineRule="auto"/>
    </w:pPr>
    <w:rPr>
      <w:rFonts w:ascii="Calibri Light" w:hAnsi="Calibri Light"/>
      <w:b/>
      <w:color w:val="1A1A1A"/>
      <w:sz w:val="132"/>
      <w:szCs w:val="132"/>
    </w:rPr>
  </w:style>
  <w:style w:type="character" w:styleId="CkKicker">
    <w:name w:val="Clarkdown Kicker"/>
    <w:rPr>
      <w:smallCaps/>
      <w:spacing w:val="18"/>
      <w:color w:val="595959"/>
    </w:rPr>
  </w:style>
  <w:style w:type="paragraph" w:styleId="CkTrackedCaps" w:default="0">
    <w:name w:val="Clarkdown Tracked Caps"/>
    <w:basedOn w:val="Normal"/>
    <w:next w:val="Normal"/>
    <w:rPr>
      <w:smallCaps/>
      <w:spacing w:val="18"/>
    </w:rPr>
  </w:style>
  <w:style w:type="paragraph" w:styleId="Title" w:default="0">
    <w:name w:val="Title"/>
    <w:basedOn w:val="Normal"/>
    <w:next w:val="Normal"/>
    <w:pPr>
      <w:keepNext/>
      <w:keepLines/>
      <w:spacing w:after="240" w:line="264" w:lineRule="auto"/>
    </w:pPr>
    <w:rPr>
      <w:rFonts w:ascii="Calibri Light" w:hAnsi="Calibri Light"/>
      <w:b/>
      <w:sz w:val="54"/>
      <w:szCs w:val="54"/>
    </w:rPr>
  </w:style>
  <w:style w:type="character" w:styleId="Hyperlink">
    <w:name w:val="Hyperlink"/>
    <w:rPr>
      <w:color w:val="1A1A1A"/>
      <w:u w:val="single"/>
    </w:rPr>
  </w:style>
  <w:style w:type="paragraph" w:styleId="CkCodeBlock" w:default="0">
    <w:name w:val="Clarkdown Code Block"/>
    <w:basedOn w:val="Normal"/>
    <w:pPr>
      <w:shd w:val="clear" w:fill="EDEDED"/>
      <w:spacing w:after="0" w:line="240" w:lineRule="auto"/>
    </w:pPr>
    <w:rPr>
      <w:rFonts w:ascii="Consolas" w:hAnsi="Consolas"/>
      <w:noProof/>
      <w:sz w:val="20"/>
    </w:rPr>
  </w:style>
  <w:style w:type="character" w:styleId="CkCode">
    <w:name w:val="Clarkdown Code"/>
    <w:rPr>
      <w:rFonts w:ascii="Consolas" w:hAnsi="Consolas"/>
      <w:shd w:val="clear" w:fill="EDEDED"/>
      <w:sz w:val="20"/>
    </w:rPr>
  </w:style>
  <w:style w:type="paragraph" w:styleId="Caption" w:default="0">
    <w:name w:val="caption"/>
    <w:basedOn w:val="Normal"/>
    <w:rPr>
      <w:i/>
      <w:sz w:val="18"/>
    </w:rPr>
  </w:style>
  <w:style w:type="paragraph" w:styleId="ListParagraph" w:default="0">
    <w:name w:val="List Paragraph"/>
    <w:basedOn w:val="Normal"/>
    <w:pPr>
      <w:ind w:left="320"/>
    </w:pPr>
  </w:style>
  <w:style w:type="paragraph" w:styleId="CkUnknown" w:default="0">
    <w:name w:val="Clarkdown Unknown"/>
    <w:basedOn w:val="Normal"/>
    <w:pPr>
      <w:shd w:val="clear" w:fill="FFEEEE"/>
    </w:pPr>
  </w:style>
  <w:style w:type="paragraph" w:styleId="FootnoteText" w:default="0">
    <w:name w:val="footnote text"/>
    <w:basedOn w:val="Normal"/>
    <w:rPr>
      <w:sz w:val="18"/>
    </w:rPr>
  </w:style>
  <w:style w:type="character" w:styleId="FootnoteReference">
    <w:name w:val="footnote reference"/>
    <w:rPr>
      <w:vertAlign w:val="superscript"/>
    </w:rPr>
  </w:style>
  <w:style w:type="table" w:styleId="CkTable">
    <w:name w:val="Clarkdown Table"/>
    <w:tblPr>
      <w:tblBorders>
        <w:top w:val="single" w:sz="4" w:color="BFBFBF"/>
        <w:left w:val="single" w:sz="4" w:color="BFBFBF"/>
        <w:bottom w:val="single" w:sz="4" w:color="BFBFBF"/>
        <w:right w:val="single" w:sz="4" w:color="BFBFBF"/>
        <w:insideH w:val="single" w:sz="4" w:color="BFBFBF"/>
        <w:insideV w:val="single" w:sz="4" w:color="BFBFBF"/>
      </w:tblBorders>
      <w:tblCellMar>
        <w:top w:w="80" w:type="dxa"/>
        <w:left w:w="80" w:type="dxa"/>
        <w:bottom w:w="80" w:type="dxa"/>
        <w:right w:w="80" w:type="dxa"/>
      </w:tblCellMar>
    </w:tblPr>
  </w:style>
  <w:style w:type="table" w:styleId="CkLayout">
    <w:name w:val="Clarkdown Layout"/>
    <w:tblPr>
      <w:tblBorders>
        <w:top w:val="none"/>
        <w:left w:val="none"/>
        <w:bottom w:val="none"/>
        <w:right w:val="none"/>
        <w:insideH w:val="none"/>
        <w:insideV w:val="none"/>
      </w:tblBorders>
    </w:tblPr>
  </w:style>
  <w:style w:type="paragraph" w:styleId="CkNote" w:default="0">
    <w:name w:val="Clarkdown Note"/>
    <w:basedOn w:val="Normal"/>
    <w:pPr>
      <w:pBdr>
        <w:left w:val="single" w:sz="24" w:space="8" w:color="2F6FEB"/>
      </w:pBdr>
      <w:ind w:left="240"/>
    </w:pPr>
  </w:style>
  <w:style w:type="paragraph" w:styleId="CkTip" w:default="0">
    <w:name w:val="Clarkdown Tip"/>
    <w:basedOn w:val="Normal"/>
    <w:pPr>
      <w:pBdr>
        <w:left w:val="single" w:sz="24" w:space="8" w:color="1A7F37"/>
      </w:pBdr>
      <w:ind w:left="240"/>
    </w:pPr>
  </w:style>
  <w:style w:type="paragraph" w:styleId="CkWarning" w:default="0">
    <w:name w:val="Clarkdown Warning"/>
    <w:basedOn w:val="Normal"/>
    <w:pPr>
      <w:pBdr>
        <w:left w:val="single" w:sz="24" w:space="8" w:color="9A6700"/>
      </w:pBdr>
      <w:ind w:left="240"/>
    </w:pPr>
  </w:style>
  <w:style w:type="paragraph" w:styleId="CkImportant" w:default="0">
    <w:name w:val="Clarkdown Important"/>
    <w:basedOn w:val="Normal"/>
    <w:pPr>
      <w:pBdr>
        <w:left w:val="single" w:sz="24" w:space="8" w:color="8250DF"/>
      </w:pBdr>
      <w:ind w:left="240"/>
    </w:pPr>
  </w:style>
  <w:style w:type="paragraph" w:styleId="CkCaution" w:default="0">
    <w:name w:val="Clarkdown Caution"/>
    <w:basedOn w:val="Normal"/>
    <w:pPr>
      <w:pBdr>
        <w:left w:val="single" w:sz="24" w:space="8" w:color="CF222E"/>
      </w:pBdr>
      <w:ind w:left="240"/>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nts" Type="http://schemas.openxmlformats.org/officeDocument/2006/relationships/fontTable" Target="fontTable.xml"/><Relationship Id="rIdSettings" Type="http://schemas.openxmlformats.org/officeDocument/2006/relationships/settings" Target="settings.xml"/><Relationship Id="rIdHf1"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file>