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docProps/core.xml" ContentType="application/vnd.openxmlformats-package.core-properties+xml"/>
  <Override PartName="/word/footer1.xml" ContentType="application/vnd.openxmlformats-officedocument.wordprocessingml.footer+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Core"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m="http://schemas.openxmlformats.org/officeDocument/2006/math" xmlns:mc="http://schemas.openxmlformats.org/markup-compatibility/2006" xmlns:ck="urn:clarkdown:docx" mc:Ignorable="ck">
  <w:body>
    <w:p>
      <w:pPr>
        <w:pStyle w:val="Title"/>
        <ck:id v="infrastructure-hygiene-audit-leadership-methodology"/>
      </w:pPr>
      <w:bookmarkStart w:id="0" w:name="infrastructure_hygiene_audit_leadership_"/>
      <w:r>
        <w:t>Infrastructure Hygiene Audit &amp; Leadership Methodology</w:t>
      </w:r>
      <w:bookmarkEnd w:id="0"/>
    </w:p>
    <w:p>
      <w:r>
        <w:rPr>
          <w:rStyle w:val="CkMuted"/>
        </w:rPr>
        <w:t>Western Union · ~400-500 target groups audited, 2024 · plus standalone leadership philosophy</w:t>
      </w:r>
    </w:p>
    <w:p>
      <w:pPr>
        <w:pStyle w:val="Heading2"/>
        <ck:id v="project-summary"/>
      </w:pPr>
      <w:bookmarkStart w:id="1" w:name="project_summary"/>
      <w:r>
        <w:t>Project Summary</w:t>
      </w:r>
      <w:bookmarkEnd w:id="1"/>
    </w:p>
    <w:p>
      <w:r>
        <w:t>An inventory exercise for Route 53 URLs and their certificates expanded into a full infrastructure reliability and hygiene audit once the actual dependency chain was traced behind each URL — API Gateway, load balancer, target group, and the backing EC2 or ECS resource.</w:t>
      </w:r>
    </w:p>
    <w:p>
      <w:r>
        <w:t>Tracing that chain surfaced two distinct problems. First, target groups running unhealthy or partially unhealthy — some backends healthy, others silently failing, in several cases with no health checks configured at all to catch it. Second, certificate sprawl in ACM: every certificate renewal left the old certificate in place rather than retiring it, so roughly two to three stale certificates were being tracked for every one actually in use. Auditing further, several load balancers were found still running in production on expired TLS certificates for months — in a number of cases tied to applications that had already been sunset, where the underlying infrastructure had never been properly decommissioned.</w:t>
      </w:r>
    </w:p>
    <w:p>
      <w:r>
        <w:rPr>
          <w:b/>
        </w:rPr>
        <w:t>Remediation:</w:t>
      </w:r>
      <w:r>
        <w:t xml:space="preserve"> health checks were corrected and validated with application teams; monitoring/alerting was implemented so future health degradation is caught automatically rather than discovered by accident; expired ACM certificates were cleaned up and every live certificate mapped to the application actually using it, with expiry alerting added; and for genuinely dead infrastructure, the load balancer, target group, backend, certificate, and DNS record were removed together following review and approval. A phase-wise decommissioning checklist was built (Route 53 URL through backend server through target group — everything, in sequence) so future application sunsets don't leave the same debris behind.</w:t>
      </w:r>
    </w:p>
    <w:p>
      <w:r>
        <w:t>Scale: approximately 400–500 target groups across the environment (recalled figure — exact counts from this 2024 engagement were not retained in documentation, so use qualitative framing — "dozens," "several" — for sub-findings rather than invented precision).</w:t>
      </w:r>
    </w:p>
    <w:p>
      <w:pPr>
        <w:pStyle w:val="Heading2"/>
        <ck:id v="resume-bullet"/>
      </w:pPr>
      <w:bookmarkStart w:id="2" w:name="resume_bullet"/>
      <w:r>
        <w:t>Resume Bullet</w:t>
      </w:r>
      <w:bookmarkEnd w:id="2"/>
    </w:p>
    <w:p>
      <w:r>
        <w:t>Led an infrastructure hygiene audit across roughly 400-500 target groups at Western Union, tracing the full dependency chain from Route 53 through API Gateway, load balancers, and target groups to backing EC2/ECS resources. Identified and remediated target groups running unhealthy or partially unhealthy with no monitoring in place, resolved certificate sprawl in ACM (multiple stale certificates per live certificate), and uncovered load balancers serving traffic on expired certificates tied to already-sunset applications whose infrastructure was never decommissioned. Implemented health-check and certificate-expiry alerting, decommissioned the orphaned infrastructure end-to-end, and built a phase-wise decommissioning checklist to prevent recurrence.</w:t>
      </w:r>
    </w:p>
    <w:p>
      <w:pPr>
        <w:pStyle w:val="Heading2"/>
        <ck:id v="cover-letter-paragraph"/>
      </w:pPr>
      <w:bookmarkStart w:id="3" w:name="cover_letter_paragraph"/>
      <w:r>
        <w:t>Cover Letter Paragraph</w:t>
      </w:r>
      <w:bookmarkEnd w:id="3"/>
    </w:p>
    <w:p>
      <w:r>
        <w:t>A related project uncovered something more concerning: while auditing our load balancer and target group infrastructure, I found several load balancers still running in production on expired TLS certificates — some tied to applications that had already been sunset, where the underlying infrastructure was simply never torn down. I also found certificate sprawl in ACM, where every renewal left the old certificate in place instead of retiring it, so we were managing two or three stale certificates for every one actually in use. I cleaned up the expired certificates, mapped every live certificate to the application actually using it, and built alerting so certificate expiry gets caught before it becomes a production risk again. For the genuinely dead infrastructure, I removed the load balancer, target group, EC2 or ECS backend, certificate, and DNS record together, and built a phase-wise decommissioning checklist so the next application sunset doesn't leave the same debris behind.</w:t>
      </w:r>
    </w:p>
    <w:p>
      <w:pPr>
        <w:pStyle w:val="Heading2"/>
        <ck:id v="linkedin-post"/>
      </w:pPr>
      <w:bookmarkStart w:id="4" w:name="linkedin_post"/>
      <w:r>
        <w:t>LinkedIn Post</w:t>
      </w:r>
      <w:bookmarkEnd w:id="4"/>
    </w:p>
    <w:p>
      <w:r>
        <w:t>Found something that should worry anyone running production infrastructure: load balancers serving traffic on expired TLS certificates. For months. Attached to applications that had already been shut down, because nobody had actually torn down the infrastructure underneath them.</w:t>
      </w:r>
    </w:p>
    <w:p>
      <w:r>
        <w:t>While I was at it, I found certificate sprawl too — every ACM renewal left the old certificate sitting there instead of retiring it, so we were tracking two or three stale certs for every one actually in use.</w:t>
      </w:r>
    </w:p>
    <w:p>
      <w:r>
        <w:t>Cleaned up the expired certificates, mapped every live one to the app actually using it, set up expiry alerting so this doesn't happen quietly again. For infrastructure that was genuinely dead, removed the load balancer, target group, backend, certificate, and DNS record together — and built a checklist so the next decommission doesn't leave debris behind either.</w:t>
      </w:r>
    </w:p>
    <w:p>
      <w:r>
        <w:t>"It's not costing us anything" is how tech debt always starts.</w:t>
      </w:r>
    </w:p>
    <w:p>
      <w:pPr>
        <w:pStyle w:val="Heading2"/>
        <ck:id v="naukri-key-achievement"/>
      </w:pPr>
      <w:bookmarkStart w:id="5" w:name="naukri_key_achievement"/>
      <w:r>
        <w:t>Naukri — Key Achievement</w:t>
      </w:r>
      <w:bookmarkEnd w:id="5"/>
    </w:p>
    <w:p>
      <w:r>
        <w:t>Led infrastructure hygiene audit across ~400-500 target groups at Western Union, tracing dependencies from Route 53 through API Gateway, load balancers, and target groups to backing compute. Identified and remediated unhealthy target groups, resolved ACM certificate sprawl, and uncovered load balancers running on expired certificates tied to undecommissioned sunset applications. Implemented proactive health-check and certificate-expiry alerting and built a standardized decommissioning checklist.</w:t>
      </w:r>
    </w:p>
    <w:p>
      <w:pPr>
        <w:pStyle w:val="Heading2"/>
        <ck:id v="leadership-delegation-methodology"/>
      </w:pPr>
      <w:bookmarkStart w:id="6" w:name="leadership_delegation_methodology"/>
      <w:r>
        <w:t>Leadership &amp; Delegation Methodology</w:t>
      </w:r>
      <w:bookmarkEnd w:id="6"/>
    </w:p>
    <w:p>
      <w:r>
        <w:t>This describes the operating model used consistently across the RHEL 7 remediation, the RHEL-to-Amazon-Linux cost optimization, and this infrastructure hygiene audit — worth having ready for any "how do you lead a team through complex technical work" interview question, and usable as a LinkedIn About-section opener.</w:t>
      </w:r>
    </w:p>
    <w:p>
      <w:r>
        <w:rPr>
          <w:b/>
        </w:rPr>
        <w:t>Standalone version:</w:t>
      </w:r>
    </w:p>
    <w:p>
      <w:r>
        <w:t>When I take on a complex technical initiative, I don't hand it to the team unresolved. I build the feature myself first — full inventory, planning, and validation testing in a lower environment — and come out of that first sprint with a working SOP, scripts, and documentation. Only once the unknowns are resolved do I bring engineers in, with a proper knowledge transfer, not just a ticket. I break the remaining work into user stories across phases and environments, sized by story points, and then I stay close to execution — tracking progress daily and stepping in personally wherever someone gets stuck. The team never inherits a problem I haven't already understood myself.</w:t>
      </w:r>
    </w:p>
    <w:p>
      <w:r>
        <w:rPr>
          <w:b/>
        </w:rPr>
        <w:t>Short version — append to the team/delivery section of any project write-up:</w:t>
      </w:r>
    </w:p>
    <w:p>
      <w:r>
        <w:t>As with every initiative I run, I did the discovery and validation myself first — testing the approach end-to-end in a lower environment and producing the SOP and scripts — before bringing the team in with a proper knowledge transfer and story-pointed, phase-based execution plan.</w:t>
      </w:r>
    </w:p>
    <w:p>
      <w:pPr>
        <w:pStyle w:val="Heading2"/>
        <ck:id v="open-items"/>
      </w:pPr>
      <w:bookmarkStart w:id="7" w:name="open_items"/>
      <w:r>
        <w:t>Open Items</w:t>
      </w:r>
      <w:bookmarkEnd w:id="7"/>
    </w:p>
    <w:p>
      <w:pPr>
        <w:pStyle w:val="ListParagraph"/>
        <w:numPr>
          <w:ilvl w:val="0"/>
          <w:numId w:val="1"/>
        </w:numPr>
      </w:pPr>
      <w:r>
        <w:t>Confirm whether this project (2024, Western Union) should be positioned as standalone or folded into a single "what I accomplished at Western Union" interview narrative alongside the RHEL remediation and AMI cost optimization — all three follow the same audit-fix-alert-institutionalize pattern.</w:t>
      </w:r>
    </w:p>
    <w:p>
      <w:pPr>
        <w:pStyle w:val="ListParagraph"/>
        <w:numPr>
          <w:ilvl w:val="0"/>
          <w:numId w:val="1"/>
        </w:numPr>
      </w:pPr>
      <w:r>
        <w:t>Prepare one real example of delegation or a plan not going as expected, for the likely behavioral-interview follow-up ("tell me about a time your plan was wrong once the team was executing against it").</w:t>
      </w:r>
    </w:p>
    <w:sectPr>
      <ck:section v="1:||margins=1in,size=letter"/>
      <w:footerReference w:type="default" r:id="rIdHf1"/>
      <w:pgSz w:w="12240" w:h="15840"/>
      <w:pgMar w:top="1440" w:right="1440" w:bottom="1440" w:left="1440" w:header="720" w:footer="720" w:gutter="0"/>
    </w:sectPr>
  </w:body>
</w:document>
</file>

<file path=word/fontTable.xml><?xml version="1.0" encoding="utf-8"?>
<w:fonts xmlns:w="http://schemas.openxmlformats.org/wordprocessingml/2006/main">
  <w:font w:name="Calibri">
    <w:family w:val="swiss"/>
  </w:font>
  <w:font w:name="Calibri Light">
    <w:family w:val="swiss"/>
  </w:font>
  <w:font w:name="Consolas">
    <w:family w:val="modern"/>
  </w:font>
</w:fonts>
</file>

<file path=word/footer1.xml><?xml version="1.0" encoding="utf-8"?>
<w:ftr xmlns:w="http://schemas.openxmlformats.org/wordprocessingml/2006/main" xmlns:r="http://schemas.openxmlformats.org/officeDocument/2006/relationships" xmlns:wp="http://schemas.openxmlformats.org/drawingml/2006/wordprocessingDrawing" xmlns:m="http://schemas.openxmlformats.org/officeDocument/2006/math" xmlns:mc="http://schemas.openxmlformats.org/markup-compatibility/2006" xmlns:ck="urn:clarkdown:docx" mc:Ignorable="ck">
  <w:sdt>
    <w:sdtPr>
      <w:tag w:val="clarkdown:div"/>
      <ck:div v="||text-align=center"/>
    </w:sdtPr>
    <w:sdtContent>
      <w:p>
        <w:pPr>
          <w:jc w:val="center"/>
        </w:pPr>
        <w:fldSimple w:instr="PAGE">
          <w:r>
            <w:t>1</w:t>
          </w:r>
        </w:fldSimple>
      </w:p>
    </w:sdtContent>
  </w:sdt>
</w:ftr>
</file>

<file path=word/numbering.xml><?xml version="1.0" encoding="utf-8"?>
<w:numbering xmlns:w="http://schemas.openxmlformats.org/wordprocessingml/2006/main">
  <w:abstractNum w:abstractNumId="1">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2">
    <w:multiLevelType w:val="hybrid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1."/>
      <w:lvlJc w:val="left"/>
      <w:pPr>
        <w:ind w:left="2880" w:hanging="360"/>
      </w:pPr>
    </w:lvl>
    <w:lvl w:ilvl="4">
      <w:start w:val="1"/>
      <w:numFmt w:val="decimal"/>
      <w:lvlText w:val="%2."/>
      <w:lvlJc w:val="left"/>
      <w:pPr>
        <w:ind w:left="3600" w:hanging="360"/>
      </w:pPr>
    </w:lvl>
    <w:lvl w:ilvl="5">
      <w:start w:val="1"/>
      <w:numFmt w:val="decimal"/>
      <w:lvlText w:val="%3."/>
      <w:lvlJc w:val="left"/>
      <w:pPr>
        <w:ind w:left="4320" w:hanging="360"/>
      </w:pPr>
    </w:lvl>
    <w:lvl w:ilvl="6">
      <w:start w:val="1"/>
      <w:numFmt w:val="decimal"/>
      <w:lvlText w:val="%1."/>
      <w:lvlJc w:val="left"/>
      <w:pPr>
        <w:ind w:left="5040" w:hanging="360"/>
      </w:pPr>
    </w:lvl>
    <w:lvl w:ilvl="7">
      <w:start w:val="1"/>
      <w:numFmt w:val="decimal"/>
      <w:lvlText w:val="%2."/>
      <w:lvlJc w:val="left"/>
      <w:pPr>
        <w:ind w:left="5760" w:hanging="360"/>
      </w:pPr>
    </w:lvl>
    <w:lvl w:ilvl="8">
      <w:start w:val="1"/>
      <w:numFmt w:val="decimal"/>
      <w:lvlText w:val="%3."/>
      <w:lvlJc w:val="left"/>
      <w:pPr>
        <w:ind w:left="6480" w:hanging="360"/>
      </w:pPr>
    </w:lvl>
  </w:abstractNum>
  <w:abstractNum w:abstractNumId="3">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4">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num w:numId="1">
    <w:abstractNumId w:val="1"/>
  </w:num>
</w:numbering>
</file>

<file path=word/settings.xml><?xml version="1.0" encoding="utf-8"?>
<w:settings xmlns:w="http://schemas.openxmlformats.org/wordprocessingml/2006/main">
  <w:defaultTabStop w:val="720"/>
  <w:compat>
    <w:compatSetting w:name="compatibilityMode" w:uri="http://schemas.microsoft.com/office/word" w:val="15"/>
  </w:compat>
</w:settings>
</file>

<file path=word/styles.xml><?xml version="1.0" encoding="utf-8"?>
<w:styles xmlns:w="http://schemas.openxmlformats.org/wordprocessingml/2006/main">
  <w:docDefaults>
    <w:rPrDefault>
      <w:rPr>
        <w:rFonts w:ascii="Calibri" w:hAnsi="Calibri" w:cs="Calibri"/>
        <w:sz w:val="22"/>
        <w:szCs w:val="22"/>
        <w:lang w:val="en-US"/>
      </w:rPr>
    </w:rPrDefault>
    <w:pPrDefault>
      <w:pPr>
        <w:spacing w:after="160" w:line="312" w:lineRule="auto"/>
      </w:pPr>
    </w:pPrDefault>
  </w:docDefaults>
  <w:style w:type="paragraph" w:styleId="Normal" w:default="1">
    <w:name w:val="Normal"/>
  </w:style>
  <w:style w:type="paragraph" w:styleId="Heading1" w:default="0">
    <w:name w:val="heading 1"/>
    <w:basedOn w:val="Normal"/>
    <w:next w:val="Normal"/>
    <w:pPr>
      <w:keepNext/>
      <w:keepLines/>
      <w:spacing w:before="320" w:line="264" w:lineRule="auto"/>
      <w:outlineLvl w:val="0"/>
    </w:pPr>
    <w:rPr>
      <w:rFonts w:ascii="Calibri Light" w:hAnsi="Calibri Light"/>
      <w:b/>
      <w:color w:val="1A1A1A"/>
      <w:sz w:val="43"/>
      <w:szCs w:val="43"/>
    </w:rPr>
  </w:style>
  <w:style w:type="paragraph" w:styleId="Heading2" w:default="0">
    <w:name w:val="heading 2"/>
    <w:basedOn w:val="Normal"/>
    <w:next w:val="Normal"/>
    <w:pPr>
      <w:keepNext/>
      <w:keepLines/>
      <w:spacing w:before="320" w:line="264" w:lineRule="auto"/>
      <w:outlineLvl w:val="1"/>
    </w:pPr>
    <w:rPr>
      <w:rFonts w:ascii="Calibri Light" w:hAnsi="Calibri Light"/>
      <w:b/>
      <w:sz w:val="34"/>
      <w:szCs w:val="34"/>
    </w:rPr>
  </w:style>
  <w:style w:type="paragraph" w:styleId="Heading3" w:default="0">
    <w:name w:val="heading 3"/>
    <w:basedOn w:val="Normal"/>
    <w:next w:val="Normal"/>
    <w:pPr>
      <w:keepNext/>
      <w:keepLines/>
      <w:spacing w:before="160" w:line="264" w:lineRule="auto"/>
      <w:outlineLvl w:val="2"/>
    </w:pPr>
    <w:rPr>
      <w:rFonts w:ascii="Calibri Light" w:hAnsi="Calibri Light"/>
      <w:b/>
      <w:sz w:val="28"/>
      <w:szCs w:val="28"/>
    </w:rPr>
  </w:style>
  <w:style w:type="paragraph" w:styleId="Heading4" w:default="0">
    <w:name w:val="heading 4"/>
    <w:basedOn w:val="Normal"/>
    <w:next w:val="Normal"/>
    <w:pPr>
      <w:keepNext/>
      <w:keepLines/>
      <w:spacing w:before="160" w:line="264" w:lineRule="auto"/>
      <w:outlineLvl w:val="3"/>
    </w:pPr>
    <w:rPr>
      <w:rFonts w:ascii="Calibri Light" w:hAnsi="Calibri Light"/>
      <w:b/>
      <w:sz w:val="22"/>
      <w:szCs w:val="22"/>
    </w:rPr>
  </w:style>
  <w:style w:type="paragraph" w:styleId="Heading5" w:default="0">
    <w:name w:val="heading 5"/>
    <w:basedOn w:val="Normal"/>
    <w:next w:val="Normal"/>
    <w:pPr>
      <w:keepNext/>
      <w:keepLines/>
      <w:spacing w:before="160" w:line="264" w:lineRule="auto"/>
      <w:outlineLvl w:val="4"/>
    </w:pPr>
    <w:rPr>
      <w:rFonts w:ascii="Calibri Light" w:hAnsi="Calibri Light"/>
      <w:b/>
      <w:sz w:val="22"/>
      <w:szCs w:val="22"/>
    </w:rPr>
  </w:style>
  <w:style w:type="paragraph" w:styleId="Heading6" w:default="0">
    <w:name w:val="heading 6"/>
    <w:basedOn w:val="Normal"/>
    <w:next w:val="Normal"/>
    <w:pPr>
      <w:keepNext/>
      <w:keepLines/>
      <w:spacing w:before="160" w:line="264" w:lineRule="auto"/>
      <w:outlineLvl w:val="5"/>
    </w:pPr>
    <w:rPr>
      <w:rFonts w:ascii="Calibri Light" w:hAnsi="Calibri Light"/>
      <w:b/>
      <w:sz w:val="22"/>
      <w:szCs w:val="22"/>
    </w:rPr>
  </w:style>
  <w:style w:type="paragraph" w:styleId="Quote" w:default="0">
    <w:name w:val="Quote"/>
    <w:basedOn w:val="Normal"/>
    <w:pPr>
      <w:ind w:left="320"/>
      <w:pBdr>
        <w:left w:val="single" w:sz="24" w:space="12" w:color="BFBFBF"/>
      </w:pBdr>
    </w:pPr>
    <w:rPr>
      <w:i/>
      <w:color w:val="595959"/>
    </w:rPr>
  </w:style>
  <w:style w:type="character" w:styleId="CkHighlight">
    <w:name w:val="Clarkdown Highlight"/>
    <w:rPr>
      <w:shd w:val="clear" w:fill="FFF2A8"/>
    </w:rPr>
  </w:style>
  <w:style w:type="character" w:styleId="CkSmallcaps">
    <w:name w:val="Clarkdown Smallcaps"/>
    <w:rPr>
      <w:smallCaps/>
    </w:rPr>
  </w:style>
  <w:style w:type="character" w:styleId="CkUnderline">
    <w:name w:val="Clarkdown Underline"/>
    <w:rPr>
      <w:u w:val="single"/>
    </w:rPr>
  </w:style>
  <w:style w:type="character" w:styleId="CkMuted">
    <w:name w:val="Clarkdown Muted"/>
    <w:rPr>
      <w:color w:val="595959"/>
    </w:rPr>
  </w:style>
  <w:style w:type="character" w:styleId="CkAccent">
    <w:name w:val="Clarkdown Accent"/>
    <w:rPr>
      <w:color w:val="1A1A1A"/>
    </w:rPr>
  </w:style>
  <w:style w:type="character" w:styleId="CkCaption">
    <w:name w:val="Clarkdown Caption"/>
    <w:rPr>
      <w:i/>
      <w:color w:val="595959"/>
      <w:sz w:val="20"/>
      <w:szCs w:val="20"/>
    </w:rPr>
  </w:style>
  <w:style w:type="paragraph" w:styleId="CkDisplay" w:default="0">
    <w:name w:val="Clarkdown Display"/>
    <w:basedOn w:val="Normal"/>
    <w:next w:val="Normal"/>
    <w:pPr>
      <w:keepNext/>
      <w:keepLines/>
      <w:spacing w:after="240" w:line="264" w:lineRule="auto"/>
    </w:pPr>
    <w:rPr>
      <w:rFonts w:ascii="Calibri Light" w:hAnsi="Calibri Light"/>
      <w:b/>
      <w:color w:val="1A1A1A"/>
      <w:sz w:val="132"/>
      <w:szCs w:val="132"/>
    </w:rPr>
  </w:style>
  <w:style w:type="character" w:styleId="CkKicker">
    <w:name w:val="Clarkdown Kicker"/>
    <w:rPr>
      <w:smallCaps/>
      <w:spacing w:val="18"/>
      <w:color w:val="595959"/>
    </w:rPr>
  </w:style>
  <w:style w:type="paragraph" w:styleId="CkTrackedCaps" w:default="0">
    <w:name w:val="Clarkdown Tracked Caps"/>
    <w:basedOn w:val="Normal"/>
    <w:next w:val="Normal"/>
    <w:rPr>
      <w:smallCaps/>
      <w:spacing w:val="18"/>
    </w:rPr>
  </w:style>
  <w:style w:type="paragraph" w:styleId="Title" w:default="0">
    <w:name w:val="Title"/>
    <w:basedOn w:val="Normal"/>
    <w:next w:val="Normal"/>
    <w:pPr>
      <w:keepNext/>
      <w:keepLines/>
      <w:spacing w:after="240" w:line="264" w:lineRule="auto"/>
    </w:pPr>
    <w:rPr>
      <w:rFonts w:ascii="Calibri Light" w:hAnsi="Calibri Light"/>
      <w:b/>
      <w:sz w:val="54"/>
      <w:szCs w:val="54"/>
    </w:rPr>
  </w:style>
  <w:style w:type="character" w:styleId="Hyperlink">
    <w:name w:val="Hyperlink"/>
    <w:rPr>
      <w:color w:val="1A1A1A"/>
      <w:u w:val="single"/>
    </w:rPr>
  </w:style>
  <w:style w:type="paragraph" w:styleId="CkCodeBlock" w:default="0">
    <w:name w:val="Clarkdown Code Block"/>
    <w:basedOn w:val="Normal"/>
    <w:pPr>
      <w:shd w:val="clear" w:fill="EDEDED"/>
      <w:spacing w:after="0" w:line="240" w:lineRule="auto"/>
    </w:pPr>
    <w:rPr>
      <w:rFonts w:ascii="Consolas" w:hAnsi="Consolas"/>
      <w:noProof/>
      <w:sz w:val="20"/>
    </w:rPr>
  </w:style>
  <w:style w:type="character" w:styleId="CkCode">
    <w:name w:val="Clarkdown Code"/>
    <w:rPr>
      <w:rFonts w:ascii="Consolas" w:hAnsi="Consolas"/>
      <w:shd w:val="clear" w:fill="EDEDED"/>
      <w:sz w:val="20"/>
    </w:rPr>
  </w:style>
  <w:style w:type="paragraph" w:styleId="Caption" w:default="0">
    <w:name w:val="caption"/>
    <w:basedOn w:val="Normal"/>
    <w:rPr>
      <w:i/>
      <w:sz w:val="18"/>
    </w:rPr>
  </w:style>
  <w:style w:type="paragraph" w:styleId="ListParagraph" w:default="0">
    <w:name w:val="List Paragraph"/>
    <w:basedOn w:val="Normal"/>
    <w:pPr>
      <w:ind w:left="320"/>
    </w:pPr>
  </w:style>
  <w:style w:type="paragraph" w:styleId="CkUnknown" w:default="0">
    <w:name w:val="Clarkdown Unknown"/>
    <w:basedOn w:val="Normal"/>
    <w:pPr>
      <w:shd w:val="clear" w:fill="FFEEEE"/>
    </w:pPr>
  </w:style>
  <w:style w:type="paragraph" w:styleId="FootnoteText" w:default="0">
    <w:name w:val="footnote text"/>
    <w:basedOn w:val="Normal"/>
    <w:rPr>
      <w:sz w:val="18"/>
    </w:rPr>
  </w:style>
  <w:style w:type="character" w:styleId="FootnoteReference">
    <w:name w:val="footnote reference"/>
    <w:rPr>
      <w:vertAlign w:val="superscript"/>
    </w:rPr>
  </w:style>
  <w:style w:type="table" w:styleId="CkTable">
    <w:name w:val="Clarkdown Table"/>
    <w:tblPr>
      <w:tblBorders>
        <w:top w:val="single" w:sz="4" w:color="BFBFBF"/>
        <w:left w:val="single" w:sz="4" w:color="BFBFBF"/>
        <w:bottom w:val="single" w:sz="4" w:color="BFBFBF"/>
        <w:right w:val="single" w:sz="4" w:color="BFBFBF"/>
        <w:insideH w:val="single" w:sz="4" w:color="BFBFBF"/>
        <w:insideV w:val="single" w:sz="4" w:color="BFBFBF"/>
      </w:tblBorders>
      <w:tblCellMar>
        <w:top w:w="80" w:type="dxa"/>
        <w:left w:w="80" w:type="dxa"/>
        <w:bottom w:w="80" w:type="dxa"/>
        <w:right w:w="80" w:type="dxa"/>
      </w:tblCellMar>
    </w:tblPr>
  </w:style>
  <w:style w:type="table" w:styleId="CkLayout">
    <w:name w:val="Clarkdown Layout"/>
    <w:tblPr>
      <w:tblBorders>
        <w:top w:val="none"/>
        <w:left w:val="none"/>
        <w:bottom w:val="none"/>
        <w:right w:val="none"/>
        <w:insideH w:val="none"/>
        <w:insideV w:val="none"/>
      </w:tblBorders>
    </w:tblPr>
  </w:style>
  <w:style w:type="paragraph" w:styleId="CkNote" w:default="0">
    <w:name w:val="Clarkdown Note"/>
    <w:basedOn w:val="Normal"/>
    <w:pPr>
      <w:pBdr>
        <w:left w:val="single" w:sz="24" w:space="8" w:color="2F6FEB"/>
      </w:pBdr>
      <w:ind w:left="240"/>
    </w:pPr>
  </w:style>
  <w:style w:type="paragraph" w:styleId="CkTip" w:default="0">
    <w:name w:val="Clarkdown Tip"/>
    <w:basedOn w:val="Normal"/>
    <w:pPr>
      <w:pBdr>
        <w:left w:val="single" w:sz="24" w:space="8" w:color="1A7F37"/>
      </w:pBdr>
      <w:ind w:left="240"/>
    </w:pPr>
  </w:style>
  <w:style w:type="paragraph" w:styleId="CkWarning" w:default="0">
    <w:name w:val="Clarkdown Warning"/>
    <w:basedOn w:val="Normal"/>
    <w:pPr>
      <w:pBdr>
        <w:left w:val="single" w:sz="24" w:space="8" w:color="9A6700"/>
      </w:pBdr>
      <w:ind w:left="240"/>
    </w:pPr>
  </w:style>
  <w:style w:type="paragraph" w:styleId="CkImportant" w:default="0">
    <w:name w:val="Clarkdown Important"/>
    <w:basedOn w:val="Normal"/>
    <w:pPr>
      <w:pBdr>
        <w:left w:val="single" w:sz="24" w:space="8" w:color="8250DF"/>
      </w:pBdr>
      <w:ind w:left="240"/>
    </w:pPr>
  </w:style>
  <w:style w:type="paragraph" w:styleId="CkCaution" w:default="0">
    <w:name w:val="Clarkdown Caution"/>
    <w:basedOn w:val="Normal"/>
    <w:pPr>
      <w:pBdr>
        <w:left w:val="single" w:sz="24" w:space="8" w:color="CF222E"/>
      </w:pBdr>
      <w:ind w:left="240"/>
    </w:pPr>
  </w:style>
</w:styles>
</file>

<file path=word/_rels/document.xml.rels><?xml version="1.0" encoding="UTF-8" standalone="yes"?>
<Relationships xmlns="http://schemas.openxmlformats.org/package/2006/relationships"><Relationship Id="rIdStyles" Type="http://schemas.openxmlformats.org/officeDocument/2006/relationships/styles" Target="styles.xml"/><Relationship Id="rIdNumbering" Type="http://schemas.openxmlformats.org/officeDocument/2006/relationships/numbering" Target="numbering.xml"/><Relationship Id="rIdFonts" Type="http://schemas.openxmlformats.org/officeDocument/2006/relationships/fontTable" Target="fontTable.xml"/><Relationship Id="rIdSettings" Type="http://schemas.openxmlformats.org/officeDocument/2006/relationships/settings" Target="settings.xml"/><Relationship Id="rIdHf1" Type="http://schemas.openxmlformats.org/officeDocument/2006/relationships/footer" Target="footer1.xml"/></Relationships>
</file>

<file path=docProps/core.xml><?xml version="1.0" encoding="utf-8"?>
<cp:coreProperties xmlns:cp="http://schemas.openxmlformats.org/package/2006/metadata/core-properties" xmlns:dc="http://purl.org/dc/elements/1.1/" xmlns:dcterms="http://purl.org/dc/terms/" xmlns:xsi="http://www.w3.org/2001/XMLSchema-instance"/>
</file>