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40"/>
          <w:szCs w:val="40"/>
        </w:rPr>
        <w:t xml:space="preserve">Vishal Bhilare</w:t>
      </w:r>
    </w:p>
    <w:p>
      <w:pPr>
        <w:pBdr>
          <w:bottom w:val="single" w:color="1F4E5F" w:sz="6" w:space="8"/>
        </w:pBdr>
        <w:spacing w:after="240"/>
      </w:pPr>
      <w:r>
        <w:rPr>
          <w:rFonts w:ascii="Calibri" w:cs="Calibri" w:eastAsia="Calibri" w:hAnsi="Calibri"/>
          <w:color w:val="595959"/>
          <w:sz w:val="22"/>
          <w:szCs w:val="22"/>
        </w:rPr>
        <w:t xml:space="preserve">Career Achievements Portfolio — Compiled Reference, All Initiatives</w:t>
      </w:r>
    </w:p>
    <w:p>
      <w:pPr>
        <w:spacing w:after="160" w:line="264"/>
      </w:pPr>
      <w:r>
        <w:rPr>
          <w:rFonts w:ascii="Calibri" w:cs="Calibri" w:eastAsia="Calibri" w:hAnsi="Calibri"/>
          <w:sz w:val="21"/>
          <w:szCs w:val="21"/>
        </w:rPr>
        <w:t xml:space="preserve">This is a working reference, not a submission document — it pulls together every initiative discussed so far, grouped by category, with the problem, what was actually done, the outcome, and (where relevant) what's still unverified. Use it to pull the right story for a specific resume line, cover letter, or interview answer rather than sending it anywhere as-is.</w:t>
      </w:r>
    </w:p>
    <w:p>
      <w:pPr>
        <w:spacing w:after="160" w:before="120"/>
      </w:pPr>
      <w:r>
        <w:rPr>
          <w:rFonts w:ascii="Calibri" w:cs="Calibri" w:eastAsia="Calibri" w:hAnsi="Calibri"/>
          <w:b/>
          <w:bCs/>
          <w:color w:val="1F4E5F"/>
          <w:sz w:val="26"/>
          <w:szCs w:val="26"/>
        </w:rPr>
        <w:t xml:space="preserve">Overview</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900"/>
        <w:gridCol w:w="2700"/>
      </w:tblGrid>
      <w:tr>
        <w:trPr>
          <w:tblHeader/>
        </w:trPr>
        <w:tc>
          <w:tcPr>
            <w:tcW w:type="dxa" w:w="2500"/>
            <w:shd w:fill="1F4E5F" w:val="clear"/>
            <w:tcMar>
              <w:top w:type="dxa" w:w="100"/>
              <w:left w:type="dxa" w:w="100"/>
              <w:bottom w:type="dxa" w:w="100"/>
              <w:right w:type="dxa" w:w="100"/>
            </w:tcMar>
            <w:vAlign w:val="center"/>
          </w:tcPr>
          <w:p>
            <w:r>
              <w:rPr>
                <w:rFonts w:ascii="Calibri" w:cs="Calibri" w:eastAsia="Calibri" w:hAnsi="Calibri"/>
                <w:b/>
                <w:bCs/>
                <w:color w:val="FFFFFF"/>
                <w:sz w:val="18"/>
                <w:szCs w:val="18"/>
              </w:rPr>
              <w:t xml:space="preserve">Initiative</w:t>
            </w:r>
          </w:p>
        </w:tc>
        <w:tc>
          <w:tcPr>
            <w:tcW w:type="dxa" w:w="2000"/>
            <w:shd w:fill="1F4E5F" w:val="clear"/>
            <w:tcMar>
              <w:top w:type="dxa" w:w="100"/>
              <w:left w:type="dxa" w:w="100"/>
              <w:bottom w:type="dxa" w:w="100"/>
              <w:right w:type="dxa" w:w="100"/>
            </w:tcMar>
            <w:vAlign w:val="center"/>
          </w:tcPr>
          <w:p>
            <w:r>
              <w:rPr>
                <w:rFonts w:ascii="Calibri" w:cs="Calibri" w:eastAsia="Calibri" w:hAnsi="Calibri"/>
                <w:b/>
                <w:bCs/>
                <w:color w:val="FFFFFF"/>
                <w:sz w:val="18"/>
                <w:szCs w:val="18"/>
              </w:rPr>
              <w:t xml:space="preserve">Category</w:t>
            </w:r>
          </w:p>
        </w:tc>
        <w:tc>
          <w:tcPr>
            <w:tcW w:type="dxa" w:w="2900"/>
            <w:shd w:fill="1F4E5F" w:val="clear"/>
            <w:tcMar>
              <w:top w:type="dxa" w:w="100"/>
              <w:left w:type="dxa" w:w="100"/>
              <w:bottom w:type="dxa" w:w="100"/>
              <w:right w:type="dxa" w:w="100"/>
            </w:tcMar>
            <w:vAlign w:val="center"/>
          </w:tcPr>
          <w:p>
            <w:r>
              <w:rPr>
                <w:rFonts w:ascii="Calibri" w:cs="Calibri" w:eastAsia="Calibri" w:hAnsi="Calibri"/>
                <w:b/>
                <w:bCs/>
                <w:color w:val="FFFFFF"/>
                <w:sz w:val="18"/>
                <w:szCs w:val="18"/>
              </w:rPr>
              <w:t xml:space="preserve">Problem</w:t>
            </w:r>
          </w:p>
        </w:tc>
        <w:tc>
          <w:tcPr>
            <w:tcW w:type="dxa" w:w="2700"/>
            <w:shd w:fill="1F4E5F" w:val="clear"/>
            <w:tcMar>
              <w:top w:type="dxa" w:w="100"/>
              <w:left w:type="dxa" w:w="100"/>
              <w:bottom w:type="dxa" w:w="100"/>
              <w:right w:type="dxa" w:w="100"/>
            </w:tcMar>
            <w:vAlign w:val="center"/>
          </w:tcPr>
          <w:p>
            <w:r>
              <w:rPr>
                <w:rFonts w:ascii="Calibri" w:cs="Calibri" w:eastAsia="Calibri" w:hAnsi="Calibri"/>
                <w:b/>
                <w:bCs/>
                <w:color w:val="FFFFFF"/>
                <w:sz w:val="18"/>
                <w:szCs w:val="18"/>
              </w:rPr>
              <w:t xml:space="preserve">Outcome</w:t>
            </w:r>
          </w:p>
        </w:tc>
      </w:tr>
      <w:tr>
        <w:trPr>
          <w:tblHeader w:val="false"/>
        </w:trPr>
        <w:tc>
          <w:tcPr>
            <w:tcW w:type="dxa" w:w="25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RHEL 7 Zero-Day Remediation</w:t>
            </w:r>
          </w:p>
        </w:tc>
        <w:tc>
          <w:tcPr>
            <w:tcW w:type="dxa" w:w="20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SRE / Reliability</w:t>
            </w:r>
          </w:p>
        </w:tc>
        <w:tc>
          <w:tcPr>
            <w:tcW w:type="dxa" w:w="29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Zero-day vulnerability on RHEL 7 fleet</w:t>
            </w:r>
          </w:p>
        </w:tc>
        <w:tc>
          <w:tcPr>
            <w:tcW w:type="dxa" w:w="27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Patched via in-place upgrade, zero downtime</w:t>
            </w:r>
          </w:p>
        </w:tc>
      </w:tr>
      <w:tr>
        <w:trPr>
          <w:tblHeader w:val="false"/>
        </w:trPr>
        <w:tc>
          <w:tcPr>
            <w:tcW w:type="dxa" w:w="25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RHEL → Amazon Linux Cost Optimization</w:t>
            </w:r>
          </w:p>
        </w:tc>
        <w:tc>
          <w:tcPr>
            <w:tcW w:type="dxa" w:w="20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FinOps</w:t>
            </w:r>
          </w:p>
        </w:tc>
        <w:tc>
          <w:tcPr>
            <w:tcW w:type="dxa" w:w="29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RHEL licensing cost overhead</w:t>
            </w:r>
          </w:p>
        </w:tc>
        <w:tc>
          <w:tcPr>
            <w:tcW w:type="dxa" w:w="27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Licensing cost eliminated on migrated fleet</w:t>
            </w:r>
          </w:p>
        </w:tc>
      </w:tr>
      <w:tr>
        <w:trPr>
          <w:tblHeader w:val="false"/>
        </w:trPr>
        <w:tc>
          <w:tcPr>
            <w:tcW w:type="dxa" w:w="25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Infrastructure Hygiene Audit</w:t>
            </w:r>
          </w:p>
        </w:tc>
        <w:tc>
          <w:tcPr>
            <w:tcW w:type="dxa" w:w="20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Governance &amp; Leadership</w:t>
            </w:r>
          </w:p>
        </w:tc>
        <w:tc>
          <w:tcPr>
            <w:tcW w:type="dxa" w:w="29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Certificate/DNS/LB sprawl, live outage risk</w:t>
            </w:r>
          </w:p>
        </w:tc>
        <w:tc>
          <w:tcPr>
            <w:tcW w:type="dxa" w:w="27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Hundreds of stale records cleared via delegation</w:t>
            </w:r>
          </w:p>
        </w:tc>
      </w:tr>
      <w:tr>
        <w:trPr>
          <w:tblHeader w:val="false"/>
        </w:trPr>
        <w:tc>
          <w:tcPr>
            <w:tcW w:type="dxa" w:w="25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Cloud Cost Optimization Program</w:t>
            </w:r>
          </w:p>
        </w:tc>
        <w:tc>
          <w:tcPr>
            <w:tcW w:type="dxa" w:w="20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FinOps</w:t>
            </w:r>
          </w:p>
        </w:tc>
        <w:tc>
          <w:tcPr>
            <w:tcW w:type="dxa" w:w="29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Uncontrolled cloud spend across 5 areas</w:t>
            </w:r>
          </w:p>
        </w:tc>
        <w:tc>
          <w:tcPr>
            <w:tcW w:type="dxa" w:w="27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~$49K–$54K/yr confirmed savings (2 of 5 initiatives)</w:t>
            </w:r>
          </w:p>
        </w:tc>
      </w:tr>
      <w:tr>
        <w:trPr>
          <w:tblHeader w:val="false"/>
        </w:trPr>
        <w:tc>
          <w:tcPr>
            <w:tcW w:type="dxa" w:w="25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Energy Exemplar Process Transformation</w:t>
            </w:r>
          </w:p>
        </w:tc>
        <w:tc>
          <w:tcPr>
            <w:tcW w:type="dxa" w:w="20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Process &amp; SRE Leadership</w:t>
            </w:r>
          </w:p>
        </w:tc>
        <w:tc>
          <w:tcPr>
            <w:tcW w:type="dxa" w:w="29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No change/release/readiness discipline</w:t>
            </w:r>
          </w:p>
        </w:tc>
        <w:tc>
          <w:tcPr>
            <w:tcW w:type="dxa" w:w="27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Predictable change, release, and incident closure</w:t>
            </w:r>
          </w:p>
        </w:tc>
      </w:tr>
      <w:tr>
        <w:trPr>
          <w:tblHeader w:val="false"/>
        </w:trPr>
        <w:tc>
          <w:tcPr>
            <w:tcW w:type="dxa" w:w="25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Certificate Expiry Escalation Process</w:t>
            </w:r>
          </w:p>
        </w:tc>
        <w:tc>
          <w:tcPr>
            <w:tcW w:type="dxa" w:w="20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SRE / Reliability (Process)</w:t>
            </w:r>
          </w:p>
        </w:tc>
        <w:tc>
          <w:tcPr>
            <w:tcW w:type="dxa" w:w="29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2–3 certificate outages/month</w:t>
            </w:r>
          </w:p>
        </w:tc>
        <w:tc>
          <w:tcPr>
            <w:tcW w:type="dxa" w:w="2700"/>
            <w:tcMar>
              <w:top w:type="dxa" w:w="100"/>
              <w:left w:type="dxa" w:w="100"/>
              <w:bottom w:type="dxa" w:w="100"/>
              <w:right w:type="dxa" w:w="100"/>
            </w:tcMar>
            <w:vAlign w:val="center"/>
          </w:tcPr>
          <w:p>
            <w:r>
              <w:rPr>
                <w:rFonts w:ascii="Calibri" w:cs="Calibri" w:eastAsia="Calibri" w:hAnsi="Calibri"/>
                <w:b w:val="false"/>
                <w:bCs w:val="false"/>
                <w:color w:val="000000"/>
                <w:sz w:val="18"/>
                <w:szCs w:val="18"/>
              </w:rPr>
              <w:t xml:space="preserve">Zero outages in Q2 2026; teams self-manage renewals</w:t>
            </w:r>
          </w:p>
        </w:tc>
      </w:tr>
    </w:tbl>
    <w:p>
      <w:pPr>
        <w:spacing w:after="0" w:before="100"/>
      </w:pPr>
      <w:r>
        <w:br w:type="page"/>
      </w:r>
    </w:p>
    <w:p>
      <w:pPr>
        <w:pStyle w:val="Heading1"/>
        <w:pBdr>
          <w:bottom w:val="single" w:color="1F4E5F" w:sz="4" w:space="4"/>
        </w:pBdr>
        <w:spacing w:after="60" w:before="320"/>
      </w:pPr>
      <w:r>
        <w:rPr>
          <w:rFonts w:ascii="Calibri" w:cs="Calibri" w:eastAsia="Calibri" w:hAnsi="Calibri"/>
          <w:b/>
          <w:bCs/>
          <w:color w:val="1F4E5F"/>
          <w:sz w:val="26"/>
          <w:szCs w:val="26"/>
        </w:rPr>
        <w:t xml:space="preserve">1. RHEL 7 Zero-Day Remediation</w:t>
      </w:r>
    </w:p>
    <w:p>
      <w:pPr>
        <w:spacing w:after="140"/>
      </w:pPr>
      <w:r>
        <w:rPr>
          <w:rFonts w:ascii="Calibri" w:cs="Calibri" w:eastAsia="Calibri" w:hAnsi="Calibri"/>
          <w:b/>
          <w:bCs/>
          <w:color w:val="595959"/>
          <w:sz w:val="18"/>
          <w:szCs w:val="18"/>
        </w:rPr>
        <w:t xml:space="preserve">Category: </w:t>
      </w:r>
      <w:r>
        <w:rPr>
          <w:rFonts w:ascii="Calibri" w:cs="Calibri" w:eastAsia="Calibri" w:hAnsi="Calibri"/>
          <w:i/>
          <w:iCs/>
          <w:color w:val="595959"/>
          <w:sz w:val="18"/>
          <w:szCs w:val="18"/>
        </w:rPr>
        <w:t xml:space="preserve">SRE / Reliability Engineering</w:t>
      </w:r>
    </w:p>
    <w:p>
      <w:pPr>
        <w:spacing w:after="160" w:line="264"/>
      </w:pPr>
      <w:r>
        <w:rPr>
          <w:rFonts w:ascii="Calibri" w:cs="Calibri" w:eastAsia="Calibri" w:hAnsi="Calibri"/>
          <w:b/>
          <w:bCs/>
          <w:color w:val="2E7D6B"/>
          <w:sz w:val="21"/>
          <w:szCs w:val="21"/>
        </w:rPr>
        <w:t xml:space="preserve">Problem: </w:t>
      </w:r>
      <w:r>
        <w:rPr>
          <w:rFonts w:ascii="Calibri" w:cs="Calibri" w:eastAsia="Calibri" w:hAnsi="Calibri"/>
          <w:sz w:val="21"/>
          <w:szCs w:val="21"/>
        </w:rPr>
        <w:t xml:space="preserve">A zero-day vulnerability was disclosed against RHEL 7, and the production fleet was still running it. A full server rebuild was the default “safe” response, but would have meant extended downtime and rework given how much infrastructure was tied to existing IPs and root volumes.</w:t>
      </w:r>
    </w:p>
    <w:p>
      <w:pPr>
        <w:spacing w:after="160" w:line="264"/>
      </w:pPr>
      <w:r>
        <w:rPr>
          <w:rFonts w:ascii="Calibri" w:cs="Calibri" w:eastAsia="Calibri" w:hAnsi="Calibri"/>
          <w:b/>
          <w:bCs/>
          <w:color w:val="2E7D6B"/>
          <w:sz w:val="21"/>
          <w:szCs w:val="21"/>
        </w:rPr>
        <w:t xml:space="preserve">What I Did: </w:t>
      </w:r>
      <w:r>
        <w:rPr>
          <w:rFonts w:ascii="Calibri" w:cs="Calibri" w:eastAsia="Calibri" w:hAnsi="Calibri"/>
          <w:sz w:val="21"/>
          <w:szCs w:val="21"/>
        </w:rPr>
        <w:t xml:space="preserve">Led an in-place OS upgrade using Leapp instead of a rebuild. That surfaced a Cassandra RPM dependency conflict that had to be resolved mid-upgrade, and required running SELinux in permissive mode during the transition window. To execute the cutover without an outage, shifted production traffic cross-region and brought upgraded instances back into rotation once verified.</w:t>
      </w:r>
    </w:p>
    <w:p>
      <w:pPr>
        <w:spacing w:after="160" w:line="264"/>
      </w:pPr>
      <w:r>
        <w:rPr>
          <w:rFonts w:ascii="Calibri" w:cs="Calibri" w:eastAsia="Calibri" w:hAnsi="Calibri"/>
          <w:b/>
          <w:bCs/>
          <w:color w:val="2E7D6B"/>
          <w:sz w:val="21"/>
          <w:szCs w:val="21"/>
        </w:rPr>
        <w:t xml:space="preserve">Outcome: </w:t>
      </w:r>
      <w:r>
        <w:rPr>
          <w:rFonts w:ascii="Calibri" w:cs="Calibri" w:eastAsia="Calibri" w:hAnsi="Calibri"/>
          <w:sz w:val="21"/>
          <w:szCs w:val="21"/>
        </w:rPr>
        <w:t xml:space="preserve">Zero-day patched, zero downtime during cutover, no server rebuilds needed — existing IPs and root volume state preserved instead of re-provisioned.</w:t>
      </w:r>
    </w:p>
    <w:p>
      <w:pPr>
        <w:spacing w:after="160" w:before="40"/>
      </w:pPr>
      <w:r>
        <w:rPr>
          <w:rFonts w:ascii="Calibri" w:cs="Calibri" w:eastAsia="Calibri" w:hAnsi="Calibri"/>
          <w:b/>
          <w:bCs/>
          <w:i/>
          <w:iCs/>
          <w:color w:val="8A6D3B"/>
          <w:sz w:val="18"/>
          <w:szCs w:val="18"/>
        </w:rPr>
        <w:t xml:space="preserve">Notes for later: </w:t>
      </w:r>
      <w:r>
        <w:rPr>
          <w:rFonts w:ascii="Calibri" w:cs="Calibri" w:eastAsia="Calibri" w:hAnsi="Calibri"/>
          <w:i/>
          <w:iCs/>
          <w:color w:val="8A6D3B"/>
          <w:sz w:val="18"/>
          <w:szCs w:val="18"/>
        </w:rPr>
        <w:t xml:space="preserve">Exact RHEL 7 EOL date and the specific traffic-routing mechanism (Route 53 vs. ALB) used for the cross-region shift still need to be confirmed precisely in case a technical interview probes the details.</w:t>
      </w:r>
    </w:p>
    <w:p>
      <w:pPr>
        <w:pStyle w:val="Heading1"/>
        <w:pBdr>
          <w:bottom w:val="single" w:color="1F4E5F" w:sz="4" w:space="4"/>
        </w:pBdr>
        <w:spacing w:after="60" w:before="320"/>
      </w:pPr>
      <w:r>
        <w:rPr>
          <w:rFonts w:ascii="Calibri" w:cs="Calibri" w:eastAsia="Calibri" w:hAnsi="Calibri"/>
          <w:b/>
          <w:bCs/>
          <w:color w:val="1F4E5F"/>
          <w:sz w:val="26"/>
          <w:szCs w:val="26"/>
        </w:rPr>
        <w:t xml:space="preserve">2. RHEL to Amazon Linux Cost Optimization</w:t>
      </w:r>
    </w:p>
    <w:p>
      <w:pPr>
        <w:spacing w:after="140"/>
      </w:pPr>
      <w:r>
        <w:rPr>
          <w:rFonts w:ascii="Calibri" w:cs="Calibri" w:eastAsia="Calibri" w:hAnsi="Calibri"/>
          <w:b/>
          <w:bCs/>
          <w:color w:val="595959"/>
          <w:sz w:val="18"/>
          <w:szCs w:val="18"/>
        </w:rPr>
        <w:t xml:space="preserve">Category: </w:t>
      </w:r>
      <w:r>
        <w:rPr>
          <w:rFonts w:ascii="Calibri" w:cs="Calibri" w:eastAsia="Calibri" w:hAnsi="Calibri"/>
          <w:i/>
          <w:iCs/>
          <w:color w:val="595959"/>
          <w:sz w:val="18"/>
          <w:szCs w:val="18"/>
        </w:rPr>
        <w:t xml:space="preserve">FinOps / Cost Optimization</w:t>
      </w:r>
    </w:p>
    <w:p>
      <w:pPr>
        <w:spacing w:after="160" w:line="264"/>
      </w:pPr>
      <w:r>
        <w:rPr>
          <w:rFonts w:ascii="Calibri" w:cs="Calibri" w:eastAsia="Calibri" w:hAnsi="Calibri"/>
          <w:b/>
          <w:bCs/>
          <w:color w:val="2E7D6B"/>
          <w:sz w:val="21"/>
          <w:szCs w:val="21"/>
        </w:rPr>
        <w:t xml:space="preserve">Problem: </w:t>
      </w:r>
      <w:r>
        <w:rPr>
          <w:rFonts w:ascii="Calibri" w:cs="Calibri" w:eastAsia="Calibri" w:hAnsi="Calibri"/>
          <w:sz w:val="21"/>
          <w:szCs w:val="21"/>
        </w:rPr>
        <w:t xml:space="preserve">Running RHEL at scale carries a real per-instance licensing cost. With the Leapp remediation already underway, there was an opening to address that licensing overhead instead of treating it as a separate, later initiative.</w:t>
      </w:r>
    </w:p>
    <w:p>
      <w:pPr>
        <w:spacing w:after="160" w:line="264"/>
      </w:pPr>
      <w:r>
        <w:rPr>
          <w:rFonts w:ascii="Calibri" w:cs="Calibri" w:eastAsia="Calibri" w:hAnsi="Calibri"/>
          <w:b/>
          <w:bCs/>
          <w:color w:val="2E7D6B"/>
          <w:sz w:val="21"/>
          <w:szCs w:val="21"/>
        </w:rPr>
        <w:t xml:space="preserve">What I Did: </w:t>
      </w:r>
      <w:r>
        <w:rPr>
          <w:rFonts w:ascii="Calibri" w:cs="Calibri" w:eastAsia="Calibri" w:hAnsi="Calibri"/>
          <w:sz w:val="21"/>
          <w:szCs w:val="21"/>
        </w:rPr>
        <w:t xml:space="preserve">Drove a migration from RHEL to Amazon Linux AMIs across a portion of the fleet, running it concurrently with the zero-day remediation work rather than sequencing it afterward.</w:t>
      </w:r>
    </w:p>
    <w:p>
      <w:pPr>
        <w:spacing w:after="160" w:line="264"/>
      </w:pPr>
      <w:r>
        <w:rPr>
          <w:rFonts w:ascii="Calibri" w:cs="Calibri" w:eastAsia="Calibri" w:hAnsi="Calibri"/>
          <w:b/>
          <w:bCs/>
          <w:color w:val="2E7D6B"/>
          <w:sz w:val="21"/>
          <w:szCs w:val="21"/>
        </w:rPr>
        <w:t xml:space="preserve">Outcome: </w:t>
      </w:r>
      <w:r>
        <w:rPr>
          <w:rFonts w:ascii="Calibri" w:cs="Calibri" w:eastAsia="Calibri" w:hAnsi="Calibri"/>
          <w:sz w:val="21"/>
          <w:szCs w:val="21"/>
        </w:rPr>
        <w:t xml:space="preserve">Eliminated RHEL licensing costs on the migrated instances.</w:t>
      </w:r>
    </w:p>
    <w:p>
      <w:pPr>
        <w:spacing w:after="160" w:before="40"/>
      </w:pPr>
      <w:r>
        <w:rPr>
          <w:rFonts w:ascii="Calibri" w:cs="Calibri" w:eastAsia="Calibri" w:hAnsi="Calibri"/>
          <w:b/>
          <w:bCs/>
          <w:i/>
          <w:iCs/>
          <w:color w:val="8A6D3B"/>
          <w:sz w:val="18"/>
          <w:szCs w:val="18"/>
        </w:rPr>
        <w:t xml:space="preserve">Notes for later: </w:t>
      </w:r>
      <w:r>
        <w:rPr>
          <w:rFonts w:ascii="Calibri" w:cs="Calibri" w:eastAsia="Calibri" w:hAnsi="Calibri"/>
          <w:i/>
          <w:iCs/>
          <w:color w:val="8A6D3B"/>
          <w:sz w:val="18"/>
          <w:szCs w:val="18"/>
        </w:rPr>
        <w:t xml:space="preserve">Exact dollar figure not yet quantified — pull from billing history before citing this as a standalone metric.</w:t>
      </w:r>
    </w:p>
    <w:p>
      <w:pPr>
        <w:pStyle w:val="Heading1"/>
        <w:pBdr>
          <w:bottom w:val="single" w:color="1F4E5F" w:sz="4" w:space="4"/>
        </w:pBdr>
        <w:spacing w:after="60" w:before="320"/>
      </w:pPr>
      <w:r>
        <w:rPr>
          <w:rFonts w:ascii="Calibri" w:cs="Calibri" w:eastAsia="Calibri" w:hAnsi="Calibri"/>
          <w:b/>
          <w:bCs/>
          <w:color w:val="1F4E5F"/>
          <w:sz w:val="26"/>
          <w:szCs w:val="26"/>
        </w:rPr>
        <w:t xml:space="preserve">3. Infrastructure Hygiene Audit &amp; Leadership Methodology</w:t>
      </w:r>
    </w:p>
    <w:p>
      <w:pPr>
        <w:spacing w:after="140"/>
      </w:pPr>
      <w:r>
        <w:rPr>
          <w:rFonts w:ascii="Calibri" w:cs="Calibri" w:eastAsia="Calibri" w:hAnsi="Calibri"/>
          <w:b/>
          <w:bCs/>
          <w:color w:val="595959"/>
          <w:sz w:val="18"/>
          <w:szCs w:val="18"/>
        </w:rPr>
        <w:t xml:space="preserve">Category: </w:t>
      </w:r>
      <w:r>
        <w:rPr>
          <w:rFonts w:ascii="Calibri" w:cs="Calibri" w:eastAsia="Calibri" w:hAnsi="Calibri"/>
          <w:i/>
          <w:iCs/>
          <w:color w:val="595959"/>
          <w:sz w:val="18"/>
          <w:szCs w:val="18"/>
        </w:rPr>
        <w:t xml:space="preserve">Infrastructure Governance &amp; Leadership</w:t>
      </w:r>
    </w:p>
    <w:p>
      <w:pPr>
        <w:spacing w:after="160" w:line="264"/>
      </w:pPr>
      <w:r>
        <w:rPr>
          <w:rFonts w:ascii="Calibri" w:cs="Calibri" w:eastAsia="Calibri" w:hAnsi="Calibri"/>
          <w:b/>
          <w:bCs/>
          <w:color w:val="2E7D6B"/>
          <w:sz w:val="21"/>
          <w:szCs w:val="21"/>
        </w:rPr>
        <w:t xml:space="preserve">Problem: </w:t>
      </w:r>
      <w:r>
        <w:rPr>
          <w:rFonts w:ascii="Calibri" w:cs="Calibri" w:eastAsia="Calibri" w:hAnsi="Calibri"/>
          <w:sz w:val="21"/>
          <w:szCs w:val="21"/>
        </w:rPr>
        <w:t xml:space="preserve">Years of iteration had left Route 53 records, ALB listeners, and target groups sprawling — including at least one expired certificate still attached to a live load balancer, an active outage risk hiding in plain sight.</w:t>
      </w:r>
    </w:p>
    <w:p>
      <w:pPr>
        <w:spacing w:after="160" w:line="264"/>
      </w:pPr>
      <w:r>
        <w:rPr>
          <w:rFonts w:ascii="Calibri" w:cs="Calibri" w:eastAsia="Calibri" w:hAnsi="Calibri"/>
          <w:b/>
          <w:bCs/>
          <w:color w:val="2E7D6B"/>
          <w:sz w:val="21"/>
          <w:szCs w:val="21"/>
        </w:rPr>
        <w:t xml:space="preserve">What I Did: </w:t>
      </w:r>
      <w:r>
        <w:rPr>
          <w:rFonts w:ascii="Calibri" w:cs="Calibri" w:eastAsia="Calibri" w:hAnsi="Calibri"/>
          <w:sz w:val="21"/>
          <w:szCs w:val="21"/>
        </w:rPr>
        <w:t xml:space="preserve">Ran a full audit across an estimated 400–500 target groups (2024), identified stale and orphaned records, and built a decommissioning checklist. Used an audit-then-delegate model: did the discovery and proof-of-concept work personally, then handed the team a clear runbook to execute the cleanup, run inside our normal Scrum cadence.</w:t>
      </w:r>
    </w:p>
    <w:p>
      <w:pPr>
        <w:spacing w:after="160" w:line="264"/>
      </w:pPr>
      <w:r>
        <w:rPr>
          <w:rFonts w:ascii="Calibri" w:cs="Calibri" w:eastAsia="Calibri" w:hAnsi="Calibri"/>
          <w:b/>
          <w:bCs/>
          <w:color w:val="2E7D6B"/>
          <w:sz w:val="21"/>
          <w:szCs w:val="21"/>
        </w:rPr>
        <w:t xml:space="preserve">Outcome: </w:t>
      </w:r>
      <w:r>
        <w:rPr>
          <w:rFonts w:ascii="Calibri" w:cs="Calibri" w:eastAsia="Calibri" w:hAnsi="Calibri"/>
          <w:sz w:val="21"/>
          <w:szCs w:val="21"/>
        </w:rPr>
        <w:t xml:space="preserve">Cleared hundreds of stale Route 53 records, ALB target groups, and expired certificates — removing a live-outage risk and reducing infrastructure sprawl without becoming the bottleneck on execution.</w:t>
      </w:r>
    </w:p>
    <w:p>
      <w:pPr>
        <w:spacing w:after="160" w:before="40"/>
      </w:pPr>
      <w:r>
        <w:rPr>
          <w:rFonts w:ascii="Calibri" w:cs="Calibri" w:eastAsia="Calibri" w:hAnsi="Calibri"/>
          <w:b/>
          <w:bCs/>
          <w:i/>
          <w:iCs/>
          <w:color w:val="8A6D3B"/>
          <w:sz w:val="18"/>
          <w:szCs w:val="18"/>
        </w:rPr>
        <w:t xml:space="preserve">Notes for later: </w:t>
      </w:r>
      <w:r>
        <w:rPr>
          <w:rFonts w:ascii="Calibri" w:cs="Calibri" w:eastAsia="Calibri" w:hAnsi="Calibri"/>
          <w:i/>
          <w:iCs/>
          <w:color w:val="8A6D3B"/>
          <w:sz w:val="18"/>
          <w:szCs w:val="18"/>
        </w:rPr>
        <w:t xml:space="preserve">The “400–500 target groups” figure is an estimate from memory, not a pulled report — confirm before citing it as a hard number.</w:t>
      </w:r>
    </w:p>
    <w:p>
      <w:pPr>
        <w:pStyle w:val="Heading1"/>
        <w:pBdr>
          <w:bottom w:val="single" w:color="1F4E5F" w:sz="4" w:space="4"/>
        </w:pBdr>
        <w:spacing w:after="60" w:before="320"/>
      </w:pPr>
      <w:r>
        <w:rPr>
          <w:rFonts w:ascii="Calibri" w:cs="Calibri" w:eastAsia="Calibri" w:hAnsi="Calibri"/>
          <w:b/>
          <w:bCs/>
          <w:color w:val="1F4E5F"/>
          <w:sz w:val="26"/>
          <w:szCs w:val="26"/>
        </w:rPr>
        <w:t xml:space="preserve">4. Cloud Cost Optimization Program</w:t>
      </w:r>
    </w:p>
    <w:p>
      <w:pPr>
        <w:spacing w:after="140"/>
      </w:pPr>
      <w:r>
        <w:rPr>
          <w:rFonts w:ascii="Calibri" w:cs="Calibri" w:eastAsia="Calibri" w:hAnsi="Calibri"/>
          <w:b/>
          <w:bCs/>
          <w:color w:val="595959"/>
          <w:sz w:val="18"/>
          <w:szCs w:val="18"/>
        </w:rPr>
        <w:t xml:space="preserve">Category: </w:t>
      </w:r>
      <w:r>
        <w:rPr>
          <w:rFonts w:ascii="Calibri" w:cs="Calibri" w:eastAsia="Calibri" w:hAnsi="Calibri"/>
          <w:i/>
          <w:iCs/>
          <w:color w:val="595959"/>
          <w:sz w:val="18"/>
          <w:szCs w:val="18"/>
        </w:rPr>
        <w:t xml:space="preserve">FinOps / Cost Optimization</w:t>
      </w:r>
    </w:p>
    <w:p>
      <w:pPr>
        <w:spacing w:after="160" w:line="264"/>
      </w:pPr>
      <w:r>
        <w:rPr>
          <w:rFonts w:ascii="Calibri" w:cs="Calibri" w:eastAsia="Calibri" w:hAnsi="Calibri"/>
          <w:b/>
          <w:bCs/>
          <w:color w:val="2E7D6B"/>
          <w:sz w:val="21"/>
          <w:szCs w:val="21"/>
        </w:rPr>
        <w:t xml:space="preserve">Problem: </w:t>
      </w:r>
      <w:r>
        <w:rPr>
          <w:rFonts w:ascii="Calibri" w:cs="Calibri" w:eastAsia="Calibri" w:hAnsi="Calibri"/>
          <w:sz w:val="21"/>
          <w:szCs w:val="21"/>
        </w:rPr>
        <w:t xml:space="preserve">Cloud spend was growing without a corresponding cost-control discipline across several independent areas: logging retention, unused storage, storage tiering, compute sizing, and cross-account automation.</w:t>
      </w:r>
    </w:p>
    <w:p>
      <w:pPr>
        <w:spacing w:after="160" w:line="264"/>
      </w:pPr>
      <w:r>
        <w:rPr>
          <w:rFonts w:ascii="Calibri" w:cs="Calibri" w:eastAsia="Calibri" w:hAnsi="Calibri"/>
          <w:b/>
          <w:bCs/>
          <w:color w:val="2E7D6B"/>
          <w:sz w:val="21"/>
          <w:szCs w:val="21"/>
        </w:rPr>
        <w:t xml:space="preserve">What I Did: </w:t>
      </w:r>
      <w:r>
        <w:rPr>
          <w:rFonts w:ascii="Calibri" w:cs="Calibri" w:eastAsia="Calibri" w:hAnsi="Calibri"/>
          <w:sz w:val="21"/>
          <w:szCs w:val="21"/>
        </w:rPr>
        <w:t xml:space="preserve">Led a 5-initiative program: restructured CloudWatch log retention, cleaned up unused EBS volumes, migrated EBS storage from gp2 to gp3, rightsized EC2 instances, and rebuilt AWS STS cross-account Lambda automation.</w:t>
      </w:r>
    </w:p>
    <w:p>
      <w:pPr>
        <w:spacing w:after="160" w:line="264"/>
      </w:pPr>
      <w:r>
        <w:rPr>
          <w:rFonts w:ascii="Calibri" w:cs="Calibri" w:eastAsia="Calibri" w:hAnsi="Calibri"/>
          <w:b/>
          <w:bCs/>
          <w:color w:val="2E7D6B"/>
          <w:sz w:val="21"/>
          <w:szCs w:val="21"/>
        </w:rPr>
        <w:t xml:space="preserve">Outcome: </w:t>
      </w:r>
      <w:r>
        <w:rPr>
          <w:rFonts w:ascii="Calibri" w:cs="Calibri" w:eastAsia="Calibri" w:hAnsi="Calibri"/>
          <w:sz w:val="21"/>
          <w:szCs w:val="21"/>
        </w:rPr>
        <w:t xml:space="preserve">CloudWatch retention restructuring cut roughly 60TB of retained logs and saved about $29,000 a year. The STS Lambda rebuild removed $20,000–$25,000 a year in avoidable spend. That's ~$49,000–$54,000/year in savings confirmed so far, from 2 of the 5 initiatives.</w:t>
      </w:r>
    </w:p>
    <w:p>
      <w:pPr>
        <w:spacing w:after="160" w:before="40"/>
      </w:pPr>
      <w:r>
        <w:rPr>
          <w:rFonts w:ascii="Calibri" w:cs="Calibri" w:eastAsia="Calibri" w:hAnsi="Calibri"/>
          <w:b/>
          <w:bCs/>
          <w:i/>
          <w:iCs/>
          <w:color w:val="8A6D3B"/>
          <w:sz w:val="18"/>
          <w:szCs w:val="18"/>
        </w:rPr>
        <w:t xml:space="preserve">Notes for later: </w:t>
      </w:r>
      <w:r>
        <w:rPr>
          <w:rFonts w:ascii="Calibri" w:cs="Calibri" w:eastAsia="Calibri" w:hAnsi="Calibri"/>
          <w:i/>
          <w:iCs/>
          <w:color w:val="8A6D3B"/>
          <w:sz w:val="18"/>
          <w:szCs w:val="18"/>
        </w:rPr>
        <w:t xml:space="preserve">Dollar savings for the EBS cleanup, gp2→gp3 migration, and EC2 rightsizing initiatives are still unquantified — don't cite a program-wide total until those three numbers are pulled from actual billing/reporting data.</w:t>
      </w:r>
    </w:p>
    <w:p>
      <w:pPr>
        <w:pStyle w:val="Heading1"/>
        <w:pBdr>
          <w:bottom w:val="single" w:color="1F4E5F" w:sz="4" w:space="4"/>
        </w:pBdr>
        <w:spacing w:after="60" w:before="320"/>
      </w:pPr>
      <w:r>
        <w:rPr>
          <w:rFonts w:ascii="Calibri" w:cs="Calibri" w:eastAsia="Calibri" w:hAnsi="Calibri"/>
          <w:b/>
          <w:bCs/>
          <w:color w:val="1F4E5F"/>
          <w:sz w:val="26"/>
          <w:szCs w:val="26"/>
        </w:rPr>
        <w:t xml:space="preserve">5. Energy Exemplar Process Transformation</w:t>
      </w:r>
    </w:p>
    <w:p>
      <w:pPr>
        <w:spacing w:after="140"/>
      </w:pPr>
      <w:r>
        <w:rPr>
          <w:rFonts w:ascii="Calibri" w:cs="Calibri" w:eastAsia="Calibri" w:hAnsi="Calibri"/>
          <w:b/>
          <w:bCs/>
          <w:color w:val="595959"/>
          <w:sz w:val="18"/>
          <w:szCs w:val="18"/>
        </w:rPr>
        <w:t xml:space="preserve">Category: </w:t>
      </w:r>
      <w:r>
        <w:rPr>
          <w:rFonts w:ascii="Calibri" w:cs="Calibri" w:eastAsia="Calibri" w:hAnsi="Calibri"/>
          <w:i/>
          <w:iCs/>
          <w:color w:val="595959"/>
          <w:sz w:val="18"/>
          <w:szCs w:val="18"/>
        </w:rPr>
        <w:t xml:space="preserve">Process Engineering &amp; SRE Leadership</w:t>
      </w:r>
    </w:p>
    <w:p>
      <w:pPr>
        <w:spacing w:after="160" w:line="264"/>
      </w:pPr>
      <w:r>
        <w:rPr>
          <w:rFonts w:ascii="Calibri" w:cs="Calibri" w:eastAsia="Calibri" w:hAnsi="Calibri"/>
          <w:b/>
          <w:bCs/>
          <w:color w:val="2E7D6B"/>
          <w:sz w:val="21"/>
          <w:szCs w:val="21"/>
        </w:rPr>
        <w:t xml:space="preserve">Problem: </w:t>
      </w:r>
      <w:r>
        <w:rPr>
          <w:rFonts w:ascii="Calibri" w:cs="Calibri" w:eastAsia="Calibri" w:hAnsi="Calibri"/>
          <w:sz w:val="21"/>
          <w:szCs w:val="21"/>
        </w:rPr>
        <w:t xml:space="preserve">Operations lacked structural discipline in several places at once: change requests weren't consistently gated, ticketing was inconsistent, release rotation wasn't formalized, a vendor integration carried real risk after three engineers left, there was no production-readiness gate for new services, and alerts were being acknowledged without being verified as actually resolved.</w:t>
      </w:r>
    </w:p>
    <w:p>
      <w:pPr>
        <w:spacing w:after="160" w:line="264"/>
      </w:pPr>
      <w:r>
        <w:rPr>
          <w:rFonts w:ascii="Calibri" w:cs="Calibri" w:eastAsia="Calibri" w:hAnsi="Calibri"/>
          <w:b/>
          <w:bCs/>
          <w:color w:val="2E7D6B"/>
          <w:sz w:val="21"/>
          <w:szCs w:val="21"/>
        </w:rPr>
        <w:t xml:space="preserve">What I Did: </w:t>
      </w:r>
      <w:r>
        <w:rPr>
          <w:rFonts w:ascii="Calibri" w:cs="Calibri" w:eastAsia="Calibri" w:hAnsi="Calibri"/>
          <w:sz w:val="21"/>
          <w:szCs w:val="21"/>
        </w:rPr>
        <w:t xml:space="preserve">Introduced change-request discipline, a formal ticketing process, a release rotation schedule, an approach to manage vendor-integration risk through the attrition period, a production-readiness checklist for new services, and closed-loop alerting that requires verification before an incident counts as closed.</w:t>
      </w:r>
    </w:p>
    <w:p>
      <w:pPr>
        <w:spacing w:after="160" w:line="264"/>
      </w:pPr>
      <w:r>
        <w:rPr>
          <w:rFonts w:ascii="Calibri" w:cs="Calibri" w:eastAsia="Calibri" w:hAnsi="Calibri"/>
          <w:b/>
          <w:bCs/>
          <w:color w:val="2E7D6B"/>
          <w:sz w:val="21"/>
          <w:szCs w:val="21"/>
        </w:rPr>
        <w:t xml:space="preserve">Outcome: </w:t>
      </w:r>
      <w:r>
        <w:rPr>
          <w:rFonts w:ascii="Calibri" w:cs="Calibri" w:eastAsia="Calibri" w:hAnsi="Calibri"/>
          <w:sz w:val="21"/>
          <w:szCs w:val="21"/>
        </w:rPr>
        <w:t xml:space="preserve">Replaced ad hoc firefighting with predictable change, release, and incident-closure processes. Full outcome metrics and the STAR-format interview answer for the vendor-integration story are in the standalone Energy Exemplar Process Transformation write-up.</w:t>
      </w:r>
    </w:p>
    <w:p>
      <w:pPr>
        <w:spacing w:after="160" w:before="40"/>
      </w:pPr>
      <w:r>
        <w:rPr>
          <w:rFonts w:ascii="Calibri" w:cs="Calibri" w:eastAsia="Calibri" w:hAnsi="Calibri"/>
          <w:b/>
          <w:bCs/>
          <w:i/>
          <w:iCs/>
          <w:color w:val="8A6D3B"/>
          <w:sz w:val="18"/>
          <w:szCs w:val="18"/>
        </w:rPr>
        <w:t xml:space="preserve">Notes for later: </w:t>
      </w:r>
      <w:r>
        <w:rPr>
          <w:rFonts w:ascii="Calibri" w:cs="Calibri" w:eastAsia="Calibri" w:hAnsi="Calibri"/>
          <w:i/>
          <w:iCs/>
          <w:color w:val="8A6D3B"/>
          <w:sz w:val="18"/>
          <w:szCs w:val="18"/>
        </w:rPr>
        <w:t xml:space="preserve">The real reason for the 3-engineer attrition (needed to complete the STAR answer) and the team-size reconciliation (7+12=19 as described here vs. 25 on the resume) are both still open.</w:t>
      </w:r>
    </w:p>
    <w:p>
      <w:pPr>
        <w:pStyle w:val="Heading1"/>
        <w:pBdr>
          <w:bottom w:val="single" w:color="1F4E5F" w:sz="4" w:space="4"/>
        </w:pBdr>
        <w:spacing w:after="60" w:before="320"/>
      </w:pPr>
      <w:r>
        <w:rPr>
          <w:rFonts w:ascii="Calibri" w:cs="Calibri" w:eastAsia="Calibri" w:hAnsi="Calibri"/>
          <w:b/>
          <w:bCs/>
          <w:color w:val="1F4E5F"/>
          <w:sz w:val="26"/>
          <w:szCs w:val="26"/>
        </w:rPr>
        <w:t xml:space="preserve">6. Certificate Expiry Escalation Process</w:t>
      </w:r>
    </w:p>
    <w:p>
      <w:pPr>
        <w:spacing w:after="140"/>
      </w:pPr>
      <w:r>
        <w:rPr>
          <w:rFonts w:ascii="Calibri" w:cs="Calibri" w:eastAsia="Calibri" w:hAnsi="Calibri"/>
          <w:b/>
          <w:bCs/>
          <w:color w:val="595959"/>
          <w:sz w:val="18"/>
          <w:szCs w:val="18"/>
        </w:rPr>
        <w:t xml:space="preserve">Category: </w:t>
      </w:r>
      <w:r>
        <w:rPr>
          <w:rFonts w:ascii="Calibri" w:cs="Calibri" w:eastAsia="Calibri" w:hAnsi="Calibri"/>
          <w:i/>
          <w:iCs/>
          <w:color w:val="595959"/>
          <w:sz w:val="18"/>
          <w:szCs w:val="18"/>
        </w:rPr>
        <w:t xml:space="preserve">SRE / Reliability Engineering (Process)</w:t>
      </w:r>
    </w:p>
    <w:p>
      <w:pPr>
        <w:spacing w:after="160" w:line="264"/>
      </w:pPr>
      <w:r>
        <w:rPr>
          <w:rFonts w:ascii="Calibri" w:cs="Calibri" w:eastAsia="Calibri" w:hAnsi="Calibri"/>
          <w:b/>
          <w:bCs/>
          <w:color w:val="2E7D6B"/>
          <w:sz w:val="21"/>
          <w:szCs w:val="21"/>
        </w:rPr>
        <w:t xml:space="preserve">Problem: </w:t>
      </w:r>
      <w:r>
        <w:rPr>
          <w:rFonts w:ascii="Calibri" w:cs="Calibri" w:eastAsia="Calibri" w:hAnsi="Calibri"/>
          <w:sz w:val="21"/>
          <w:szCs w:val="21"/>
        </w:rPr>
        <w:t xml:space="preserve">Certificates tied to Route 53 records, ALB listeners, and target groups were expiring without warning, causing 2–3 production outages a month.</w:t>
      </w:r>
    </w:p>
    <w:p>
      <w:pPr>
        <w:spacing w:after="160" w:line="264"/>
      </w:pPr>
      <w:r>
        <w:rPr>
          <w:rFonts w:ascii="Calibri" w:cs="Calibri" w:eastAsia="Calibri" w:hAnsi="Calibri"/>
          <w:b/>
          <w:bCs/>
          <w:color w:val="2E7D6B"/>
          <w:sz w:val="21"/>
          <w:szCs w:val="21"/>
        </w:rPr>
        <w:t xml:space="preserve">What I Did: </w:t>
      </w:r>
      <w:r>
        <w:rPr>
          <w:rFonts w:ascii="Calibri" w:cs="Calibri" w:eastAsia="Calibri" w:hAnsi="Calibri"/>
          <w:sz w:val="21"/>
          <w:szCs w:val="21"/>
        </w:rPr>
        <w:t xml:space="preserve">Recognized the pattern from a nearly identical problem at Western Union, where my Director introduced a tiered escalation framework during a DXC-to-HCL vendor transition and I helped implement it with the HCL team. Independently adapted that same framework for Energy Exemplar and drove its rollout — automated expiry tracking with escalating notifications that put renewal ownership on the application teams.</w:t>
      </w:r>
    </w:p>
    <w:p>
      <w:pPr>
        <w:spacing w:after="160" w:line="264"/>
      </w:pPr>
      <w:r>
        <w:rPr>
          <w:rFonts w:ascii="Calibri" w:cs="Calibri" w:eastAsia="Calibri" w:hAnsi="Calibri"/>
          <w:b/>
          <w:bCs/>
          <w:color w:val="2E7D6B"/>
          <w:sz w:val="21"/>
          <w:szCs w:val="21"/>
        </w:rPr>
        <w:t xml:space="preserve">Outcome: </w:t>
      </w:r>
      <w:r>
        <w:rPr>
          <w:rFonts w:ascii="Calibri" w:cs="Calibri" w:eastAsia="Calibri" w:hAnsi="Calibri"/>
          <w:sz w:val="21"/>
          <w:szCs w:val="21"/>
        </w:rPr>
        <w:t xml:space="preserve">Certificate-related outages dropped from 2–3/month to zero in Q2 2026. Application teams started running their own weekly sync-ups with ops to track expirations proactively, without being asked.</w:t>
      </w:r>
    </w:p>
    <w:p>
      <w:pPr>
        <w:spacing w:after="160" w:before="40"/>
      </w:pPr>
      <w:r>
        <w:rPr>
          <w:rFonts w:ascii="Calibri" w:cs="Calibri" w:eastAsia="Calibri" w:hAnsi="Calibri"/>
          <w:b/>
          <w:bCs/>
          <w:i/>
          <w:iCs/>
          <w:color w:val="8A6D3B"/>
          <w:sz w:val="18"/>
          <w:szCs w:val="18"/>
        </w:rPr>
        <w:t xml:space="preserve">Notes for later: </w:t>
      </w:r>
      <w:r>
        <w:rPr>
          <w:rFonts w:ascii="Calibri" w:cs="Calibri" w:eastAsia="Calibri" w:hAnsi="Calibri"/>
          <w:i/>
          <w:iCs/>
          <w:color w:val="8A6D3B"/>
          <w:sz w:val="18"/>
          <w:szCs w:val="18"/>
        </w:rPr>
        <w:t xml:space="preserve">Whether a comparable Western Union outcome metric exists, and confirming the Director's exact title, are both still open.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2026-09-16T09:27:52.338Z</dcterms:created>
  <dcterms:modified xsi:type="dcterms:W3CDTF">2026-09-16T09:27:52.345Z</dcterms:modified>
</cp:coreProperties>
</file>

<file path=docProps/custom.xml><?xml version="1.0" encoding="utf-8"?>
<Properties xmlns="http://schemas.openxmlformats.org/officeDocument/2006/custom-properties" xmlns:vt="http://schemas.openxmlformats.org/officeDocument/2006/docPropsVTypes"/>
</file>