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40"/>
          <w:szCs w:val="40"/>
        </w:rPr>
        <w:t xml:space="preserve">Vishal Bhilare</w:t>
      </w:r>
    </w:p>
    <w:p>
      <w:pPr>
        <w:pBdr>
          <w:bottom w:val="single" w:color="1F4E5F" w:sz="6" w:space="8"/>
        </w:pBdr>
        <w:spacing w:after="240"/>
      </w:pPr>
      <w:r>
        <w:rPr>
          <w:rFonts w:ascii="Calibri" w:cs="Calibri" w:eastAsia="Calibri" w:hAnsi="Calibri"/>
          <w:color w:val="595959"/>
          <w:sz w:val="26"/>
          <w:szCs w:val="26"/>
        </w:rPr>
        <w:t xml:space="preserve">Energy Exemplar — Manager, Cloud Operations: Detailed Role Portfolio</w:t>
      </w:r>
    </w:p>
    <w:p>
      <w:pPr>
        <w:spacing w:after="200" w:line="276"/>
      </w:pPr>
      <w:r>
        <w:rPr>
          <w:rFonts w:ascii="Calibri" w:cs="Calibri" w:eastAsia="Calibri" w:hAnsi="Calibri"/>
          <w:sz w:val="22"/>
          <w:szCs w:val="22"/>
        </w:rPr>
        <w:t xml:space="preserve">This expands the seven summary bullets from the resume and LinkedIn entry into full context: what each responsibility actually covered, how it was approached, and what it produced. It's a reference document for interview prep and deeper conversations, not something to paste anywhere as-is. Sections marked “Needs a real example” are honest scope statements without a specific incident behind them yet — they'd get stronger with one concrete story each, the way the RHEL 7 and cost-optimization write-ups already have.</w:t>
      </w:r>
    </w:p>
    <w:p>
      <w:pPr>
        <w:pStyle w:val="Heading1"/>
        <w:pBdr>
          <w:bottom w:val="single" w:color="1F4E5F" w:sz="4" w:space="4"/>
        </w:pBdr>
        <w:spacing w:after="100" w:before="320"/>
      </w:pPr>
      <w:r>
        <w:rPr>
          <w:rFonts w:ascii="Calibri" w:cs="Calibri" w:eastAsia="Calibri" w:hAnsi="Calibri"/>
          <w:b/>
          <w:bCs/>
          <w:color w:val="1F4E5F"/>
          <w:sz w:val="26"/>
          <w:szCs w:val="26"/>
        </w:rPr>
        <w:t xml:space="preserve">1. Global Cloud Operations &amp; Service Excellence</w:t>
      </w:r>
    </w:p>
    <w:p>
      <w:pPr>
        <w:spacing w:after="200" w:line="276"/>
      </w:pPr>
      <w:r>
        <w:rPr>
          <w:rFonts w:ascii="Calibri" w:cs="Calibri" w:eastAsia="Calibri" w:hAnsi="Calibri"/>
          <w:sz w:val="22"/>
          <w:szCs w:val="22"/>
        </w:rPr>
        <w:t xml:space="preserve">Energy Exemplar's customers are utilities, grid operators, and energy-market participants who run their planning and simulation workloads on this platform — the kind of customer base where a service disruption doesn't just mean an annoyed user, it means someone's modeling work for a regulatory filing or a market decision stalls. Running cloud operations for 300+ customers across AU, EU, NA, UAE, India, and South Africa means the platform is never in a quiet period: when it's 2 a.m. in Pune, it's the middle of the business day somewhere else on that list.</w:t>
      </w:r>
    </w:p>
    <w:p>
      <w:pPr>
        <w:spacing w:after="200" w:line="276"/>
      </w:pPr>
      <w:r>
        <w:rPr>
          <w:rFonts w:ascii="Calibri" w:cs="Calibri" w:eastAsia="Calibri" w:hAnsi="Calibri"/>
          <w:sz w:val="22"/>
          <w:szCs w:val="22"/>
        </w:rPr>
        <w:t xml:space="preserve">24x7 coverage in practice means an on-call rotation structured so that whoever picks up a page at 3 a.m. has the same runbook, the same escalation path, and the same context as the person who would have handled it at 3 p.m. — not tribal knowledge sitting in one engineer's head. Service quality gets tracked the same way: ticket SLAs, response times, and customer-facing communication standards that hold regardless of which region raised the issue or which shift picked it up.</w:t>
      </w:r>
    </w:p>
    <w:p>
      <w:pPr>
        <w:spacing w:after="200" w:line="276"/>
      </w:pPr>
      <w:r>
        <w:rPr>
          <w:rFonts w:ascii="Calibri" w:cs="Calibri" w:eastAsia="Calibri" w:hAnsi="Calibri"/>
          <w:sz w:val="22"/>
          <w:szCs w:val="22"/>
        </w:rPr>
        <w:t xml:space="preserve">This bullet is effectively the umbrella the other six sit under — platform reliability, release governance, DR readiness, and cost discipline all roll up into a single question every month: did the 300+ customers on this platform get the service level they were promised, and can that be shown with data rather than asserted.</w:t>
      </w:r>
    </w:p>
    <w:p>
      <w:pPr>
        <w:pStyle w:val="Heading1"/>
        <w:pBdr>
          <w:bottom w:val="single" w:color="1F4E5F" w:sz="4" w:space="4"/>
        </w:pBdr>
        <w:spacing w:after="100" w:before="320"/>
      </w:pPr>
      <w:r>
        <w:rPr>
          <w:rFonts w:ascii="Calibri" w:cs="Calibri" w:eastAsia="Calibri" w:hAnsi="Calibri"/>
          <w:b/>
          <w:bCs/>
          <w:color w:val="1F4E5F"/>
          <w:sz w:val="26"/>
          <w:szCs w:val="26"/>
        </w:rPr>
        <w:t xml:space="preserve">2. Kubernetes &amp; Platform Reliability</w:t>
      </w:r>
    </w:p>
    <w:p>
      <w:pPr>
        <w:spacing w:after="200" w:line="276"/>
      </w:pPr>
      <w:r>
        <w:rPr>
          <w:rFonts w:ascii="Calibri" w:cs="Calibri" w:eastAsia="Calibri" w:hAnsi="Calibri"/>
          <w:sz w:val="22"/>
          <w:szCs w:val="22"/>
        </w:rPr>
        <w:t xml:space="preserve">The platform runs on 18 AKS clusters, managed through ArgoCD (GitOps), spread across 13 Azure subscriptions and hosting 74 microservices. That subscription count matters as much as the cluster count — 13 subscriptions usually means separate billing boundaries, separate RBAC scopes, and separate blast-radius considerations per environment or business unit, which turns “keep the platform up” into a coordination problem across boundaries, not just a technical one within a single cluster.</w:t>
      </w:r>
    </w:p>
    <w:p>
      <w:pPr>
        <w:spacing w:after="200" w:line="276"/>
      </w:pPr>
      <w:r>
        <w:rPr>
          <w:rFonts w:ascii="Calibri" w:cs="Calibri" w:eastAsia="Calibri" w:hAnsi="Calibri"/>
          <w:sz w:val="22"/>
          <w:szCs w:val="22"/>
        </w:rPr>
        <w:t xml:space="preserve">Sustaining 99.99% uptime on a platform this size is a function of what happens before an incident, not during one: capacity planning ahead of expected load rather than scaling reactively after a service starts throttling, automation for routine cluster maintenance (node pool upgrades, certificate rotation, GitOps sync health) so those don't depend on someone remembering to do them manually, and preventive maintenance windows scheduled with enough lead time that customers aren't surprised by them.</w:t>
      </w:r>
    </w:p>
    <w:p>
      <w:pPr>
        <w:spacing w:after="200" w:line="276"/>
      </w:pPr>
      <w:r>
        <w:rPr>
          <w:rFonts w:ascii="Calibri" w:cs="Calibri" w:eastAsia="Calibri" w:hAnsi="Calibri"/>
          <w:sz w:val="22"/>
          <w:szCs w:val="22"/>
        </w:rPr>
        <w:t xml:space="preserve">GitOps via ArgoCD specifically changes the reliability model: every change to what's running in a cluster has a corresponding commit, which means a rollback is a revert, not a scramble to remember what the previous state was. That's the difference between an incident that resolves in minutes and one that turns into an hour of forensic reconstruction.</w:t>
      </w:r>
    </w:p>
    <w:p>
      <w:pPr>
        <w:pStyle w:val="Heading1"/>
        <w:pBdr>
          <w:bottom w:val="single" w:color="1F4E5F" w:sz="4" w:space="4"/>
        </w:pBdr>
        <w:spacing w:after="100" w:before="320"/>
      </w:pPr>
      <w:r>
        <w:rPr>
          <w:rFonts w:ascii="Calibri" w:cs="Calibri" w:eastAsia="Calibri" w:hAnsi="Calibri"/>
          <w:b/>
          <w:bCs/>
          <w:color w:val="1F4E5F"/>
          <w:sz w:val="26"/>
          <w:szCs w:val="26"/>
        </w:rPr>
        <w:t xml:space="preserve">3. Enterprise LLM Gateway Migration</w:t>
      </w:r>
    </w:p>
    <w:p>
      <w:pPr>
        <w:spacing w:after="200" w:line="276"/>
      </w:pPr>
      <w:r>
        <w:rPr>
          <w:rFonts w:ascii="Calibri" w:cs="Calibri" w:eastAsia="Calibri" w:hAnsi="Calibri"/>
          <w:sz w:val="22"/>
          <w:szCs w:val="22"/>
        </w:rPr>
        <w:t xml:space="preserve">Once multiple application teams start wanting access to LLM providers — Azure OpenAI, Anthropic, self-hosted models — the default pattern is every team requesting and holding its own API keys directly. That works for a single team and breaks down fast at 9+ production applications: no central view of spend, no consistent rate limiting, keys scattered across app configs instead of a secrets store, and no single place to enforce which provider a given workload is allowed to call.</w:t>
      </w:r>
    </w:p>
    <w:p>
      <w:pPr>
        <w:spacing w:after="200" w:line="276"/>
      </w:pPr>
      <w:r>
        <w:rPr>
          <w:rFonts w:ascii="Calibri" w:cs="Calibri" w:eastAsia="Calibri" w:hAnsi="Calibri"/>
          <w:sz w:val="22"/>
          <w:szCs w:val="22"/>
        </w:rPr>
        <w:t xml:space="preserve">LiteLLM Enterprise was brought in specifically to close that gap: a centralized gateway that every application routes through instead of calling providers directly. Onboarding each of the 9+ production applications meant registering their models against the gateway, provisioning a per-application virtual key rather than a shared one (so usage, cost, and access can be attributed and revoked per application, not globally), and wiring secrets through Azure Key Vault instead of environment variables or config files — done separately across preprod and prod so a preprod key compromise can't touch production traffic.</w:t>
      </w:r>
    </w:p>
    <w:p>
      <w:pPr>
        <w:spacing w:after="200" w:line="276"/>
      </w:pPr>
      <w:r>
        <w:rPr>
          <w:rFonts w:ascii="Calibri" w:cs="Calibri" w:eastAsia="Calibri" w:hAnsi="Calibri"/>
          <w:sz w:val="22"/>
          <w:szCs w:val="22"/>
        </w:rPr>
        <w:t xml:space="preserve">The result is a single point of governance for AI workloads: one place to see which application is calling which provider, one place to rotate a credential without touching nine different app configs, and one place to enforce policy as new model providers get added instead of re-solving that per application. It also directly feeds the AWS/Azure TAM relationship work — centralized visibility into AI workload usage is what makes it possible to forecast the Azure OpenAI quota needed ahead of demand instead of reacting to throttling.</w:t>
      </w:r>
    </w:p>
    <w:p>
      <w:pPr>
        <w:pStyle w:val="Heading1"/>
        <w:pBdr>
          <w:bottom w:val="single" w:color="1F4E5F" w:sz="4" w:space="4"/>
        </w:pBdr>
        <w:spacing w:after="100" w:before="320"/>
      </w:pPr>
      <w:r>
        <w:rPr>
          <w:rFonts w:ascii="Calibri" w:cs="Calibri" w:eastAsia="Calibri" w:hAnsi="Calibri"/>
          <w:b/>
          <w:bCs/>
          <w:color w:val="1F4E5F"/>
          <w:sz w:val="26"/>
          <w:szCs w:val="26"/>
        </w:rPr>
        <w:t xml:space="preserve">4. Release, Incident &amp; Risk Governance</w:t>
      </w:r>
    </w:p>
    <w:p>
      <w:pPr>
        <w:spacing w:after="200" w:line="276"/>
      </w:pPr>
      <w:r>
        <w:rPr>
          <w:rFonts w:ascii="Calibri" w:cs="Calibri" w:eastAsia="Calibri" w:hAnsi="Calibri"/>
          <w:sz w:val="22"/>
          <w:szCs w:val="22"/>
        </w:rPr>
        <w:t xml:space="preserve">Weekly and monthly releases across six regions only stay safe with change control that's actually enforced, not just documented — every release carries a change record, a rollback plan, and sign-off before it goes out, so a release-related incident is traceable to a specific change rather than triggering a guessing exercise across everything that shipped that week.</w:t>
      </w:r>
    </w:p>
    <w:p>
      <w:pPr>
        <w:spacing w:after="200" w:line="276"/>
      </w:pPr>
      <w:r>
        <w:rPr>
          <w:rFonts w:ascii="Calibri" w:cs="Calibri" w:eastAsia="Calibri" w:hAnsi="Calibri"/>
          <w:sz w:val="22"/>
          <w:szCs w:val="22"/>
        </w:rPr>
        <w:t xml:space="preserve">Major incidents get handled with a structured process: contain and restore service first, then a formal root-cause analysis that goes back to the customer, not just an internal postmortem that never leaves the team. Customer-facing RCAs are a different discipline from internal ones — they need to explain what happened in terms a non-technical stakeholder can act on, while still being specific enough that the same failure mode doesn't get waved through as “resolved” when it isn't.</w:t>
      </w:r>
    </w:p>
    <w:p>
      <w:pPr>
        <w:spacing w:after="200" w:line="276"/>
      </w:pPr>
      <w:r>
        <w:rPr>
          <w:rFonts w:ascii="Calibri" w:cs="Calibri" w:eastAsia="Calibri" w:hAnsi="Calibri"/>
          <w:sz w:val="22"/>
          <w:szCs w:val="22"/>
        </w:rPr>
        <w:t xml:space="preserve">Vulnerability remediation runs on SLA- and risk-based timelines rather than a flat patch-everything-monthly schedule: a critical, internet-facing vulnerability gets closed on a much tighter clock than a low-severity finding on an internal service, which means the team's patching effort goes where the actual exposure is instead of being spread evenly regardless of risk.</w:t>
      </w:r>
    </w:p>
    <w:p>
      <w:pPr>
        <w:pStyle w:val="Heading1"/>
        <w:pBdr>
          <w:bottom w:val="single" w:color="1F4E5F" w:sz="4" w:space="4"/>
        </w:pBdr>
        <w:spacing w:after="100" w:before="320"/>
      </w:pPr>
      <w:r>
        <w:rPr>
          <w:rFonts w:ascii="Calibri" w:cs="Calibri" w:eastAsia="Calibri" w:hAnsi="Calibri"/>
          <w:b/>
          <w:bCs/>
          <w:color w:val="1F4E5F"/>
          <w:sz w:val="26"/>
          <w:szCs w:val="26"/>
        </w:rPr>
        <w:t xml:space="preserve">5. FinOps, Disaster Recovery &amp; Resilience</w:t>
      </w:r>
    </w:p>
    <w:p>
      <w:pPr>
        <w:spacing w:after="200" w:line="276"/>
      </w:pPr>
      <w:r>
        <w:rPr>
          <w:rFonts w:ascii="Calibri" w:cs="Calibri" w:eastAsia="Calibri" w:hAnsi="Calibri"/>
          <w:sz w:val="22"/>
          <w:szCs w:val="22"/>
        </w:rPr>
        <w:t xml:space="preserve">FinOps here means budget governance and spend analytics as an ongoing practice, not a quarterly review: cost gets tracked against budget continuously enough that a spend anomaly gets caught within the month it happens, not three months later during a review cycle. Cost optimization work looks for the same pattern that showed up repeatedly in prior roles — spend that accumulated because no one was specifically accountable for watching it, not spend that was ever a deliberate, justified decision.</w:t>
      </w:r>
    </w:p>
    <w:p>
      <w:pPr>
        <w:spacing w:after="200" w:line="276"/>
      </w:pPr>
      <w:r>
        <w:rPr>
          <w:rFonts w:ascii="Calibri" w:cs="Calibri" w:eastAsia="Calibri" w:hAnsi="Calibri"/>
          <w:sz w:val="22"/>
          <w:szCs w:val="22"/>
        </w:rPr>
        <w:t xml:space="preserve">Disaster recovery readiness is validated on a quarterly cadence through DR drills for mission-critical applications, not assumed to work because it's documented. A drill that's run for real — actually failing something over, not just walking through the runbook on paper — is what surfaces the gaps: a dependency that wasn't accounted for, a recovery time objective that looked fine in the design doc but doesn't hold up under an actual failover, a runbook step that's gone stale because the environment changed since it was written.</w:t>
      </w:r>
    </w:p>
    <w:p>
      <w:pPr>
        <w:spacing w:after="200" w:line="276"/>
      </w:pPr>
      <w:r>
        <w:rPr>
          <w:rFonts w:ascii="Calibri" w:cs="Calibri" w:eastAsia="Calibri" w:hAnsi="Calibri"/>
          <w:sz w:val="22"/>
          <w:szCs w:val="22"/>
        </w:rPr>
        <w:t xml:space="preserve">The point of running drills quarterly rather than annually is that infrastructure changes continuously — a DR plan validated a year ago against last year's architecture isn't a real safety net, it's a false sense of one.</w:t>
      </w:r>
    </w:p>
    <w:p>
      <w:pPr>
        <w:pStyle w:val="Heading1"/>
        <w:pBdr>
          <w:bottom w:val="single" w:color="1F4E5F" w:sz="4" w:space="4"/>
        </w:pBdr>
        <w:spacing w:after="100" w:before="320"/>
      </w:pPr>
      <w:r>
        <w:rPr>
          <w:rFonts w:ascii="Calibri" w:cs="Calibri" w:eastAsia="Calibri" w:hAnsi="Calibri"/>
          <w:b/>
          <w:bCs/>
          <w:color w:val="1F4E5F"/>
          <w:sz w:val="26"/>
          <w:szCs w:val="26"/>
        </w:rPr>
        <w:t xml:space="preserve">6. People Leadership, Compliance &amp; Operational Transformation</w:t>
      </w:r>
    </w:p>
    <w:p>
      <w:pPr>
        <w:spacing w:after="200" w:line="276"/>
      </w:pPr>
      <w:r>
        <w:rPr>
          <w:rFonts w:ascii="Calibri" w:cs="Calibri" w:eastAsia="Calibri" w:hAnsi="Calibri"/>
          <w:sz w:val="22"/>
          <w:szCs w:val="22"/>
        </w:rPr>
        <w:t xml:space="preserve">The operations organization is 25 people — 10 in-house and 15 vendor resources — which means leadership here is as much about managing a mixed in-house/vendor model as it is about individual coaching. Vendor resources need the same clarity of ownership and the same quality bar as in-house engineers, without the assumption that a vendor relationship automatically means less rigor.</w:t>
      </w:r>
    </w:p>
    <w:p>
      <w:pPr>
        <w:spacing w:after="200" w:line="276"/>
      </w:pPr>
      <w:r>
        <w:rPr>
          <w:rFonts w:ascii="Calibri" w:cs="Calibri" w:eastAsia="Calibri" w:hAnsi="Calibri"/>
          <w:sz w:val="22"/>
          <w:szCs w:val="22"/>
        </w:rPr>
        <w:t xml:space="preserve">Goal setting and coaching run through biweekly 1:1s rather than an annual review cycle carrying all the weight — problems and growth areas surface and get addressed close to when they happen, not batched up for a formal review months later.</w:t>
      </w:r>
    </w:p>
    <w:p>
      <w:pPr>
        <w:spacing w:after="200" w:line="276"/>
      </w:pPr>
      <w:r>
        <w:rPr>
          <w:rFonts w:ascii="Calibri" w:cs="Calibri" w:eastAsia="Calibri" w:hAnsi="Calibri"/>
          <w:sz w:val="22"/>
          <w:szCs w:val="22"/>
        </w:rPr>
        <w:t xml:space="preserve">On the compliance side, supporting SOC 1, SOC 2, and ISO 27001 means operational processes have to hold up to an external auditor's scrutiny, not just work well enough day to day. That pushes runbook maturity and monitoring rigor higher than they'd need to be for internal purposes alone — a control that's “usually followed” isn't good enough when an auditor is going to sample evidence and expect it to be followed every time.</w:t>
      </w:r>
    </w:p>
    <w:p>
      <w:pPr>
        <w:pStyle w:val="Heading1"/>
        <w:pBdr>
          <w:bottom w:val="single" w:color="1F4E5F" w:sz="4" w:space="4"/>
        </w:pBdr>
        <w:spacing w:after="100" w:before="320"/>
      </w:pPr>
      <w:r>
        <w:rPr>
          <w:rFonts w:ascii="Calibri" w:cs="Calibri" w:eastAsia="Calibri" w:hAnsi="Calibri"/>
          <w:b/>
          <w:bCs/>
          <w:color w:val="1F4E5F"/>
          <w:sz w:val="26"/>
          <w:szCs w:val="26"/>
        </w:rPr>
        <w:t xml:space="preserve">7. Stakeholder Management &amp; Executive Reporting</w:t>
      </w:r>
    </w:p>
    <w:p>
      <w:pPr>
        <w:spacing w:after="200" w:line="276"/>
      </w:pPr>
      <w:r>
        <w:rPr>
          <w:rFonts w:ascii="Calibri" w:cs="Calibri" w:eastAsia="Calibri" w:hAnsi="Calibri"/>
          <w:sz w:val="22"/>
          <w:szCs w:val="22"/>
        </w:rPr>
        <w:t xml:space="preserve">Weekly syncs with product teams exist to solve a specific failure mode: infrastructure finding out about a new application or a major feature the week it's supposed to onboard, instead of weeks in advance when there's still time to plan for it. Tracking the pipeline of upcoming projects means capacity and bandwidth get aligned ahead of the request, so onboarding a new application is a scheduled event, not a fire drill.</w:t>
      </w:r>
    </w:p>
    <w:p>
      <w:pPr>
        <w:spacing w:after="200" w:line="276"/>
      </w:pPr>
      <w:r>
        <w:rPr>
          <w:rFonts w:ascii="Calibri" w:cs="Calibri" w:eastAsia="Calibri" w:hAnsi="Calibri"/>
          <w:sz w:val="22"/>
          <w:szCs w:val="22"/>
        </w:rPr>
        <w:t xml:space="preserve">The weekly Microsoft TAM sync serves a similar purpose specifically for AI workloads: Azure OpenAI quota isn't unlimited, and quota increases take lead time to process. Tracking expected AI workload growth against current quota, before a team gets throttled in production, is what keeps the LLM Gateway migration's usage growth from turning into an outage. When a team does hit a quota issue, the TAM relationship is also the fastest path to getting it resolved rather than escalating cold.</w:t>
      </w:r>
    </w:p>
    <w:p>
      <w:pPr>
        <w:spacing w:after="200" w:line="276"/>
      </w:pPr>
      <w:r>
        <w:rPr>
          <w:rFonts w:ascii="Calibri" w:cs="Calibri" w:eastAsia="Calibri" w:hAnsi="Calibri"/>
          <w:sz w:val="22"/>
          <w:szCs w:val="22"/>
        </w:rPr>
        <w:t xml:space="preserve">The monthly Director report closes the loop upward: translating a month of operational work — platform reliability numbers, cost movement, incidents closed, releases shipped — into what value it actually created for the business, rather than a list of tickets closed. That's a different skill from doing the operational work itself: knowing which numbers matter to a Director-level audience and which are internal detail that doesn't need to travel upward.</w:t>
      </w:r>
    </w:p>
    <w:p>
      <w:pPr>
        <w:pStyle w:val="Heading1"/>
        <w:pBdr>
          <w:bottom w:val="single" w:color="1F4E5F" w:sz="4" w:space="4"/>
        </w:pBdr>
        <w:spacing w:after="100" w:before="320"/>
      </w:pPr>
      <w:r>
        <w:rPr>
          <w:rFonts w:ascii="Calibri" w:cs="Calibri" w:eastAsia="Calibri" w:hAnsi="Calibri"/>
          <w:b/>
          <w:bCs/>
          <w:color w:val="1F4E5F"/>
          <w:sz w:val="26"/>
          <w:szCs w:val="26"/>
        </w:rPr>
        <w:t xml:space="preserve">8. How These Fit Together</w:t>
      </w:r>
    </w:p>
    <w:p>
      <w:pPr>
        <w:spacing w:after="200" w:line="276"/>
      </w:pPr>
      <w:r>
        <w:rPr>
          <w:rFonts w:ascii="Calibri" w:cs="Calibri" w:eastAsia="Calibri" w:hAnsi="Calibri"/>
          <w:sz w:val="22"/>
          <w:szCs w:val="22"/>
        </w:rPr>
        <w:t xml:space="preserve">These seven areas feed each other rather than sitting in isolation. The LLM Gateway migration stays reliable because the Microsoft TAM relationship keeps quota ahead of demand; platform reliability (99.99% uptime) means something only because release and incident governance keep most outages preventable rather than random; and the 25-person mixed in-house/vendor organization plus weekly stakeholder syncs are what keep 18 clusters, 13 subscriptions, and 300+ customers from depending on any single person's memory or availability. FinOps and DR resilience get the same fixed-cadence discipline for the opposite reason — nothing visibly breaks when they're neglected, so continuous spend tracking and quarterly drills exist specifically so those risks don't slide quietly.</w:t>
      </w:r>
    </w:p>
    <w:p>
      <w:pPr>
        <w:pStyle w:val="Heading1"/>
        <w:pBdr>
          <w:bottom w:val="single" w:color="1F4E5F" w:sz="4" w:space="4"/>
        </w:pBdr>
        <w:spacing w:after="100" w:before="320"/>
      </w:pPr>
      <w:r>
        <w:rPr>
          <w:rFonts w:ascii="Calibri" w:cs="Calibri" w:eastAsia="Calibri" w:hAnsi="Calibri"/>
          <w:b/>
          <w:bCs/>
          <w:color w:val="1F4E5F"/>
          <w:sz w:val="26"/>
          <w:szCs w:val="26"/>
        </w:rPr>
        <w:t xml:space="preserve">9. Notes — Where a Real Example Would Strengthen This</w:t>
      </w:r>
    </w:p>
    <w:p>
      <w:pPr>
        <w:spacing w:after="200" w:line="276"/>
      </w:pPr>
      <w:r>
        <w:rPr>
          <w:rFonts w:ascii="Calibri" w:cs="Calibri" w:eastAsia="Calibri" w:hAnsi="Calibri"/>
          <w:sz w:val="22"/>
          <w:szCs w:val="22"/>
        </w:rPr>
        <w:t xml:space="preserve">The following sections are accurate scope statements but don't yet have a specific incident behind them — each would get stronger with one concrete story, the way the RHEL 7 and cost-optimization write-ups already have: (1) Global Operations — a specific multi-region incident and how the follow-the-sun handoff played out; (2) Kubernetes &amp; Platform Reliability — the incident or near-miss that actually tested the 99.99% uptime claim; (3) Release &amp; Incident Governance — a specific major incident and what the RCA changed afterward; (4) FinOps &amp; DR — real dollar figures and one concrete DR drill, what gap it found and what got fixed; (5) People Leadership &amp; Compliance — an example of turning a rough process into a mature one, with a before/after.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2026-09-16T15:25:27.674Z</dcterms:created>
  <dcterms:modified xsi:type="dcterms:W3CDTF">2026-09-16T15:25:27.688Z</dcterms:modified>
</cp:coreProperties>
</file>

<file path=docProps/custom.xml><?xml version="1.0" encoding="utf-8"?>
<Properties xmlns="http://schemas.openxmlformats.org/officeDocument/2006/custom-properties" xmlns:vt="http://schemas.openxmlformats.org/officeDocument/2006/docPropsVTypes"/>
</file>