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C261E"/>
          <w:sz w:val="52"/>
        </w:rPr>
        <w:t>Sorrel Soap Works</w:t>
      </w:r>
    </w:p>
    <w:p>
      <w:pPr>
        <w:spacing w:before="0" w:after="320"/>
      </w:pPr>
      <w:r>
        <w:rPr>
          <w:rFonts w:ascii="Calibri" w:hAnsi="Calibri"/>
          <w:i/>
          <w:color w:val="96472D"/>
          <w:sz w:val="28"/>
        </w:rPr>
        <w:t>Website Deployment &amp; UI Specification Document · Batch 014 Prototype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F5F0E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61E"/>
                <w:sz w:val="20"/>
              </w:rPr>
              <w:t>Live Production Website</w:t>
            </w:r>
          </w:p>
        </w:tc>
        <w:tc>
          <w:tcPr>
            <w:tcW w:type="dxa" w:w="6912"/>
            <w:shd w:val="clear" w:color="auto" w:fill="FAF6E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96472D"/>
                <w:sz w:val="20"/>
                <w:u w:val="single"/>
              </w:rPr>
              <w:t>https://sorrel-soap-works.vercel.app</w:t>
            </w:r>
          </w:p>
        </w:tc>
      </w:tr>
      <w:tr>
        <w:tc>
          <w:tcPr>
            <w:tcW w:type="dxa" w:w="3168"/>
            <w:shd w:val="clear" w:color="auto" w:fill="F5F0E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61E"/>
                <w:sz w:val="20"/>
              </w:rPr>
              <w:t>Direct Deployment URL</w:t>
            </w:r>
          </w:p>
        </w:tc>
        <w:tc>
          <w:tcPr>
            <w:tcW w:type="dxa" w:w="6912"/>
            <w:shd w:val="clear" w:color="auto" w:fill="FAF6E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96472D"/>
                <w:sz w:val="20"/>
                <w:u w:val="single"/>
              </w:rPr>
              <w:t>https://sorrel-soap-works-778nyqs6a-effi1.vercel.app</w:t>
            </w:r>
          </w:p>
        </w:tc>
      </w:tr>
      <w:tr>
        <w:tc>
          <w:tcPr>
            <w:tcW w:type="dxa" w:w="3168"/>
            <w:shd w:val="clear" w:color="auto" w:fill="F5F0E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61E"/>
                <w:sz w:val="20"/>
              </w:rPr>
              <w:t>GitHub Repository</w:t>
            </w:r>
          </w:p>
        </w:tc>
        <w:tc>
          <w:tcPr>
            <w:tcW w:type="dxa" w:w="6912"/>
            <w:shd w:val="clear" w:color="auto" w:fill="FAF6E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96472D"/>
                <w:sz w:val="20"/>
                <w:u w:val="single"/>
              </w:rPr>
              <w:t>https://github.com/vishaldaregave/Sorrel-Soap-Works.git</w:t>
            </w:r>
          </w:p>
        </w:tc>
      </w:tr>
      <w:tr>
        <w:tc>
          <w:tcPr>
            <w:tcW w:type="dxa" w:w="3168"/>
            <w:shd w:val="clear" w:color="auto" w:fill="F5F0E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61E"/>
                <w:sz w:val="20"/>
              </w:rPr>
              <w:t>Hosting &amp; Infrastructure</w:t>
            </w:r>
          </w:p>
        </w:tc>
        <w:tc>
          <w:tcPr>
            <w:tcW w:type="dxa" w:w="6912"/>
            <w:shd w:val="clear" w:color="auto" w:fill="FAF6E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C261E"/>
                <w:sz w:val="20"/>
              </w:rPr>
              <w:t>Vercel Production Edge Network (Status: READY / Active)</w:t>
            </w:r>
          </w:p>
        </w:tc>
      </w:tr>
      <w:tr>
        <w:tc>
          <w:tcPr>
            <w:tcW w:type="dxa" w:w="3168"/>
            <w:shd w:val="clear" w:color="auto" w:fill="F5F0E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61E"/>
                <w:sz w:val="20"/>
              </w:rPr>
              <w:t>Artisans &amp; Founders</w:t>
            </w:r>
          </w:p>
        </w:tc>
        <w:tc>
          <w:tcPr>
            <w:tcW w:type="dxa" w:w="6912"/>
            <w:shd w:val="clear" w:color="auto" w:fill="FAF6E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C261E"/>
                <w:sz w:val="20"/>
              </w:rPr>
              <w:t>Vishal Daregave, Dikshant Oja, Soham Motewar</w:t>
            </w:r>
          </w:p>
        </w:tc>
      </w:tr>
      <w:tr>
        <w:tc>
          <w:tcPr>
            <w:tcW w:type="dxa" w:w="3168"/>
            <w:shd w:val="clear" w:color="auto" w:fill="F5F0E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61E"/>
                <w:sz w:val="20"/>
              </w:rPr>
              <w:t>Batch &amp; Release</w:t>
            </w:r>
          </w:p>
        </w:tc>
        <w:tc>
          <w:tcPr>
            <w:tcW w:type="dxa" w:w="6912"/>
            <w:shd w:val="clear" w:color="auto" w:fill="FAF6E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C261E"/>
                <w:sz w:val="20"/>
              </w:rPr>
              <w:t>Batch 014 Artisanal Cold-Process Soap (120g Prototype Bar)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Georgia" w:hAnsi="Georgia"/>
          <w:color w:val="1C261E"/>
        </w:rPr>
        <w:t>1. Executive Summary &amp; Project Overview</w:t>
      </w:r>
    </w:p>
    <w:p>
      <w:pPr>
        <w:spacing w:after="160"/>
      </w:pPr>
      <w:r>
        <w:rPr>
          <w:rFonts w:ascii="Calibri" w:hAnsi="Calibri"/>
          <w:sz w:val="22"/>
        </w:rPr>
        <w:t>Sorrel Soap Works is an artisanal, small-batch cold-process soap digital platform built to showcase physical studio prototypes, transparent handcrafted processes, and enable small-batch orders in Indian Rupees (₹). The website moves away from synthetic marketing and fictional placeholders, anchoring the entire brand around genuine workshop photography, real video documentation of saponification, and the craftsmanship of its founding team.</w:t>
      </w:r>
    </w:p>
    <w:p>
      <w:pPr>
        <w:pStyle w:val="ListBullet"/>
        <w:spacing w:after="80"/>
      </w:pPr>
      <w:r>
        <w:rPr>
          <w:rFonts w:ascii="Calibri" w:hAnsi="Calibri"/>
          <w:b/>
          <w:color w:val="96472D"/>
        </w:rPr>
        <w:t xml:space="preserve">Authentic Studio Prototype: </w:t>
      </w:r>
      <w:r>
        <w:rPr>
          <w:rFonts w:ascii="Calibri" w:hAnsi="Calibri"/>
          <w:sz w:val="21"/>
        </w:rPr>
        <w:t>Spotlights the real Batch 014 white soap bar cured for 42 days, cut with calibrated wire, and photographed on workshop tiles.</w:t>
      </w:r>
    </w:p>
    <w:p>
      <w:pPr>
        <w:pStyle w:val="ListBullet"/>
        <w:spacing w:after="80"/>
      </w:pPr>
      <w:r>
        <w:rPr>
          <w:rFonts w:ascii="Calibri" w:hAnsi="Calibri"/>
          <w:b/>
          <w:color w:val="96472D"/>
        </w:rPr>
        <w:t xml:space="preserve">Indian Rupee (₹) Pricing: </w:t>
      </w:r>
      <w:r>
        <w:rPr>
          <w:rFonts w:ascii="Calibri" w:hAnsi="Calibri"/>
          <w:sz w:val="21"/>
        </w:rPr>
        <w:t>All pricing converted from foreign currency to realistic Indian Rupee prices: Single Bar (₹249), Studio Trio Pack (₹649), and Reserve Set with Cedar Dish (₹499). Complimentary studio shipping unlocked on orders over ₹499.</w:t>
      </w:r>
    </w:p>
    <w:p>
      <w:pPr>
        <w:pStyle w:val="ListBullet"/>
        <w:spacing w:after="80"/>
      </w:pPr>
      <w:r>
        <w:rPr>
          <w:rFonts w:ascii="Calibri" w:hAnsi="Calibri"/>
          <w:b/>
          <w:color w:val="96472D"/>
        </w:rPr>
        <w:t xml:space="preserve">Live Process Video: </w:t>
      </w:r>
      <w:r>
        <w:rPr>
          <w:rFonts w:ascii="Calibri" w:hAnsi="Calibri"/>
          <w:sz w:val="21"/>
        </w:rPr>
        <w:t>Features an embedded 14-second 720p HD studio process video showcasing oil mixing, wooden mold pouring, open-air drying, and bevel inspection.</w:t>
      </w:r>
    </w:p>
    <w:p>
      <w:pPr>
        <w:pStyle w:val="ListBullet"/>
        <w:spacing w:after="80"/>
      </w:pPr>
      <w:r>
        <w:rPr>
          <w:rFonts w:ascii="Calibri" w:hAnsi="Calibri"/>
          <w:b/>
          <w:color w:val="96472D"/>
        </w:rPr>
        <w:t xml:space="preserve">Dedicated Team Section: </w:t>
      </w:r>
      <w:r>
        <w:rPr>
          <w:rFonts w:ascii="Calibri" w:hAnsi="Calibri"/>
          <w:sz w:val="21"/>
        </w:rPr>
        <w:t>Prominently credits founders Vishal Daregave (Formulation &amp; Chemistry), Dikshant Oja (Botanical Sourcing &amp; Pour), and Soham Motewar (Curing &amp; Wire Slicing).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Georgia" w:hAnsi="Georgia"/>
          <w:color w:val="1C261E"/>
        </w:rPr>
        <w:t>2. UI Mockups &amp; Visual Screen Captures</w:t>
      </w:r>
    </w:p>
    <w:p>
      <w:pPr>
        <w:spacing w:after="280"/>
      </w:pPr>
      <w:r>
        <w:rPr>
          <w:rFonts w:ascii="Calibri" w:hAnsi="Calibri"/>
          <w:sz w:val="22"/>
        </w:rPr>
        <w:t>Below are high-resolution visual captures taken directly from the live deployed production environment at https://sorrel-soap-works.vercel.app, demonstrating desktop, interactive drawer, and mobile viewports.</w:t>
      </w:r>
    </w:p>
    <w:p>
      <w:pPr>
        <w:spacing w:before="280" w:after="80"/>
      </w:pPr>
      <w:r>
        <w:rPr>
          <w:rFonts w:ascii="Georgia" w:hAnsi="Georgia"/>
          <w:b/>
          <w:color w:val="96472D"/>
          <w:sz w:val="24"/>
        </w:rPr>
        <w:t xml:space="preserve">Mockup 2.1: </w:t>
      </w:r>
      <w:r>
        <w:rPr>
          <w:rFonts w:ascii="Georgia" w:hAnsi="Georgia"/>
          <w:b/>
          <w:color w:val="1C261E"/>
          <w:sz w:val="24"/>
        </w:rPr>
        <w:t>Hero Section &amp; Physical Prototype Frame (Desktop View)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ro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</w:pPr>
      <w:r>
        <w:rPr>
          <w:rFonts w:ascii="Calibri" w:hAnsi="Calibri"/>
          <w:i/>
          <w:color w:val="666666"/>
          <w:sz w:val="19"/>
        </w:rPr>
        <w:t>The hero interface introduces Sorrel's minimalist philosophy with Karla/Newsreader typography, earth tones, and the real physical prototype photo accompanied by a 42-day cure badge, key formulation pills, and rupee pricing actions.</w:t>
      </w:r>
    </w:p>
    <w:p>
      <w:pPr>
        <w:spacing w:before="280" w:after="80"/>
      </w:pPr>
      <w:r>
        <w:rPr>
          <w:rFonts w:ascii="Georgia" w:hAnsi="Georgia"/>
          <w:b/>
          <w:color w:val="96472D"/>
          <w:sz w:val="24"/>
        </w:rPr>
        <w:t xml:space="preserve">Mockup 2.2: </w:t>
      </w:r>
      <w:r>
        <w:rPr>
          <w:rFonts w:ascii="Georgia" w:hAnsi="Georgia"/>
          <w:b/>
          <w:color w:val="1C261E"/>
          <w:sz w:val="24"/>
        </w:rPr>
        <w:t>Batch 014 Prototype Showcase &amp; Ordering Grid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63736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llection_show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73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</w:pPr>
      <w:r>
        <w:rPr>
          <w:rFonts w:ascii="Calibri" w:hAnsi="Calibri"/>
          <w:i/>
          <w:color w:val="666666"/>
          <w:sz w:val="19"/>
        </w:rPr>
        <w:t>Replaces fictional soap listings with genuine prototype purchasing options in Indian Rupees (₹249 single bar, ₹649 3-bar studio trio with free shipping, ₹499 reserve with cedar tray), equipped with quick-view modal triggers and instant add-to-bag controls.</w:t>
      </w:r>
    </w:p>
    <w:p>
      <w:pPr>
        <w:spacing w:before="280" w:after="80"/>
      </w:pPr>
      <w:r>
        <w:rPr>
          <w:rFonts w:ascii="Georgia" w:hAnsi="Georgia"/>
          <w:b/>
          <w:color w:val="96472D"/>
          <w:sz w:val="24"/>
        </w:rPr>
        <w:t xml:space="preserve">Mockup 2.3: </w:t>
      </w:r>
      <w:r>
        <w:rPr>
          <w:rFonts w:ascii="Georgia" w:hAnsi="Georgia"/>
          <w:b/>
          <w:color w:val="1C261E"/>
          <w:sz w:val="24"/>
        </w:rPr>
        <w:t>Six-Week Studio Method: Live Video &amp; Step Photography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76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cess_vide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6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</w:pPr>
      <w:r>
        <w:rPr>
          <w:rFonts w:ascii="Calibri" w:hAnsi="Calibri"/>
          <w:i/>
          <w:color w:val="666666"/>
          <w:sz w:val="19"/>
        </w:rPr>
        <w:t>Demonstrates the complete cold-process timeline (Mix &amp; Saponify, Hand Pour, 42-Day Open Cure, and Guitar Wire Cut). Features an embedded playable video player on the right alongside photographic frame extractions.</w:t>
      </w:r>
    </w:p>
    <w:p>
      <w:pPr>
        <w:spacing w:before="280" w:after="80"/>
      </w:pPr>
      <w:r>
        <w:rPr>
          <w:rFonts w:ascii="Georgia" w:hAnsi="Georgia"/>
          <w:b/>
          <w:color w:val="96472D"/>
          <w:sz w:val="24"/>
        </w:rPr>
        <w:t xml:space="preserve">Mockup 2.4: </w:t>
      </w:r>
      <w:r>
        <w:rPr>
          <w:rFonts w:ascii="Georgia" w:hAnsi="Georgia"/>
          <w:b/>
          <w:color w:val="1C261E"/>
          <w:sz w:val="24"/>
        </w:rPr>
        <w:t>Studio Founders &amp; Craft Artisans Section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74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am_foun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</w:pPr>
      <w:r>
        <w:rPr>
          <w:rFonts w:ascii="Calibri" w:hAnsi="Calibri"/>
          <w:i/>
          <w:color w:val="666666"/>
          <w:sz w:val="19"/>
        </w:rPr>
        <w:t>Dedicated profile cards for Vishal Daregave, Dikshant Oja, and Soham Motewar detailing their individual chemical, botanical, and production roles in crafting Batch 014.</w:t>
      </w:r>
    </w:p>
    <w:p>
      <w:pPr>
        <w:spacing w:before="280" w:after="80"/>
      </w:pPr>
      <w:r>
        <w:rPr>
          <w:rFonts w:ascii="Georgia" w:hAnsi="Georgia"/>
          <w:b/>
          <w:color w:val="96472D"/>
          <w:sz w:val="24"/>
        </w:rPr>
        <w:t xml:space="preserve">Mockup 2.5: </w:t>
      </w:r>
      <w:r>
        <w:rPr>
          <w:rFonts w:ascii="Georgia" w:hAnsi="Georgia"/>
          <w:b/>
          <w:color w:val="1C261E"/>
          <w:sz w:val="24"/>
        </w:rPr>
        <w:t>Interactive Bag Drawer &amp; Free Shipping Progress (₹)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rt_dra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</w:pPr>
      <w:r>
        <w:rPr>
          <w:rFonts w:ascii="Calibri" w:hAnsi="Calibri"/>
          <w:i/>
          <w:color w:val="666666"/>
          <w:sz w:val="19"/>
        </w:rPr>
        <w:t>Accessible sliding bag drawer with dynamic quantity adjusters, subtotal calculations in Indian Rupees, and a live visual progress indicator toward the ₹499 complimentary shipping threshold.</w:t>
      </w:r>
    </w:p>
    <w:p>
      <w:pPr>
        <w:spacing w:before="280" w:after="80"/>
      </w:pPr>
      <w:r>
        <w:rPr>
          <w:rFonts w:ascii="Georgia" w:hAnsi="Georgia"/>
          <w:b/>
          <w:color w:val="96472D"/>
          <w:sz w:val="24"/>
        </w:rPr>
        <w:t xml:space="preserve">Mockup 2.6: </w:t>
      </w:r>
      <w:r>
        <w:rPr>
          <w:rFonts w:ascii="Georgia" w:hAnsi="Georgia"/>
          <w:b/>
          <w:color w:val="1C261E"/>
          <w:sz w:val="24"/>
        </w:rPr>
        <w:t>Responsive Mobile Viewport (375px Device Resolution)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59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bile_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5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</w:pPr>
      <w:r>
        <w:rPr>
          <w:rFonts w:ascii="Calibri" w:hAnsi="Calibri"/>
          <w:i/>
          <w:color w:val="666666"/>
          <w:sz w:val="19"/>
        </w:rPr>
        <w:t>Fully fluid mobile layout ensuring 0px horizontal overflow, legible touch targets, compact headers, and accessible full-screen sliding navigation.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Georgia" w:hAnsi="Georgia"/>
          <w:color w:val="1C261E"/>
        </w:rPr>
        <w:t>3. Technical Stack &amp; Deployment Verification</w:t>
      </w:r>
    </w:p>
    <w:p>
      <w:pPr>
        <w:spacing w:after="160"/>
      </w:pPr>
      <w:r>
        <w:rPr>
          <w:rFonts w:ascii="Calibri" w:hAnsi="Calibri"/>
          <w:sz w:val="22"/>
        </w:rPr>
        <w:t>The website has been architected with lightweight, standard-compliant technologies for high performance, accessibility, and maintainability across platforms: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F5F0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61E"/>
                <w:sz w:val="20"/>
              </w:rPr>
              <w:t>Frontend Stack</w:t>
            </w:r>
          </w:p>
        </w:tc>
        <w:tc>
          <w:tcPr>
            <w:tcW w:type="dxa" w:w="6912"/>
            <w:shd w:val="clear" w:color="auto" w:fill="FAF6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C261E"/>
                <w:sz w:val="20"/>
              </w:rPr>
              <w:t>Semantic HTML5, CSS Custom Properties (Variables), Vanilla JavaScript (Zero build step overhead)</w:t>
            </w:r>
          </w:p>
        </w:tc>
      </w:tr>
      <w:tr>
        <w:tc>
          <w:tcPr>
            <w:tcW w:type="dxa" w:w="3168"/>
            <w:shd w:val="clear" w:color="auto" w:fill="F5F0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61E"/>
                <w:sz w:val="20"/>
              </w:rPr>
              <w:t>Typography System</w:t>
            </w:r>
          </w:p>
        </w:tc>
        <w:tc>
          <w:tcPr>
            <w:tcW w:type="dxa" w:w="6912"/>
            <w:shd w:val="clear" w:color="auto" w:fill="FAF6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C261E"/>
                <w:sz w:val="20"/>
              </w:rPr>
              <w:t>Newsreader (Editorial display serif) &amp; Karla (Modern legible sans-serif)</w:t>
            </w:r>
          </w:p>
        </w:tc>
      </w:tr>
      <w:tr>
        <w:tc>
          <w:tcPr>
            <w:tcW w:type="dxa" w:w="3168"/>
            <w:shd w:val="clear" w:color="auto" w:fill="F5F0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61E"/>
                <w:sz w:val="20"/>
              </w:rPr>
              <w:t>Color Palette</w:t>
            </w:r>
          </w:p>
        </w:tc>
        <w:tc>
          <w:tcPr>
            <w:tcW w:type="dxa" w:w="6912"/>
            <w:shd w:val="clear" w:color="auto" w:fill="FAF6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C261E"/>
                <w:sz w:val="20"/>
              </w:rPr>
              <w:t>Earth tones (Paper Cream #F5F0E6, Deep Ink #1C261E, Terracotta Clay #96472D, Studio Olive #56614C)</w:t>
            </w:r>
          </w:p>
        </w:tc>
      </w:tr>
      <w:tr>
        <w:tc>
          <w:tcPr>
            <w:tcW w:type="dxa" w:w="3168"/>
            <w:shd w:val="clear" w:color="auto" w:fill="F5F0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61E"/>
                <w:sz w:val="20"/>
              </w:rPr>
              <w:t>Accessibility (A11y)</w:t>
            </w:r>
          </w:p>
        </w:tc>
        <w:tc>
          <w:tcPr>
            <w:tcW w:type="dxa" w:w="6912"/>
            <w:shd w:val="clear" w:color="auto" w:fill="FAF6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C261E"/>
                <w:sz w:val="20"/>
              </w:rPr>
              <w:t>WCAG AA contrast compliant, accessible native dialog modals, skip-to-content links, ARIA live regions</w:t>
            </w:r>
          </w:p>
        </w:tc>
      </w:tr>
      <w:tr>
        <w:tc>
          <w:tcPr>
            <w:tcW w:type="dxa" w:w="3168"/>
            <w:shd w:val="clear" w:color="auto" w:fill="F5F0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61E"/>
                <w:sz w:val="20"/>
              </w:rPr>
              <w:t>Responsiveness</w:t>
            </w:r>
          </w:p>
        </w:tc>
        <w:tc>
          <w:tcPr>
            <w:tcW w:type="dxa" w:w="6912"/>
            <w:shd w:val="clear" w:color="auto" w:fill="FAF6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C261E"/>
                <w:sz w:val="20"/>
              </w:rPr>
              <w:t>Fluid layout with 0px horizontal overflow verified from 320px mobile to 1440px+ desktop viewports</w:t>
            </w:r>
          </w:p>
        </w:tc>
      </w:tr>
      <w:tr>
        <w:tc>
          <w:tcPr>
            <w:tcW w:type="dxa" w:w="3168"/>
            <w:shd w:val="clear" w:color="auto" w:fill="F5F0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61E"/>
                <w:sz w:val="20"/>
              </w:rPr>
              <w:t>Version Control</w:t>
            </w:r>
          </w:p>
        </w:tc>
        <w:tc>
          <w:tcPr>
            <w:tcW w:type="dxa" w:w="6912"/>
            <w:shd w:val="clear" w:color="auto" w:fill="FAF6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C261E"/>
                <w:sz w:val="20"/>
              </w:rPr>
              <w:t>Git repository initialized and pushed to GitHub main branch</w:t>
            </w:r>
          </w:p>
        </w:tc>
      </w:tr>
      <w:tr>
        <w:tc>
          <w:tcPr>
            <w:tcW w:type="dxa" w:w="3168"/>
            <w:shd w:val="clear" w:color="auto" w:fill="F5F0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61E"/>
                <w:sz w:val="20"/>
              </w:rPr>
              <w:t>Hosting &amp; SSL</w:t>
            </w:r>
          </w:p>
        </w:tc>
        <w:tc>
          <w:tcPr>
            <w:tcW w:type="dxa" w:w="6912"/>
            <w:shd w:val="clear" w:color="auto" w:fill="FAF6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C261E"/>
                <w:sz w:val="20"/>
              </w:rPr>
              <w:t>Automated HTTPS deployment via Vercel Edge CDN with global caching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