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Bookman Old Style" w:cs="Bookman Old Style" w:eastAsia="Bookman Old Style" w:hAnsi="Bookman Old Style"/>
          <w:b w:val="1"/>
          <w:color w:val="000000"/>
        </w:rPr>
      </w:pPr>
      <w:bookmarkStart w:colFirst="0" w:colLast="0" w:name="_heading=h.gjdgxs" w:id="0"/>
      <w:bookmarkEnd w:id="0"/>
      <w:r w:rsidDel="00000000" w:rsidR="00000000" w:rsidRPr="00000000">
        <w:rPr>
          <w:rFonts w:ascii="Bookman Old Style" w:cs="Bookman Old Style" w:eastAsia="Bookman Old Style" w:hAnsi="Bookman Old Style"/>
          <w:b w:val="1"/>
          <w:color w:val="000000"/>
          <w:rtl w:val="0"/>
        </w:rPr>
        <w:t xml:space="preserve">Module-1 (Verbal Skills)</w:t>
      </w:r>
    </w:p>
    <w:p w:rsidR="00000000" w:rsidDel="00000000" w:rsidP="00000000" w:rsidRDefault="00000000" w:rsidRPr="00000000" w14:paraId="00000003">
      <w:pPr>
        <w:jc w:val="center"/>
        <w:rPr>
          <w:rFonts w:ascii="Book Antiqua" w:cs="Book Antiqua" w:eastAsia="Book Antiqua" w:hAnsi="Book Antiqua"/>
          <w:b w:val="1"/>
          <w:color w:val="00000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720" w:top="720" w:left="720" w:right="720" w:header="708" w:footer="708"/>
          <w:pgNumType w:start="1"/>
        </w:sectPr>
      </w:pPr>
      <w:r w:rsidDel="00000000" w:rsidR="00000000" w:rsidRPr="00000000">
        <w:rPr>
          <w:rFonts w:ascii="Book Antiqua" w:cs="Book Antiqua" w:eastAsia="Book Antiqua" w:hAnsi="Book Antiqua"/>
          <w:b w:val="1"/>
          <w:color w:val="000000"/>
          <w:rtl w:val="0"/>
        </w:rPr>
        <w:t xml:space="preserve">Verbs in English-I</w:t>
      </w:r>
    </w:p>
    <w:p w:rsidR="00000000" w:rsidDel="00000000" w:rsidP="00000000" w:rsidRDefault="00000000" w:rsidRPr="00000000" w14:paraId="00000004">
      <w:pPr>
        <w:jc w:val="both"/>
        <w:rPr>
          <w:rFonts w:ascii="Bookman Old Style" w:cs="Bookman Old Style" w:eastAsia="Bookman Old Style" w:hAnsi="Bookman Old Style"/>
          <w:b w:val="1"/>
          <w:color w:val="000000"/>
        </w:rPr>
        <w:sectPr>
          <w:type w:val="continuous"/>
          <w:pgSz w:h="16838" w:w="11906" w:orient="portrait"/>
          <w:pgMar w:bottom="720" w:top="720" w:left="720" w:right="720" w:header="708" w:footer="708"/>
          <w:cols w:equalWidth="0" w:num="2">
            <w:col w:space="708" w:w="4879"/>
            <w:col w:space="0" w:w="4879"/>
          </w:cols>
        </w:sectPr>
      </w:pPr>
      <w:r w:rsidDel="00000000" w:rsidR="00000000" w:rsidRPr="00000000">
        <w:rPr>
          <w:rFonts w:ascii="Bookman Old Style" w:cs="Bookman Old Style" w:eastAsia="Bookman Old Style" w:hAnsi="Bookman Old Style"/>
          <w:b w:val="1"/>
          <w:color w:val="000000"/>
          <w:rtl w:val="0"/>
        </w:rPr>
        <w:t xml:space="preserve">Let us have a look at the usage of italicised words in the following sentences</w:t>
      </w:r>
    </w:p>
    <w:p w:rsidR="00000000" w:rsidDel="00000000" w:rsidP="00000000" w:rsidRDefault="00000000" w:rsidRPr="00000000" w14:paraId="00000005">
      <w:pPr>
        <w:jc w:val="both"/>
        <w:rPr>
          <w:rFonts w:ascii="Bookman Old Style" w:cs="Bookman Old Style" w:eastAsia="Bookman Old Style" w:hAnsi="Bookman Old Style"/>
          <w:b w:val="1"/>
          <w:color w:val="000000"/>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 Usain Bolt </w:t>
      </w:r>
      <w:r w:rsidDel="00000000" w:rsidR="00000000" w:rsidRPr="00000000">
        <w:rPr>
          <w:rFonts w:ascii="Bookman Old Style" w:cs="Bookman Old Style" w:eastAsia="Bookman Old Style" w:hAnsi="Bookman Old Style"/>
          <w:i w:val="1"/>
          <w:color w:val="000000"/>
          <w:rtl w:val="0"/>
        </w:rPr>
        <w:t xml:space="preserve">ran</w:t>
      </w:r>
      <w:r w:rsidDel="00000000" w:rsidR="00000000" w:rsidRPr="00000000">
        <w:rPr>
          <w:rFonts w:ascii="Bookman Old Style" w:cs="Bookman Old Style" w:eastAsia="Bookman Old Style" w:hAnsi="Bookman Old Style"/>
          <w:color w:val="000000"/>
          <w:rtl w:val="0"/>
        </w:rPr>
        <w:t xml:space="preserve"> very fast.</w:t>
      </w:r>
    </w:p>
    <w:p w:rsidR="00000000" w:rsidDel="00000000" w:rsidP="00000000" w:rsidRDefault="00000000" w:rsidRPr="00000000" w14:paraId="00000007">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 The sun </w:t>
      </w:r>
      <w:r w:rsidDel="00000000" w:rsidR="00000000" w:rsidRPr="00000000">
        <w:rPr>
          <w:rFonts w:ascii="Bookman Old Style" w:cs="Bookman Old Style" w:eastAsia="Bookman Old Style" w:hAnsi="Bookman Old Style"/>
          <w:i w:val="1"/>
          <w:color w:val="000000"/>
          <w:rtl w:val="0"/>
        </w:rPr>
        <w:t xml:space="preserve">will rise </w:t>
      </w:r>
      <w:r w:rsidDel="00000000" w:rsidR="00000000" w:rsidRPr="00000000">
        <w:rPr>
          <w:rFonts w:ascii="Bookman Old Style" w:cs="Bookman Old Style" w:eastAsia="Bookman Old Style" w:hAnsi="Bookman Old Style"/>
          <w:color w:val="000000"/>
          <w:rtl w:val="0"/>
        </w:rPr>
        <w:t xml:space="preserve">soon.</w:t>
      </w:r>
    </w:p>
    <w:p w:rsidR="00000000" w:rsidDel="00000000" w:rsidP="00000000" w:rsidRDefault="00000000" w:rsidRPr="00000000" w14:paraId="00000008">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 She </w:t>
      </w:r>
      <w:r w:rsidDel="00000000" w:rsidR="00000000" w:rsidRPr="00000000">
        <w:rPr>
          <w:rFonts w:ascii="Bookman Old Style" w:cs="Bookman Old Style" w:eastAsia="Bookman Old Style" w:hAnsi="Bookman Old Style"/>
          <w:i w:val="1"/>
          <w:color w:val="000000"/>
          <w:rtl w:val="0"/>
        </w:rPr>
        <w:t xml:space="preserve">climbed</w:t>
      </w:r>
      <w:r w:rsidDel="00000000" w:rsidR="00000000" w:rsidRPr="00000000">
        <w:rPr>
          <w:rFonts w:ascii="Bookman Old Style" w:cs="Bookman Old Style" w:eastAsia="Bookman Old Style" w:hAnsi="Bookman Old Style"/>
          <w:color w:val="000000"/>
          <w:rtl w:val="0"/>
        </w:rPr>
        <w:t xml:space="preserve"> the stairs.</w:t>
      </w:r>
    </w:p>
    <w:p w:rsidR="00000000" w:rsidDel="00000000" w:rsidP="00000000" w:rsidRDefault="00000000" w:rsidRPr="00000000" w14:paraId="00000009">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 Sachin </w:t>
      </w:r>
      <w:r w:rsidDel="00000000" w:rsidR="00000000" w:rsidRPr="00000000">
        <w:rPr>
          <w:rFonts w:ascii="Bookman Old Style" w:cs="Bookman Old Style" w:eastAsia="Bookman Old Style" w:hAnsi="Bookman Old Style"/>
          <w:i w:val="1"/>
          <w:color w:val="000000"/>
          <w:rtl w:val="0"/>
        </w:rPr>
        <w:t xml:space="preserve">plays </w:t>
      </w:r>
      <w:r w:rsidDel="00000000" w:rsidR="00000000" w:rsidRPr="00000000">
        <w:rPr>
          <w:rFonts w:ascii="Bookman Old Style" w:cs="Bookman Old Style" w:eastAsia="Bookman Old Style" w:hAnsi="Bookman Old Style"/>
          <w:color w:val="000000"/>
          <w:rtl w:val="0"/>
        </w:rPr>
        <w:t xml:space="preserve">cricket. </w:t>
      </w:r>
    </w:p>
    <w:p w:rsidR="00000000" w:rsidDel="00000000" w:rsidP="00000000" w:rsidRDefault="00000000" w:rsidRPr="00000000" w14:paraId="0000000A">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The italicised word in the above sentences denote an action. Consider the following sentences:</w:t>
      </w:r>
    </w:p>
    <w:p w:rsidR="00000000" w:rsidDel="00000000" w:rsidP="00000000" w:rsidRDefault="00000000" w:rsidRPr="00000000" w14:paraId="0000000C">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e. Ravi </w:t>
      </w:r>
      <w:r w:rsidDel="00000000" w:rsidR="00000000" w:rsidRPr="00000000">
        <w:rPr>
          <w:rFonts w:ascii="Bookman Old Style" w:cs="Bookman Old Style" w:eastAsia="Bookman Old Style" w:hAnsi="Bookman Old Style"/>
          <w:i w:val="1"/>
          <w:color w:val="000000"/>
          <w:rtl w:val="0"/>
        </w:rPr>
        <w:t xml:space="preserve">is</w:t>
      </w:r>
      <w:r w:rsidDel="00000000" w:rsidR="00000000" w:rsidRPr="00000000">
        <w:rPr>
          <w:rFonts w:ascii="Bookman Old Style" w:cs="Bookman Old Style" w:eastAsia="Bookman Old Style" w:hAnsi="Bookman Old Style"/>
          <w:color w:val="000000"/>
          <w:rtl w:val="0"/>
        </w:rPr>
        <w:t xml:space="preserve"> an intelligentstudent.</w:t>
      </w:r>
    </w:p>
    <w:p w:rsidR="00000000" w:rsidDel="00000000" w:rsidP="00000000" w:rsidRDefault="00000000" w:rsidRPr="00000000" w14:paraId="0000000D">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f. There </w:t>
      </w:r>
      <w:r w:rsidDel="00000000" w:rsidR="00000000" w:rsidRPr="00000000">
        <w:rPr>
          <w:rFonts w:ascii="Bookman Old Style" w:cs="Bookman Old Style" w:eastAsia="Bookman Old Style" w:hAnsi="Bookman Old Style"/>
          <w:i w:val="1"/>
          <w:color w:val="000000"/>
          <w:rtl w:val="0"/>
        </w:rPr>
        <w:t xml:space="preserve">are</w:t>
      </w:r>
      <w:r w:rsidDel="00000000" w:rsidR="00000000" w:rsidRPr="00000000">
        <w:rPr>
          <w:rFonts w:ascii="Bookman Old Style" w:cs="Bookman Old Style" w:eastAsia="Bookman Old Style" w:hAnsi="Bookman Old Style"/>
          <w:color w:val="000000"/>
          <w:rtl w:val="0"/>
        </w:rPr>
        <w:t xml:space="preserve"> fifteen people in the queue.</w:t>
      </w:r>
    </w:p>
    <w:p w:rsidR="00000000" w:rsidDel="00000000" w:rsidP="00000000" w:rsidRDefault="00000000" w:rsidRPr="00000000" w14:paraId="0000000E">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Here, the italicised words denote the state of being or existence. Consider a few more examples:</w:t>
      </w:r>
    </w:p>
    <w:p w:rsidR="00000000" w:rsidDel="00000000" w:rsidP="00000000" w:rsidRDefault="00000000" w:rsidRPr="00000000" w14:paraId="0000001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g. I </w:t>
      </w:r>
      <w:r w:rsidDel="00000000" w:rsidR="00000000" w:rsidRPr="00000000">
        <w:rPr>
          <w:rFonts w:ascii="Bookman Old Style" w:cs="Bookman Old Style" w:eastAsia="Bookman Old Style" w:hAnsi="Bookman Old Style"/>
          <w:i w:val="1"/>
          <w:color w:val="000000"/>
          <w:rtl w:val="0"/>
        </w:rPr>
        <w:t xml:space="preserve">have</w:t>
      </w:r>
      <w:r w:rsidDel="00000000" w:rsidR="00000000" w:rsidRPr="00000000">
        <w:rPr>
          <w:rFonts w:ascii="Bookman Old Style" w:cs="Bookman Old Style" w:eastAsia="Bookman Old Style" w:hAnsi="Bookman Old Style"/>
          <w:color w:val="000000"/>
          <w:rtl w:val="0"/>
        </w:rPr>
        <w:t xml:space="preserve">a pack of cricket balls with me.</w:t>
      </w:r>
    </w:p>
    <w:p w:rsidR="00000000" w:rsidDel="00000000" w:rsidP="00000000" w:rsidRDefault="00000000" w:rsidRPr="00000000" w14:paraId="00000011">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 She </w:t>
      </w:r>
      <w:r w:rsidDel="00000000" w:rsidR="00000000" w:rsidRPr="00000000">
        <w:rPr>
          <w:rFonts w:ascii="Bookman Old Style" w:cs="Bookman Old Style" w:eastAsia="Bookman Old Style" w:hAnsi="Bookman Old Style"/>
          <w:i w:val="1"/>
          <w:color w:val="000000"/>
          <w:rtl w:val="0"/>
        </w:rPr>
        <w:t xml:space="preserve">has</w:t>
      </w:r>
      <w:r w:rsidDel="00000000" w:rsidR="00000000" w:rsidRPr="00000000">
        <w:rPr>
          <w:rFonts w:ascii="Bookman Old Style" w:cs="Bookman Old Style" w:eastAsia="Bookman Old Style" w:hAnsi="Bookman Old Style"/>
          <w:color w:val="000000"/>
          <w:rtl w:val="0"/>
        </w:rPr>
        <w:t xml:space="preserve"> abeautiful house.</w:t>
      </w:r>
    </w:p>
    <w:p w:rsidR="00000000" w:rsidDel="00000000" w:rsidP="00000000" w:rsidRDefault="00000000" w:rsidRPr="00000000" w14:paraId="00000012">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13">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Here, the aboveitalicised words denote possession. Thus, a verb can denote </w:t>
      </w:r>
      <w:r w:rsidDel="00000000" w:rsidR="00000000" w:rsidRPr="00000000">
        <w:rPr>
          <w:rFonts w:ascii="Bookman Old Style" w:cs="Bookman Old Style" w:eastAsia="Bookman Old Style" w:hAnsi="Bookman Old Style"/>
          <w:rtl w:val="0"/>
        </w:rPr>
        <w:t xml:space="preserve">an action</w:t>
      </w:r>
      <w:r w:rsidDel="00000000" w:rsidR="00000000" w:rsidRPr="00000000">
        <w:rPr>
          <w:rFonts w:ascii="Bookman Old Style" w:cs="Bookman Old Style" w:eastAsia="Bookman Old Style" w:hAnsi="Bookman Old Style"/>
          <w:color w:val="000000"/>
          <w:rtl w:val="0"/>
        </w:rPr>
        <w:t xml:space="preserve">, existence or possession. </w:t>
      </w:r>
    </w:p>
    <w:p w:rsidR="00000000" w:rsidDel="00000000" w:rsidP="00000000" w:rsidRDefault="00000000" w:rsidRPr="00000000" w14:paraId="00000014">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15">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Types of Verbs</w:t>
      </w:r>
    </w:p>
    <w:p w:rsidR="00000000" w:rsidDel="00000000" w:rsidP="00000000" w:rsidRDefault="00000000" w:rsidRPr="00000000" w14:paraId="00000016">
      <w:pPr>
        <w:jc w:val="both"/>
        <w:rPr>
          <w:rFonts w:ascii="Bookman Old Style" w:cs="Bookman Old Style" w:eastAsia="Bookman Old Style" w:hAnsi="Bookman Old Style"/>
          <w:b w:val="1"/>
          <w:color w:val="000000"/>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1. Main/ Principal verb: </w:t>
      </w:r>
      <w:r w:rsidDel="00000000" w:rsidR="00000000" w:rsidRPr="00000000">
        <w:rPr>
          <w:rFonts w:ascii="Bookman Old Style" w:cs="Bookman Old Style" w:eastAsia="Bookman Old Style" w:hAnsi="Bookman Old Style"/>
          <w:color w:val="000000"/>
          <w:rtl w:val="0"/>
        </w:rPr>
        <w:t xml:space="preserve">The main or the principal verb refers to the action or a state of being of the subject in a sentence. It can stand alone, or it can be used with an auxiliary verb. Main verbs can be classified into two primary forms: (a) Action verbs, and (b) Linking verbs</w:t>
      </w:r>
    </w:p>
    <w:p w:rsidR="00000000" w:rsidDel="00000000" w:rsidP="00000000" w:rsidRDefault="00000000" w:rsidRPr="00000000" w14:paraId="00000018">
      <w:pPr>
        <w:jc w:val="both"/>
        <w:rPr>
          <w:rFonts w:ascii="Bookman Old Style" w:cs="Bookman Old Style" w:eastAsia="Bookman Old Style" w:hAnsi="Bookman Old Style"/>
          <w:b w:val="1"/>
          <w:color w:val="000000"/>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(a) Action verbs: </w:t>
      </w:r>
    </w:p>
    <w:p w:rsidR="00000000" w:rsidDel="00000000" w:rsidP="00000000" w:rsidRDefault="00000000" w:rsidRPr="00000000" w14:paraId="0000001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It is a verb that describes an action (viz,. sing, eat, walk, run, etc). </w:t>
      </w:r>
    </w:p>
    <w:p w:rsidR="00000000" w:rsidDel="00000000" w:rsidP="00000000" w:rsidRDefault="00000000" w:rsidRPr="00000000" w14:paraId="0000001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e.g. Amit (subject) is (aux)</w:t>
      </w:r>
      <w:r w:rsidDel="00000000" w:rsidR="00000000" w:rsidRPr="00000000">
        <w:rPr>
          <w:rFonts w:ascii="Bookman Old Style" w:cs="Bookman Old Style" w:eastAsia="Bookman Old Style" w:hAnsi="Bookman Old Style"/>
          <w:i w:val="1"/>
          <w:color w:val="000000"/>
          <w:rtl w:val="0"/>
        </w:rPr>
        <w:t xml:space="preserve">singing</w:t>
      </w:r>
      <w:r w:rsidDel="00000000" w:rsidR="00000000" w:rsidRPr="00000000">
        <w:rPr>
          <w:rFonts w:ascii="Bookman Old Style" w:cs="Bookman Old Style" w:eastAsia="Bookman Old Style" w:hAnsi="Bookman Old Style"/>
          <w:color w:val="000000"/>
          <w:rtl w:val="0"/>
        </w:rPr>
        <w:t xml:space="preserve">(action verb) a(det) song (noun). </w:t>
      </w:r>
    </w:p>
    <w:p w:rsidR="00000000" w:rsidDel="00000000" w:rsidP="00000000" w:rsidRDefault="00000000" w:rsidRPr="00000000" w14:paraId="0000001C">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1D">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(b) Linking verbs: </w:t>
      </w:r>
    </w:p>
    <w:p w:rsidR="00000000" w:rsidDel="00000000" w:rsidP="00000000" w:rsidRDefault="00000000" w:rsidRPr="00000000" w14:paraId="0000001E">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It is a verb that links the subject of the sentence to another word that describes that subject.The describing word can be an adjective or another noun. E.g. </w:t>
      </w:r>
    </w:p>
    <w:p w:rsidR="00000000" w:rsidDel="00000000" w:rsidP="00000000" w:rsidRDefault="00000000" w:rsidRPr="00000000" w14:paraId="0000001F">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 She (subject) looks (linking verb) charm</w:t>
      </w:r>
    </w:p>
    <w:p w:rsidR="00000000" w:rsidDel="00000000" w:rsidP="00000000" w:rsidRDefault="00000000" w:rsidRPr="00000000" w14:paraId="0000002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ing (subject complement-adjective)</w:t>
      </w:r>
    </w:p>
    <w:p w:rsidR="00000000" w:rsidDel="00000000" w:rsidP="00000000" w:rsidRDefault="00000000" w:rsidRPr="00000000" w14:paraId="00000021">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color w:val="000000"/>
          <w:rtl w:val="0"/>
        </w:rPr>
        <w:t xml:space="preserve">(ii)He (subject) is (linking verb) a king (subject complement-noun)</w:t>
      </w:r>
      <w:r w:rsidDel="00000000" w:rsidR="00000000" w:rsidRPr="00000000">
        <w:rPr>
          <w:rtl w:val="0"/>
        </w:rPr>
      </w:r>
    </w:p>
    <w:p w:rsidR="00000000" w:rsidDel="00000000" w:rsidP="00000000" w:rsidRDefault="00000000" w:rsidRPr="00000000" w14:paraId="0000002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The most common linking verb is- ‘to be’ and its forms- (i.e. is, am, are, was, were, being, been, etc.), ‘to become’-(i.e. become, became, has become, have become, will become, etc.), ‘to seem’-(i.e. seemed, seems, has seemed, etc.) Some other examples of linking verbs include: appear, feel, grow, look, remain,smell, sound, stay, taste, turn, etc.</w:t>
      </w:r>
    </w:p>
    <w:p w:rsidR="00000000" w:rsidDel="00000000" w:rsidP="00000000" w:rsidRDefault="00000000" w:rsidRPr="00000000" w14:paraId="00000023">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Ravi feels happy.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Kiran looks tired.</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books seems interesting. </w:t>
      </w:r>
    </w:p>
    <w:p w:rsidR="00000000" w:rsidDel="00000000" w:rsidP="00000000" w:rsidRDefault="00000000" w:rsidRPr="00000000" w14:paraId="00000027">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28">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 Do not confuse with linking verbs and action verbs. </w:t>
      </w:r>
    </w:p>
    <w:p w:rsidR="00000000" w:rsidDel="00000000" w:rsidP="00000000" w:rsidRDefault="00000000" w:rsidRPr="00000000" w14:paraId="00000029">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2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Consider the following examples: </w:t>
      </w:r>
    </w:p>
    <w:p w:rsidR="00000000" w:rsidDel="00000000" w:rsidP="00000000" w:rsidRDefault="00000000" w:rsidRPr="00000000" w14:paraId="0000002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(i)That soup </w:t>
      </w:r>
      <w:r w:rsidDel="00000000" w:rsidR="00000000" w:rsidRPr="00000000">
        <w:rPr>
          <w:rFonts w:ascii="Bookman Old Style" w:cs="Bookman Old Style" w:eastAsia="Bookman Old Style" w:hAnsi="Bookman Old Style"/>
          <w:i w:val="1"/>
          <w:color w:val="000000"/>
          <w:rtl w:val="0"/>
        </w:rPr>
        <w:t xml:space="preserve">smells</w:t>
      </w:r>
      <w:r w:rsidDel="00000000" w:rsidR="00000000" w:rsidRPr="00000000">
        <w:rPr>
          <w:rFonts w:ascii="Bookman Old Style" w:cs="Bookman Old Style" w:eastAsia="Bookman Old Style" w:hAnsi="Bookman Old Style"/>
          <w:color w:val="000000"/>
          <w:rtl w:val="0"/>
        </w:rPr>
        <w:t xml:space="preserve"> delicious. </w:t>
      </w:r>
    </w:p>
    <w:p w:rsidR="00000000" w:rsidDel="00000000" w:rsidP="00000000" w:rsidRDefault="00000000" w:rsidRPr="00000000" w14:paraId="0000002C">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(ii) I can </w:t>
      </w:r>
      <w:r w:rsidDel="00000000" w:rsidR="00000000" w:rsidRPr="00000000">
        <w:rPr>
          <w:rFonts w:ascii="Bookman Old Style" w:cs="Bookman Old Style" w:eastAsia="Bookman Old Style" w:hAnsi="Bookman Old Style"/>
          <w:rtl w:val="0"/>
        </w:rPr>
        <w:t xml:space="preserve">smell this</w:t>
      </w:r>
      <w:r w:rsidDel="00000000" w:rsidR="00000000" w:rsidRPr="00000000">
        <w:rPr>
          <w:rFonts w:ascii="Bookman Old Style" w:cs="Bookman Old Style" w:eastAsia="Bookman Old Style" w:hAnsi="Bookman Old Style"/>
          <w:color w:val="000000"/>
          <w:rtl w:val="0"/>
        </w:rPr>
        <w:t xml:space="preserve"> fragrance.</w:t>
      </w:r>
    </w:p>
    <w:p w:rsidR="00000000" w:rsidDel="00000000" w:rsidP="00000000" w:rsidRDefault="00000000" w:rsidRPr="00000000" w14:paraId="0000002D">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(iii) This picture looks old. </w:t>
      </w:r>
    </w:p>
    <w:p w:rsidR="00000000" w:rsidDel="00000000" w:rsidP="00000000" w:rsidRDefault="00000000" w:rsidRPr="00000000" w14:paraId="0000002E">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(iv) She was looking at that picture. </w:t>
      </w:r>
    </w:p>
    <w:p w:rsidR="00000000" w:rsidDel="00000000" w:rsidP="00000000" w:rsidRDefault="00000000" w:rsidRPr="00000000" w14:paraId="0000002F">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3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In the first example, the linking verb (smells) describes Sumit (the subject), whereas, in the second sentence it  doesnot qualify as a linking verb as it becomes an action verb here. </w:t>
      </w:r>
    </w:p>
    <w:p w:rsidR="00000000" w:rsidDel="00000000" w:rsidP="00000000" w:rsidRDefault="00000000" w:rsidRPr="00000000" w14:paraId="00000031">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3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2. Auxiliary/Helping Verbs: </w:t>
      </w:r>
      <w:r w:rsidDel="00000000" w:rsidR="00000000" w:rsidRPr="00000000">
        <w:rPr>
          <w:rFonts w:ascii="Bookman Old Style" w:cs="Bookman Old Style" w:eastAsia="Bookman Old Style" w:hAnsi="Bookman Old Style"/>
          <w:color w:val="000000"/>
          <w:rtl w:val="0"/>
        </w:rPr>
        <w:t xml:space="preserve">The auxiliary verb assists the main verb to establish a complete thought. e.g. Ashish </w:t>
      </w:r>
      <w:r w:rsidDel="00000000" w:rsidR="00000000" w:rsidRPr="00000000">
        <w:rPr>
          <w:rFonts w:ascii="Bookman Old Style" w:cs="Bookman Old Style" w:eastAsia="Bookman Old Style" w:hAnsi="Bookman Old Style"/>
          <w:i w:val="1"/>
          <w:color w:val="000000"/>
          <w:rtl w:val="0"/>
        </w:rPr>
        <w:t xml:space="preserve">has</w:t>
      </w:r>
      <w:r w:rsidDel="00000000" w:rsidR="00000000" w:rsidRPr="00000000">
        <w:rPr>
          <w:rFonts w:ascii="Bookman Old Style" w:cs="Bookman Old Style" w:eastAsia="Bookman Old Style" w:hAnsi="Bookman Old Style"/>
          <w:color w:val="000000"/>
          <w:rtl w:val="0"/>
        </w:rPr>
        <w:t xml:space="preserve"> (aux) returned (main verb) from Lucknow. </w:t>
      </w:r>
    </w:p>
    <w:p w:rsidR="00000000" w:rsidDel="00000000" w:rsidP="00000000" w:rsidRDefault="00000000" w:rsidRPr="00000000" w14:paraId="00000033">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Auxiliary verbs can be divided into two sub-categories:</w:t>
      </w:r>
    </w:p>
    <w:p w:rsidR="00000000" w:rsidDel="00000000" w:rsidP="00000000" w:rsidRDefault="00000000" w:rsidRPr="00000000" w14:paraId="00000034">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35">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(a) Primary Auxiliaries and (b) Modal Auxiliaries</w:t>
      </w:r>
    </w:p>
    <w:p w:rsidR="00000000" w:rsidDel="00000000" w:rsidP="00000000" w:rsidRDefault="00000000" w:rsidRPr="00000000" w14:paraId="00000036">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37">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(a)Primary Auxiliaries:</w:t>
      </w:r>
      <w:r w:rsidDel="00000000" w:rsidR="00000000" w:rsidRPr="00000000">
        <w:rPr>
          <w:rFonts w:ascii="Bookman Old Style" w:cs="Bookman Old Style" w:eastAsia="Bookman Old Style" w:hAnsi="Bookman Old Style"/>
          <w:color w:val="000000"/>
          <w:rtl w:val="0"/>
        </w:rPr>
        <w:t xml:space="preserve"> ‘Be’, ‘Have’, and ‘Do’ (and their forms) are used both as a main verb as well as auxiliaries. These are auxiliaries only when they help other verbs to form their tenses. E.g. </w:t>
      </w:r>
    </w:p>
    <w:p w:rsidR="00000000" w:rsidDel="00000000" w:rsidP="00000000" w:rsidRDefault="00000000" w:rsidRPr="00000000" w14:paraId="00000038">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39">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 as the main verb vs ‘Be’ as an auxiliary</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Sam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 footballer.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Suresh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writing a letter.</w:t>
      </w:r>
    </w:p>
    <w:p w:rsidR="00000000" w:rsidDel="00000000" w:rsidP="00000000" w:rsidRDefault="00000000" w:rsidRPr="00000000" w14:paraId="0000003C">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‘Do’ as a main verb vs ‘Do’ as an auxiliary</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have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done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shopping.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Do</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you know where my boss lives?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‘Have’ as the main verb vs ‘Have’ as an auxiliary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have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 car.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have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not completed my work yet. </w:t>
      </w:r>
    </w:p>
    <w:p w:rsidR="00000000" w:rsidDel="00000000" w:rsidP="00000000" w:rsidRDefault="00000000" w:rsidRPr="00000000" w14:paraId="00000043">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44">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(b) Modal Auxiliaries: </w:t>
      </w:r>
      <w:r w:rsidDel="00000000" w:rsidR="00000000" w:rsidRPr="00000000">
        <w:rPr>
          <w:rFonts w:ascii="Bookman Old Style" w:cs="Bookman Old Style" w:eastAsia="Bookman Old Style" w:hAnsi="Bookman Old Style"/>
          <w:color w:val="000000"/>
          <w:rtl w:val="0"/>
        </w:rPr>
        <w:t xml:space="preserve">These are identified as-shall, should; will, would; can, could; may; might; must; ought to; need; dare. These verbs are used to express the abilities (e.g. capacity, potential, power, talent, etc.),  possibilities (e.g. chance, likelihood, probability, prospect etc.),  permissions (e.g. consent, authority, licence, etc.), and obligations (e.g. duty, commitment, responsibility, task, etc.)</w:t>
      </w:r>
    </w:p>
    <w:p w:rsidR="00000000" w:rsidDel="00000000" w:rsidP="00000000" w:rsidRDefault="00000000" w:rsidRPr="00000000" w14:paraId="00000045">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These modal auxiliaries have three common characteristics: </w:t>
      </w:r>
    </w:p>
    <w:p w:rsidR="00000000" w:rsidDel="00000000" w:rsidP="00000000" w:rsidRDefault="00000000" w:rsidRPr="00000000" w14:paraId="00000046">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are always used with the main verb, which is either present or implied, e.g. He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should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learn horse riding.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have a single/identical form under the Present tense with 1</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st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nd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and 3</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rd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person, e.g. I can write; You can write, and He can write. However, Primary auxiliaries have different forms with all three persons, e.g. I am writing; You are writing, and He is writing.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do not carry the infinitive or participle forms. </w:t>
      </w:r>
    </w:p>
    <w:p w:rsidR="00000000" w:rsidDel="00000000" w:rsidP="00000000" w:rsidRDefault="00000000" w:rsidRPr="00000000" w14:paraId="0000004A">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4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 list of primary and modal auxiliaries is mentioned here:</w:t>
      </w:r>
    </w:p>
    <w:p w:rsidR="00000000" w:rsidDel="00000000" w:rsidP="00000000" w:rsidRDefault="00000000" w:rsidRPr="00000000" w14:paraId="0000004C">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4D">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4E">
      <w:pPr>
        <w:ind w:left="720" w:firstLine="0"/>
        <w:jc w:val="both"/>
        <w:rPr>
          <w:rFonts w:ascii="Bookman Old Style" w:cs="Bookman Old Style" w:eastAsia="Bookman Old Style" w:hAnsi="Bookman Old Style"/>
          <w:color w:val="000000"/>
        </w:rPr>
      </w:pPr>
      <w:r w:rsidDel="00000000" w:rsidR="00000000" w:rsidRPr="00000000">
        <w:rPr>
          <w:rtl w:val="0"/>
        </w:rPr>
      </w:r>
    </w:p>
    <w:tbl>
      <w:tblPr>
        <w:tblStyle w:val="Table1"/>
        <w:tblW w:w="454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276"/>
        <w:gridCol w:w="1045"/>
        <w:gridCol w:w="1090"/>
        <w:tblGridChange w:id="0">
          <w:tblGrid>
            <w:gridCol w:w="1134"/>
            <w:gridCol w:w="1276"/>
            <w:gridCol w:w="1045"/>
            <w:gridCol w:w="1090"/>
          </w:tblGrid>
        </w:tblGridChange>
      </w:tblGrid>
      <w:tr>
        <w:trPr>
          <w:cantSplit w:val="0"/>
          <w:tblHeader w:val="0"/>
        </w:trPr>
        <w:tc>
          <w:tcPr/>
          <w:p w:rsidR="00000000" w:rsidDel="00000000" w:rsidP="00000000" w:rsidRDefault="00000000" w:rsidRPr="00000000" w14:paraId="0000004F">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To be</w:t>
            </w:r>
          </w:p>
        </w:tc>
        <w:tc>
          <w:tcPr/>
          <w:p w:rsidR="00000000" w:rsidDel="00000000" w:rsidP="00000000" w:rsidRDefault="00000000" w:rsidRPr="00000000" w14:paraId="00000050">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To have</w:t>
            </w:r>
          </w:p>
        </w:tc>
        <w:tc>
          <w:tcPr/>
          <w:p w:rsidR="00000000" w:rsidDel="00000000" w:rsidP="00000000" w:rsidRDefault="00000000" w:rsidRPr="00000000" w14:paraId="00000051">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To do</w:t>
            </w:r>
          </w:p>
        </w:tc>
        <w:tc>
          <w:tcPr/>
          <w:p w:rsidR="00000000" w:rsidDel="00000000" w:rsidP="00000000" w:rsidRDefault="00000000" w:rsidRPr="00000000" w14:paraId="00000052">
            <w:pPr>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Modals</w:t>
            </w:r>
          </w:p>
        </w:tc>
      </w:tr>
      <w:tr>
        <w:trPr>
          <w:cantSplit w:val="0"/>
          <w:tblHeader w:val="0"/>
        </w:trPr>
        <w:tc>
          <w:tcPr/>
          <w:p w:rsidR="00000000" w:rsidDel="00000000" w:rsidP="00000000" w:rsidRDefault="00000000" w:rsidRPr="00000000" w14:paraId="00000053">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Am</w:t>
            </w:r>
          </w:p>
        </w:tc>
        <w:tc>
          <w:tcPr/>
          <w:p w:rsidR="00000000" w:rsidDel="00000000" w:rsidP="00000000" w:rsidRDefault="00000000" w:rsidRPr="00000000" w14:paraId="00000054">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Have </w:t>
            </w:r>
          </w:p>
        </w:tc>
        <w:tc>
          <w:tcPr/>
          <w:p w:rsidR="00000000" w:rsidDel="00000000" w:rsidP="00000000" w:rsidRDefault="00000000" w:rsidRPr="00000000" w14:paraId="00000055">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Do </w:t>
            </w:r>
          </w:p>
        </w:tc>
        <w:tc>
          <w:tcPr/>
          <w:p w:rsidR="00000000" w:rsidDel="00000000" w:rsidP="00000000" w:rsidRDefault="00000000" w:rsidRPr="00000000" w14:paraId="00000056">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Can </w:t>
            </w:r>
          </w:p>
        </w:tc>
      </w:tr>
      <w:tr>
        <w:trPr>
          <w:cantSplit w:val="0"/>
          <w:tblHeader w:val="0"/>
        </w:trPr>
        <w:tc>
          <w:tcPr/>
          <w:p w:rsidR="00000000" w:rsidDel="00000000" w:rsidP="00000000" w:rsidRDefault="00000000" w:rsidRPr="00000000" w14:paraId="00000057">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Are </w:t>
            </w:r>
          </w:p>
        </w:tc>
        <w:tc>
          <w:tcPr/>
          <w:p w:rsidR="00000000" w:rsidDel="00000000" w:rsidP="00000000" w:rsidRDefault="00000000" w:rsidRPr="00000000" w14:paraId="00000058">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Has</w:t>
            </w:r>
          </w:p>
        </w:tc>
        <w:tc>
          <w:tcPr/>
          <w:p w:rsidR="00000000" w:rsidDel="00000000" w:rsidP="00000000" w:rsidRDefault="00000000" w:rsidRPr="00000000" w14:paraId="00000059">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Does</w:t>
            </w:r>
          </w:p>
        </w:tc>
        <w:tc>
          <w:tcPr/>
          <w:p w:rsidR="00000000" w:rsidDel="00000000" w:rsidP="00000000" w:rsidRDefault="00000000" w:rsidRPr="00000000" w14:paraId="0000005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Could</w:t>
            </w:r>
          </w:p>
        </w:tc>
      </w:tr>
      <w:tr>
        <w:trPr>
          <w:cantSplit w:val="0"/>
          <w:tblHeader w:val="0"/>
        </w:trPr>
        <w:tc>
          <w:tcPr/>
          <w:p w:rsidR="00000000" w:rsidDel="00000000" w:rsidP="00000000" w:rsidRDefault="00000000" w:rsidRPr="00000000" w14:paraId="0000005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Is</w:t>
            </w:r>
          </w:p>
        </w:tc>
        <w:tc>
          <w:tcPr/>
          <w:p w:rsidR="00000000" w:rsidDel="00000000" w:rsidP="00000000" w:rsidRDefault="00000000" w:rsidRPr="00000000" w14:paraId="0000005C">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Had</w:t>
            </w:r>
          </w:p>
        </w:tc>
        <w:tc>
          <w:tcPr/>
          <w:p w:rsidR="00000000" w:rsidDel="00000000" w:rsidP="00000000" w:rsidRDefault="00000000" w:rsidRPr="00000000" w14:paraId="0000005D">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Did</w:t>
            </w:r>
          </w:p>
        </w:tc>
        <w:tc>
          <w:tcPr/>
          <w:p w:rsidR="00000000" w:rsidDel="00000000" w:rsidP="00000000" w:rsidRDefault="00000000" w:rsidRPr="00000000" w14:paraId="0000005E">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May</w:t>
            </w:r>
          </w:p>
        </w:tc>
      </w:tr>
      <w:tr>
        <w:trPr>
          <w:cantSplit w:val="0"/>
          <w:tblHeader w:val="0"/>
        </w:trPr>
        <w:tc>
          <w:tcPr/>
          <w:p w:rsidR="00000000" w:rsidDel="00000000" w:rsidP="00000000" w:rsidRDefault="00000000" w:rsidRPr="00000000" w14:paraId="0000005F">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Was</w:t>
            </w:r>
          </w:p>
        </w:tc>
        <w:tc>
          <w:tcPr/>
          <w:p w:rsidR="00000000" w:rsidDel="00000000" w:rsidP="00000000" w:rsidRDefault="00000000" w:rsidRPr="00000000" w14:paraId="0000006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Having</w:t>
            </w:r>
          </w:p>
        </w:tc>
        <w:tc>
          <w:tcPr/>
          <w:p w:rsidR="00000000" w:rsidDel="00000000" w:rsidP="00000000" w:rsidRDefault="00000000" w:rsidRPr="00000000" w14:paraId="00000061">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Might</w:t>
            </w:r>
          </w:p>
        </w:tc>
      </w:tr>
      <w:tr>
        <w:trPr>
          <w:cantSplit w:val="0"/>
          <w:tblHeader w:val="0"/>
        </w:trPr>
        <w:tc>
          <w:tcPr/>
          <w:p w:rsidR="00000000" w:rsidDel="00000000" w:rsidP="00000000" w:rsidRDefault="00000000" w:rsidRPr="00000000" w14:paraId="00000063">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Were</w:t>
            </w:r>
          </w:p>
        </w:tc>
        <w:tc>
          <w:tcPr/>
          <w:p w:rsidR="00000000" w:rsidDel="00000000" w:rsidP="00000000" w:rsidRDefault="00000000" w:rsidRPr="00000000" w14:paraId="00000064">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5">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6">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Shall </w:t>
            </w:r>
          </w:p>
        </w:tc>
      </w:tr>
      <w:tr>
        <w:trPr>
          <w:cantSplit w:val="0"/>
          <w:tblHeader w:val="0"/>
        </w:trPr>
        <w:tc>
          <w:tcPr/>
          <w:p w:rsidR="00000000" w:rsidDel="00000000" w:rsidP="00000000" w:rsidRDefault="00000000" w:rsidRPr="00000000" w14:paraId="00000067">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w:t>
            </w:r>
          </w:p>
        </w:tc>
        <w:tc>
          <w:tcPr/>
          <w:p w:rsidR="00000000" w:rsidDel="00000000" w:rsidP="00000000" w:rsidRDefault="00000000" w:rsidRPr="00000000" w14:paraId="00000068">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9">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Will </w:t>
            </w:r>
          </w:p>
        </w:tc>
      </w:tr>
      <w:tr>
        <w:trPr>
          <w:cantSplit w:val="0"/>
          <w:tblHeader w:val="0"/>
        </w:trPr>
        <w:tc>
          <w:tcPr/>
          <w:p w:rsidR="00000000" w:rsidDel="00000000" w:rsidP="00000000" w:rsidRDefault="00000000" w:rsidRPr="00000000" w14:paraId="0000006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Being</w:t>
            </w:r>
          </w:p>
        </w:tc>
        <w:tc>
          <w:tcPr/>
          <w:p w:rsidR="00000000" w:rsidDel="00000000" w:rsidP="00000000" w:rsidRDefault="00000000" w:rsidRPr="00000000" w14:paraId="0000006C">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D">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6E">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Would </w:t>
            </w:r>
          </w:p>
        </w:tc>
      </w:tr>
      <w:tr>
        <w:trPr>
          <w:cantSplit w:val="0"/>
          <w:tblHeader w:val="0"/>
        </w:trPr>
        <w:tc>
          <w:tcPr/>
          <w:p w:rsidR="00000000" w:rsidDel="00000000" w:rsidP="00000000" w:rsidRDefault="00000000" w:rsidRPr="00000000" w14:paraId="0000006F">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Been</w:t>
            </w:r>
          </w:p>
        </w:tc>
        <w:tc>
          <w:tcPr/>
          <w:p w:rsidR="00000000" w:rsidDel="00000000" w:rsidP="00000000" w:rsidRDefault="00000000" w:rsidRPr="00000000" w14:paraId="00000070">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1">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Should </w:t>
            </w:r>
          </w:p>
        </w:tc>
      </w:tr>
      <w:tr>
        <w:trPr>
          <w:cantSplit w:val="0"/>
          <w:tblHeader w:val="0"/>
        </w:trPr>
        <w:tc>
          <w:tcPr/>
          <w:p w:rsidR="00000000" w:rsidDel="00000000" w:rsidP="00000000" w:rsidRDefault="00000000" w:rsidRPr="00000000" w14:paraId="00000073">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4">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5">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6">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Must</w:t>
            </w:r>
          </w:p>
        </w:tc>
      </w:tr>
      <w:tr>
        <w:trPr>
          <w:cantSplit w:val="0"/>
          <w:tblHeader w:val="0"/>
        </w:trPr>
        <w:tc>
          <w:tcPr/>
          <w:p w:rsidR="00000000" w:rsidDel="00000000" w:rsidP="00000000" w:rsidRDefault="00000000" w:rsidRPr="00000000" w14:paraId="00000077">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8">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9">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Ought To</w:t>
            </w:r>
          </w:p>
        </w:tc>
      </w:tr>
      <w:tr>
        <w:trPr>
          <w:cantSplit w:val="0"/>
          <w:tblHeader w:val="0"/>
        </w:trPr>
        <w:tc>
          <w:tcPr/>
          <w:p w:rsidR="00000000" w:rsidDel="00000000" w:rsidP="00000000" w:rsidRDefault="00000000" w:rsidRPr="00000000" w14:paraId="0000007B">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C">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D">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7E">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Used to </w:t>
            </w:r>
          </w:p>
        </w:tc>
      </w:tr>
      <w:tr>
        <w:trPr>
          <w:cantSplit w:val="0"/>
          <w:tblHeader w:val="0"/>
        </w:trPr>
        <w:tc>
          <w:tcPr/>
          <w:p w:rsidR="00000000" w:rsidDel="00000000" w:rsidP="00000000" w:rsidRDefault="00000000" w:rsidRPr="00000000" w14:paraId="0000007F">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0">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1">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Need </w:t>
            </w:r>
          </w:p>
        </w:tc>
      </w:tr>
      <w:tr>
        <w:trPr>
          <w:cantSplit w:val="0"/>
          <w:tblHeader w:val="0"/>
        </w:trPr>
        <w:tc>
          <w:tcPr/>
          <w:p w:rsidR="00000000" w:rsidDel="00000000" w:rsidP="00000000" w:rsidRDefault="00000000" w:rsidRPr="00000000" w14:paraId="00000083">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4">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5">
            <w:pPr>
              <w:jc w:val="both"/>
              <w:rPr>
                <w:rFonts w:ascii="Bookman Old Style" w:cs="Bookman Old Style" w:eastAsia="Bookman Old Style" w:hAnsi="Bookman Old Style"/>
                <w:color w:val="000000"/>
              </w:rPr>
            </w:pPr>
            <w:r w:rsidDel="00000000" w:rsidR="00000000" w:rsidRPr="00000000">
              <w:rPr>
                <w:rtl w:val="0"/>
              </w:rPr>
            </w:r>
          </w:p>
        </w:tc>
        <w:tc>
          <w:tcPr/>
          <w:p w:rsidR="00000000" w:rsidDel="00000000" w:rsidP="00000000" w:rsidRDefault="00000000" w:rsidRPr="00000000" w14:paraId="00000086">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Dare</w:t>
            </w:r>
          </w:p>
        </w:tc>
      </w:tr>
    </w:tbl>
    <w:p w:rsidR="00000000" w:rsidDel="00000000" w:rsidP="00000000" w:rsidRDefault="00000000" w:rsidRPr="00000000" w14:paraId="00000087">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88">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Depending on whether the verb takes an object, the verbs are categorised into two categories: </w:t>
      </w:r>
      <w:r w:rsidDel="00000000" w:rsidR="00000000" w:rsidRPr="00000000">
        <w:rPr>
          <w:rFonts w:ascii="Bookman Old Style" w:cs="Bookman Old Style" w:eastAsia="Bookman Old Style" w:hAnsi="Bookman Old Style"/>
          <w:b w:val="1"/>
          <w:color w:val="000000"/>
          <w:rtl w:val="0"/>
        </w:rPr>
        <w:t xml:space="preserve">(i)Transitive, and (ii) Intransitive Verbs.</w:t>
      </w:r>
      <w:r w:rsidDel="00000000" w:rsidR="00000000" w:rsidRPr="00000000">
        <w:rPr>
          <w:rtl w:val="0"/>
        </w:rPr>
      </w:r>
    </w:p>
    <w:p w:rsidR="00000000" w:rsidDel="00000000" w:rsidP="00000000" w:rsidRDefault="00000000" w:rsidRPr="00000000" w14:paraId="00000089">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8A">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(i)Transitive Verbs</w:t>
      </w:r>
      <w:r w:rsidDel="00000000" w:rsidR="00000000" w:rsidRPr="00000000">
        <w:rPr>
          <w:rFonts w:ascii="Bookman Old Style" w:cs="Bookman Old Style" w:eastAsia="Bookman Old Style" w:hAnsi="Bookman Old Style"/>
          <w:color w:val="000000"/>
          <w:rtl w:val="0"/>
        </w:rPr>
        <w:t xml:space="preserve">: It is a type of verb that denotes an action which passes over from the doer or agent to an object. Transitive verbs are of two types. </w:t>
      </w:r>
    </w:p>
    <w:p w:rsidR="00000000" w:rsidDel="00000000" w:rsidP="00000000" w:rsidRDefault="00000000" w:rsidRPr="00000000" w14:paraId="0000008B">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(a) Monotransitive verbs: </w:t>
      </w:r>
      <w:r w:rsidDel="00000000" w:rsidR="00000000" w:rsidRPr="00000000">
        <w:rPr>
          <w:rFonts w:ascii="Bookman Old Style" w:cs="Bookman Old Style" w:eastAsia="Bookman Old Style" w:hAnsi="Bookman Old Style"/>
          <w:color w:val="000000"/>
          <w:rtl w:val="0"/>
        </w:rPr>
        <w:t xml:space="preserve">Verbs which take only one direct object to complete the sentence. e.g.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Sumit (subject) addressed (verb) the audience (direct object).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She (subject) read (verb) the speech (direct object).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(subject) read (verb) this novel recently (direct object).</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The verbs like-address, accept, borrow, bring, call, close, cut, discuss, raise, read, receive, study, won, bring, buy and pay function as monotransitive verb.  </w:t>
      </w:r>
    </w:p>
    <w:p w:rsidR="00000000" w:rsidDel="00000000" w:rsidP="00000000" w:rsidRDefault="00000000" w:rsidRPr="00000000" w14:paraId="00000091">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92">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(b)</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Fonts w:ascii="Bookman Old Style" w:cs="Bookman Old Style" w:eastAsia="Bookman Old Style" w:hAnsi="Bookman Old Style"/>
          <w:b w:val="1"/>
          <w:color w:val="000000"/>
          <w:rtl w:val="0"/>
        </w:rPr>
        <w:t xml:space="preserve">Ditransitive verbs:</w:t>
      </w:r>
      <w:r w:rsidDel="00000000" w:rsidR="00000000" w:rsidRPr="00000000">
        <w:rPr>
          <w:rFonts w:ascii="Bookman Old Style" w:cs="Bookman Old Style" w:eastAsia="Bookman Old Style" w:hAnsi="Bookman Old Style"/>
          <w:color w:val="000000"/>
          <w:rtl w:val="0"/>
        </w:rPr>
        <w:t xml:space="preserve"> There are some verbs which require two objects, an indirect and direct object to complete the sentence. These are known as Ditransitive verbs. e.g.</w:t>
      </w:r>
    </w:p>
    <w:p w:rsidR="00000000" w:rsidDel="00000000" w:rsidP="00000000" w:rsidRDefault="00000000" w:rsidRPr="00000000" w14:paraId="00000093">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(subject) gave (verb) Ravi (indirect object] a book(direct object).</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(subject) bought (verb) Amit (indirect object) a birthday cake (direct object).</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Nikita (subject) offered (verb) me (indirect object) her car (direct object). </w:t>
      </w:r>
    </w:p>
    <w:p w:rsidR="00000000" w:rsidDel="00000000" w:rsidP="00000000" w:rsidRDefault="00000000" w:rsidRPr="00000000" w14:paraId="00000097">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98">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b w:val="1"/>
          <w:color w:val="000000"/>
          <w:rtl w:val="0"/>
        </w:rPr>
        <w:t xml:space="preserve"> (ii) Intransitive Verbs:</w:t>
      </w:r>
      <w:r w:rsidDel="00000000" w:rsidR="00000000" w:rsidRPr="00000000">
        <w:rPr>
          <w:rFonts w:ascii="Bookman Old Style" w:cs="Bookman Old Style" w:eastAsia="Bookman Old Style" w:hAnsi="Bookman Old Style"/>
          <w:color w:val="000000"/>
          <w:rtl w:val="0"/>
        </w:rPr>
        <w:t xml:space="preserve"> It is a type of verb that denotes an action which does not pass over to the object. e.g. </w:t>
      </w:r>
    </w:p>
    <w:p w:rsidR="00000000" w:rsidDel="00000000" w:rsidP="00000000" w:rsidRDefault="00000000" w:rsidRPr="00000000" w14:paraId="00000099">
      <w:pPr>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stars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twinkle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brightly. </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guests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arrived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at the hotel in New Delhi.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The verbs like- come, go, fall, die, sleep, lie, awake, walk, rise, swim and crawl functions as intransitive verb.</w:t>
      </w:r>
    </w:p>
    <w:p w:rsidR="00000000" w:rsidDel="00000000" w:rsidP="00000000" w:rsidRDefault="00000000" w:rsidRPr="00000000" w14:paraId="0000009E">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9F">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Note: When an intransitive verb is used in a causative sense, it becomes transitive. e.g. </w:t>
      </w:r>
    </w:p>
    <w:p w:rsidR="00000000" w:rsidDel="00000000" w:rsidP="00000000" w:rsidRDefault="00000000" w:rsidRPr="00000000" w14:paraId="000000A0">
      <w:pPr>
        <w:numPr>
          <w:ilvl w:val="0"/>
          <w:numId w:val="2"/>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 </w:t>
      </w:r>
      <w:r w:rsidDel="00000000" w:rsidR="00000000" w:rsidRPr="00000000">
        <w:rPr>
          <w:rFonts w:ascii="Bookman Old Style" w:cs="Bookman Old Style" w:eastAsia="Bookman Old Style" w:hAnsi="Bookman Old Style"/>
          <w:i w:val="1"/>
          <w:rtl w:val="0"/>
        </w:rPr>
        <w:t xml:space="preserve">sat </w:t>
      </w:r>
      <w:r w:rsidDel="00000000" w:rsidR="00000000" w:rsidRPr="00000000">
        <w:rPr>
          <w:rFonts w:ascii="Bookman Old Style" w:cs="Bookman Old Style" w:eastAsia="Bookman Old Style" w:hAnsi="Bookman Old Style"/>
          <w:rtl w:val="0"/>
        </w:rPr>
        <w:t xml:space="preserve">on a mat (sat-intransitive)</w:t>
      </w:r>
    </w:p>
    <w:p w:rsidR="00000000" w:rsidDel="00000000" w:rsidP="00000000" w:rsidRDefault="00000000" w:rsidRPr="00000000" w14:paraId="000000A1">
      <w:pPr>
        <w:numPr>
          <w:ilvl w:val="0"/>
          <w:numId w:val="2"/>
        </w:numPr>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 (subject) </w:t>
      </w:r>
      <w:r w:rsidDel="00000000" w:rsidR="00000000" w:rsidRPr="00000000">
        <w:rPr>
          <w:rFonts w:ascii="Bookman Old Style" w:cs="Bookman Old Style" w:eastAsia="Bookman Old Style" w:hAnsi="Bookman Old Style"/>
          <w:i w:val="1"/>
          <w:rtl w:val="0"/>
        </w:rPr>
        <w:t xml:space="preserve">sat</w:t>
      </w:r>
      <w:r w:rsidDel="00000000" w:rsidR="00000000" w:rsidRPr="00000000">
        <w:rPr>
          <w:rFonts w:ascii="Bookman Old Style" w:cs="Bookman Old Style" w:eastAsia="Bookman Old Style" w:hAnsi="Bookman Old Style"/>
          <w:rtl w:val="0"/>
        </w:rPr>
        <w:t xml:space="preserve"> me (object) on a mat (sat-transitive)</w:t>
      </w:r>
      <w:r w:rsidDel="00000000" w:rsidR="00000000" w:rsidRPr="00000000">
        <w:rPr>
          <w:rtl w:val="0"/>
        </w:rPr>
      </w:r>
    </w:p>
    <w:sectPr>
      <w:type w:val="continuous"/>
      <w:pgSz w:h="16838" w:w="11906" w:orient="portrait"/>
      <w:pgMar w:bottom="720" w:top="720" w:left="720" w:right="720" w:header="708" w:footer="708"/>
      <w:cols w:equalWidth="0" w:num="2">
        <w:col w:space="708" w:w="4879"/>
        <w:col w:space="0" w:w="48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Advanced &amp; Post Reading Material (APRM)</w:t>
      <w:br w:type="textWrapping"/>
      <w:t xml:space="preserve">EPP- I, 2021-22 GLA U, Mathura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639103" cy="6639103"/>
              <wp:effectExtent b="0" l="0" r="0" t="0"/>
              <wp:wrapNone/>
              <wp:docPr id="2" name=""/>
              <a:graphic>
                <a:graphicData uri="http://schemas.microsoft.com/office/word/2010/wordprocessingShape">
                  <wps:wsp>
                    <wps:cNvSpPr/>
                    <wps:cNvPr id="3" name="Shape 3"/>
                    <wps:spPr>
                      <a:xfrm rot="-2700000">
                        <a:off x="1330260" y="3110710"/>
                        <a:ext cx="8031480" cy="133858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c0c0c0"/>
                              <w:sz w:val="144"/>
                              <w:vertAlign w:val="baseline"/>
                            </w:rPr>
                            <w:t xml:space="preserve">EPP- I, 2020-21</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639103" cy="6639103"/>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39103" cy="6639103"/>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639103" cy="6639103"/>
              <wp:effectExtent b="0" l="0" r="0" t="0"/>
              <wp:wrapNone/>
              <wp:docPr id="1" name=""/>
              <a:graphic>
                <a:graphicData uri="http://schemas.microsoft.com/office/word/2010/wordprocessingShape">
                  <wps:wsp>
                    <wps:cNvSpPr/>
                    <wps:cNvPr id="2" name="Shape 2"/>
                    <wps:spPr>
                      <a:xfrm rot="-2700000">
                        <a:off x="1330260" y="3110710"/>
                        <a:ext cx="8031480" cy="133858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c0c0c0"/>
                              <w:sz w:val="144"/>
                              <w:vertAlign w:val="baseline"/>
                            </w:rPr>
                            <w:t xml:space="preserve">EPP- I, 2020-21</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639103" cy="6639103"/>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39103" cy="663910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Book Antiqua" w:cs="Book Antiqua" w:eastAsia="Book Antiqua" w:hAnsi="Book Antiqu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Book Antiqua" w:cs="Book Antiqua" w:eastAsia="Book Antiqua" w:hAnsi="Book Antiqu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Bookman Old Style" w:cs="Bookman Old Style" w:eastAsia="Bookman Old Style" w:hAnsi="Bookman Old Style"/>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7D87"/>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0C7D87"/>
    <w:pPr>
      <w:tabs>
        <w:tab w:val="center" w:pos="4513"/>
        <w:tab w:val="right" w:pos="9026"/>
      </w:tabs>
    </w:pPr>
  </w:style>
  <w:style w:type="character" w:styleId="FooterChar" w:customStyle="1">
    <w:name w:val="Footer Char"/>
    <w:basedOn w:val="DefaultParagraphFont"/>
    <w:link w:val="Footer"/>
    <w:uiPriority w:val="99"/>
    <w:rsid w:val="000C7D87"/>
    <w:rPr>
      <w:sz w:val="24"/>
      <w:szCs w:val="24"/>
    </w:rPr>
  </w:style>
  <w:style w:type="character" w:styleId="PageNumber">
    <w:name w:val="page number"/>
    <w:basedOn w:val="DefaultParagraphFont"/>
    <w:uiPriority w:val="99"/>
    <w:semiHidden w:val="1"/>
    <w:unhideWhenUsed w:val="1"/>
    <w:rsid w:val="000C7D87"/>
  </w:style>
  <w:style w:type="paragraph" w:styleId="Header">
    <w:name w:val="header"/>
    <w:basedOn w:val="Normal"/>
    <w:link w:val="HeaderChar"/>
    <w:uiPriority w:val="99"/>
    <w:unhideWhenUsed w:val="1"/>
    <w:rsid w:val="000C7D87"/>
    <w:pPr>
      <w:tabs>
        <w:tab w:val="center" w:pos="4513"/>
        <w:tab w:val="right" w:pos="9026"/>
      </w:tabs>
    </w:pPr>
  </w:style>
  <w:style w:type="character" w:styleId="HeaderChar" w:customStyle="1">
    <w:name w:val="Header Char"/>
    <w:basedOn w:val="DefaultParagraphFont"/>
    <w:link w:val="Header"/>
    <w:uiPriority w:val="99"/>
    <w:rsid w:val="000C7D87"/>
    <w:rPr>
      <w:sz w:val="24"/>
      <w:szCs w:val="24"/>
    </w:rPr>
  </w:style>
  <w:style w:type="paragraph" w:styleId="ListParagraph">
    <w:name w:val="List Paragraph"/>
    <w:basedOn w:val="Normal"/>
    <w:uiPriority w:val="34"/>
    <w:qFormat w:val="1"/>
    <w:rsid w:val="000C7D87"/>
    <w:pPr>
      <w:ind w:left="720"/>
      <w:contextualSpacing w:val="1"/>
    </w:pPr>
  </w:style>
  <w:style w:type="table" w:styleId="TableGrid">
    <w:name w:val="Table Grid"/>
    <w:basedOn w:val="TableNormal"/>
    <w:uiPriority w:val="39"/>
    <w:rsid w:val="000C7D87"/>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yJDgYpsio1G+NorxqGEWbaQ8g==">AMUW2mUOFzk96WbophFVB36xNDqL/MpeLvNyE7O7/SukEppDVUXhnj0ys/kN6CtUkdIYQqbL8txOIjAAqvU2b7ZinbVtE/qYQu/elAP65Wma6QFK85yUiyJg1+pBeKSEe8Gq6ifbTfB6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2021-08-12T11:22:00Z</dcterms:created>
  <dc:creator>Atul Aman</dc:creator>
</cp:coreProperties>
</file>