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p>
    <w:p>
      <w:pPr>
        <w:spacing w:after="60" w:before="60"/>
      </w:pPr>
    </w:p>
    <w:p>
      <w:pPr>
        <w:spacing w:after="60" w:before="60"/>
      </w:pPr>
    </w:p>
    <w:p>
      <w:pPr>
        <w:spacing w:after="80" w:before="400"/>
        <w:jc w:val="center"/>
      </w:pPr>
      <w:r>
        <w:rPr>
          <w:rFonts w:ascii="Arial" w:cs="Arial" w:eastAsia="Arial" w:hAnsi="Arial"/>
          <w:b/>
          <w:bCs/>
          <w:color w:val="0D2B55"/>
          <w:sz w:val="72"/>
          <w:szCs w:val="72"/>
        </w:rPr>
        <w:t xml:space="preserve">JARVIS JOB GLOBE</w:t>
      </w:r>
    </w:p>
    <w:p>
      <w:pPr>
        <w:spacing w:after="80" w:before="0"/>
        <w:jc w:val="center"/>
      </w:pPr>
      <w:r>
        <w:rPr>
          <w:rFonts w:ascii="Arial" w:cs="Arial" w:eastAsia="Arial" w:hAnsi="Arial"/>
          <w:i/>
          <w:iCs/>
          <w:color w:val="1E5FA8"/>
          <w:sz w:val="32"/>
          <w:szCs w:val="32"/>
        </w:rPr>
        <w:t xml:space="preserve">Agentic AI-Powered Global Job Discovery Platform</w:t>
      </w:r>
    </w:p>
    <w:p>
      <w:pPr>
        <w:pBdr>
          <w:bottom w:val="single" w:color="1E5FA8" w:sz="6" w:space="8"/>
        </w:pBdr>
        <w:spacing w:after="200" w:before="40"/>
        <w:jc w:val="center"/>
      </w:pPr>
    </w:p>
    <w:p>
      <w:pPr>
        <w:spacing w:after="60" w:before="60"/>
      </w:pPr>
    </w:p>
    <w:p>
      <w:pPr>
        <w:spacing w:after="60" w:before="60"/>
      </w:pPr>
    </w:p>
    <w:p>
      <w:pPr>
        <w:spacing w:after="60" w:before="120"/>
        <w:jc w:val="center"/>
      </w:pPr>
      <w:r>
        <w:rPr>
          <w:rFonts w:ascii="Arial" w:cs="Arial" w:eastAsia="Arial" w:hAnsi="Arial"/>
          <w:b/>
          <w:bCs/>
          <w:color w:val="444444"/>
          <w:sz w:val="28"/>
          <w:szCs w:val="28"/>
        </w:rPr>
        <w:t xml:space="preserve">Full Product &amp; Technical Specification</w:t>
      </w:r>
    </w:p>
    <w:p>
      <w:pPr>
        <w:spacing w:after="60" w:before="60"/>
        <w:jc w:val="center"/>
      </w:pPr>
      <w:r>
        <w:rPr>
          <w:rFonts w:ascii="Arial" w:cs="Arial" w:eastAsia="Arial" w:hAnsi="Arial"/>
          <w:color w:val="777777"/>
          <w:sz w:val="22"/>
          <w:szCs w:val="22"/>
        </w:rPr>
        <w:t xml:space="preserve">Version 1.0  ·  Confidential</w:t>
      </w:r>
    </w:p>
    <w:p>
      <w:pPr>
        <w:spacing w:after="60" w:before="60"/>
      </w:pPr>
    </w:p>
    <w:p>
      <w:pPr>
        <w:spacing w:after="60" w:before="60"/>
      </w:pPr>
    </w:p>
    <w:p>
      <w:pPr>
        <w:spacing w:after="60" w:before="60"/>
      </w:pPr>
    </w:p>
    <w:p>
      <w:pPr>
        <w:spacing w:after="60" w:before="60"/>
      </w:pPr>
    </w:p>
    <w:p>
      <w:pPr>
        <w:jc w:val="center"/>
      </w:pPr>
      <w:r>
        <w:rPr>
          <w:rFonts w:ascii="Arial" w:cs="Arial" w:eastAsia="Arial" w:hAnsi="Arial"/>
          <w:i/>
          <w:iCs/>
          <w:color w:val="555555"/>
          <w:sz w:val="22"/>
          <w:szCs w:val="22"/>
        </w:rPr>
        <w:t xml:space="preserve">From fragmented job listings → immersive geospatial discovery</w:t>
      </w:r>
    </w:p>
    <w:p>
      <w:r>
        <w:br w:type="page"/>
      </w:r>
    </w:p>
    <w:p>
      <w:pPr>
        <w:pStyle w:val="Heading1"/>
        <w:pBdr>
          <w:bottom w:val="single" w:color="0D2B55" w:sz="4" w:space="6"/>
        </w:pBdr>
        <w:spacing w:after="200" w:before="360"/>
      </w:pPr>
      <w:r>
        <w:rPr>
          <w:rFonts w:ascii="Arial" w:cs="Arial" w:eastAsia="Arial" w:hAnsi="Arial"/>
          <w:b/>
          <w:bCs/>
          <w:color w:val="0D2B55"/>
          <w:sz w:val="36"/>
          <w:szCs w:val="36"/>
        </w:rPr>
        <w:t xml:space="preserve">1. Executive Summary</w:t>
      </w:r>
    </w:p>
    <w:p>
      <w:pPr>
        <w:spacing w:after="140" w:before="80"/>
      </w:pPr>
      <w:r>
        <w:rPr>
          <w:rFonts w:ascii="Arial" w:cs="Arial" w:eastAsia="Arial" w:hAnsi="Arial"/>
          <w:sz w:val="22"/>
          <w:szCs w:val="22"/>
        </w:rPr>
        <w:t xml:space="preserve">Jarvis Job Globe is an agentic AI web platform that turns fragmented global job listings into an immersive, zoomable job-discovery interface. Users begin at a world heatmap, zoom from globe to country to city to neighbourhood, open a right-side job panel, redirect to official application portals, and optionally upload a résumé to receive explainable match scores, personalised alerts, and quick-prep tools.</w:t>
      </w:r>
    </w:p>
    <w:p>
      <w:pPr>
        <w:spacing w:after="60" w:before="60"/>
      </w:pPr>
    </w:p>
    <w:p>
      <w:pPr>
        <w:pStyle w:val="Heading2"/>
        <w:spacing w:after="160" w:before="280"/>
      </w:pPr>
      <w:r>
        <w:rPr>
          <w:rFonts w:ascii="Arial" w:cs="Arial" w:eastAsia="Arial" w:hAnsi="Arial"/>
          <w:b/>
          <w:bCs/>
          <w:color w:val="1E5FA8"/>
          <w:sz w:val="28"/>
          <w:szCs w:val="28"/>
        </w:rPr>
        <w:t xml:space="preserve">1.1  One-Line Pitch</w:t>
      </w:r>
    </w:p>
    <w:p>
      <w:pPr>
        <w:pBdr>
          <w:left w:val="single" w:color="1E5FA8" w:sz="12" w:space="8"/>
        </w:pBdr>
        <w:spacing w:after="120" w:before="120"/>
        <w:ind w:left="360"/>
      </w:pPr>
      <w:r>
        <w:rPr>
          <w:rFonts w:ascii="Arial" w:cs="Arial" w:eastAsia="Arial" w:hAnsi="Arial"/>
          <w:b/>
          <w:bCs/>
          <w:color w:val="1E5FA8"/>
          <w:sz w:val="22"/>
          <w:szCs w:val="22"/>
        </w:rPr>
        <w:t xml:space="preserve">Vision: </w:t>
      </w:r>
      <w:r>
        <w:rPr>
          <w:rFonts w:ascii="Arial" w:cs="Arial" w:eastAsia="Arial" w:hAnsi="Arial"/>
          <w:sz w:val="22"/>
          <w:szCs w:val="22"/>
        </w:rPr>
        <w:t xml:space="preserve">The first geospatial AI operating system for navigating the global job market — see the market, know your fit, apply safely.</w:t>
      </w:r>
    </w:p>
    <w:p>
      <w:pPr>
        <w:spacing w:after="60" w:before="60"/>
      </w:pPr>
    </w:p>
    <w:p>
      <w:pPr>
        <w:pStyle w:val="Heading2"/>
        <w:spacing w:after="160" w:before="280"/>
      </w:pPr>
      <w:r>
        <w:rPr>
          <w:rFonts w:ascii="Arial" w:cs="Arial" w:eastAsia="Arial" w:hAnsi="Arial"/>
          <w:b/>
          <w:bCs/>
          <w:color w:val="1E5FA8"/>
          <w:sz w:val="28"/>
          <w:szCs w:val="28"/>
        </w:rPr>
        <w:t xml:space="preserve">1.2  Strategic Pillars</w:t>
      </w:r>
    </w:p>
    <w:p>
      <w:pPr>
        <w:pStyle w:val="ListParagraph"/>
        <w:numPr>
          <w:ilvl w:val="0"/>
          <w:numId w:val="2"/>
        </w:numPr>
        <w:spacing w:after="60" w:before="60"/>
      </w:pPr>
      <w:r>
        <w:rPr>
          <w:rFonts w:ascii="Arial" w:cs="Arial" w:eastAsia="Arial" w:hAnsi="Arial"/>
          <w:sz w:val="22"/>
          <w:szCs w:val="22"/>
        </w:rPr>
        <w:t xml:space="preserve">API-First &amp; Consent-Driven — official ATS and government endpoints provide lawful, high-freshness data without indiscriminate crawling.</w:t>
      </w:r>
    </w:p>
    <w:p>
      <w:pPr>
        <w:pStyle w:val="ListParagraph"/>
        <w:numPr>
          <w:ilvl w:val="0"/>
          <w:numId w:val="2"/>
        </w:numPr>
        <w:spacing w:after="60" w:before="60"/>
      </w:pPr>
      <w:r>
        <w:rPr>
          <w:rFonts w:ascii="Arial" w:cs="Arial" w:eastAsia="Arial" w:hAnsi="Arial"/>
          <w:sz w:val="22"/>
          <w:szCs w:val="22"/>
        </w:rPr>
        <w:t xml:space="preserve">Redirect-First Applications — every job panel defaults to the employer's official application portal, reducing trust friction and legal exposure.</w:t>
      </w:r>
    </w:p>
    <w:p>
      <w:pPr>
        <w:pStyle w:val="ListParagraph"/>
        <w:numPr>
          <w:ilvl w:val="0"/>
          <w:numId w:val="2"/>
        </w:numPr>
        <w:spacing w:after="60" w:before="60"/>
      </w:pPr>
      <w:r>
        <w:rPr>
          <w:rFonts w:ascii="Arial" w:cs="Arial" w:eastAsia="Arial" w:hAnsi="Arial"/>
          <w:sz w:val="22"/>
          <w:szCs w:val="22"/>
        </w:rPr>
        <w:t xml:space="preserve">Three Bands of Trust — (1) Official ATS &amp; government sources, (2) Licensed aggregators &amp; enrichment, (3) Limited crawling where terms and counsel permit.</w:t>
      </w:r>
    </w:p>
    <w:p>
      <w:pPr>
        <w:pStyle w:val="ListParagraph"/>
        <w:numPr>
          <w:ilvl w:val="0"/>
          <w:numId w:val="2"/>
        </w:numPr>
        <w:spacing w:after="60" w:before="60"/>
      </w:pPr>
      <w:r>
        <w:rPr>
          <w:rFonts w:ascii="Arial" w:cs="Arial" w:eastAsia="Arial" w:hAnsi="Arial"/>
          <w:sz w:val="22"/>
          <w:szCs w:val="22"/>
        </w:rPr>
        <w:t xml:space="preserve">Tiered Freshness SLAs — webhook-enabled sources sync in near-real-time; slower providers are given cadences that respect their published limits.</w:t>
      </w:r>
    </w:p>
    <w:p>
      <w:pPr>
        <w:pStyle w:val="ListParagraph"/>
        <w:numPr>
          <w:ilvl w:val="0"/>
          <w:numId w:val="2"/>
        </w:numPr>
        <w:spacing w:after="60" w:before="60"/>
      </w:pPr>
      <w:r>
        <w:rPr>
          <w:rFonts w:ascii="Arial" w:cs="Arial" w:eastAsia="Arial" w:hAnsi="Arial"/>
          <w:sz w:val="22"/>
          <w:szCs w:val="22"/>
        </w:rPr>
        <w:t xml:space="preserve">Explainable AI — every match score surfaces a breakdown of strengths, partial matches, and skill gaps, not an opaque number.</w:t>
      </w:r>
    </w:p>
    <w:p>
      <w:pPr>
        <w:spacing w:after="60" w:before="60"/>
      </w:pPr>
    </w:p>
    <w:p>
      <w:pPr>
        <w:pStyle w:val="Heading2"/>
        <w:spacing w:after="160" w:before="280"/>
      </w:pPr>
      <w:r>
        <w:rPr>
          <w:rFonts w:ascii="Arial" w:cs="Arial" w:eastAsia="Arial" w:hAnsi="Arial"/>
          <w:b/>
          <w:bCs/>
          <w:color w:val="1E5FA8"/>
          <w:sz w:val="28"/>
          <w:szCs w:val="28"/>
        </w:rPr>
        <w:t xml:space="preserve">1.3  Core Product Promises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AABCD0" w:sz="1"/>
              <w:left w:val="single" w:color="AABCD0" w:sz="1"/>
              <w:bottom w:val="single" w:color="AABCD0" w:sz="1"/>
              <w:right w:val="single" w:color="AABCD0" w:sz="1"/>
            </w:tcBorders>
            <w:shd w:fill="E8F0FB" w:val="clear"/>
            <w:tcMar>
              <w:top w:type="dxa" w:w="100"/>
              <w:left w:type="dxa" w:w="140"/>
              <w:bottom w:type="dxa" w:w="100"/>
              <w:right w:type="dxa" w:w="140"/>
            </w:tcMar>
            <w:vAlign w:val="center"/>
          </w:tcPr>
          <w:p>
            <w:r>
              <w:rPr>
                <w:rFonts w:ascii="Arial" w:cs="Arial" w:eastAsia="Arial" w:hAnsi="Arial"/>
                <w:b/>
                <w:bCs/>
                <w:color w:val="0D2B55"/>
                <w:sz w:val="20"/>
                <w:szCs w:val="20"/>
              </w:rPr>
              <w:t xml:space="preserve">Promise</w:t>
            </w:r>
          </w:p>
        </w:tc>
        <w:tc>
          <w:tcPr>
            <w:tcW w:type="dxa" w:w="3600"/>
            <w:tcBorders>
              <w:top w:val="single" w:color="AABCD0" w:sz="1"/>
              <w:left w:val="single" w:color="AABCD0" w:sz="1"/>
              <w:bottom w:val="single" w:color="AABCD0" w:sz="1"/>
              <w:right w:val="single" w:color="AABCD0" w:sz="1"/>
            </w:tcBorders>
            <w:shd w:fill="E8F0FB" w:val="clear"/>
            <w:tcMar>
              <w:top w:type="dxa" w:w="100"/>
              <w:left w:type="dxa" w:w="140"/>
              <w:bottom w:type="dxa" w:w="100"/>
              <w:right w:type="dxa" w:w="140"/>
            </w:tcMar>
            <w:vAlign w:val="center"/>
          </w:tcPr>
          <w:p>
            <w:r>
              <w:rPr>
                <w:rFonts w:ascii="Arial" w:cs="Arial" w:eastAsia="Arial" w:hAnsi="Arial"/>
                <w:b/>
                <w:bCs/>
                <w:color w:val="0D2B55"/>
                <w:sz w:val="20"/>
                <w:szCs w:val="20"/>
              </w:rPr>
              <w:t xml:space="preserve">User Experience</w:t>
            </w:r>
          </w:p>
        </w:tc>
        <w:tc>
          <w:tcPr>
            <w:tcW w:type="dxa" w:w="3360"/>
            <w:tcBorders>
              <w:top w:val="single" w:color="AABCD0" w:sz="1"/>
              <w:left w:val="single" w:color="AABCD0" w:sz="1"/>
              <w:bottom w:val="single" w:color="AABCD0" w:sz="1"/>
              <w:right w:val="single" w:color="AABCD0" w:sz="1"/>
            </w:tcBorders>
            <w:shd w:fill="E8F0FB" w:val="clear"/>
            <w:tcMar>
              <w:top w:type="dxa" w:w="100"/>
              <w:left w:type="dxa" w:w="140"/>
              <w:bottom w:type="dxa" w:w="100"/>
              <w:right w:type="dxa" w:w="140"/>
            </w:tcMar>
            <w:vAlign w:val="center"/>
          </w:tcPr>
          <w:p>
            <w:r>
              <w:rPr>
                <w:rFonts w:ascii="Arial" w:cs="Arial" w:eastAsia="Arial" w:hAnsi="Arial"/>
                <w:b/>
                <w:bCs/>
                <w:color w:val="0D2B55"/>
                <w:sz w:val="20"/>
                <w:szCs w:val="20"/>
              </w:rPr>
              <w:t xml:space="preserve">Differentiator</w:t>
            </w:r>
          </w:p>
        </w:tc>
      </w:tr>
      <w:tr>
        <w:tc>
          <w:tcPr>
            <w:tcW w:type="dxa" w:w="24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See the Market</w:t>
            </w:r>
          </w:p>
        </w:tc>
        <w:tc>
          <w:tcPr>
            <w:tcW w:type="dxa" w:w="36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A heatmap globe revealing hiring concentration from world scale to street scale</w:t>
            </w:r>
          </w:p>
        </w:tc>
        <w:tc>
          <w:tcPr>
            <w:tcW w:type="dxa" w:w="336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Spatial discovery vs. keyword forms</w:t>
            </w:r>
          </w:p>
        </w:tc>
      </w:tr>
      <w:tr>
        <w:tc>
          <w:tcPr>
            <w:tcW w:type="dxa" w:w="24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Know Your Fit</w:t>
            </w:r>
          </w:p>
        </w:tc>
        <w:tc>
          <w:tcPr>
            <w:tcW w:type="dxa" w:w="36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Profile-driven match engine with skill-gap feedback and seniority alignment</w:t>
            </w:r>
          </w:p>
        </w:tc>
        <w:tc>
          <w:tcPr>
            <w:tcW w:type="dxa" w:w="336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Explainability + calibrated scoring</w:t>
            </w:r>
          </w:p>
        </w:tc>
      </w:tr>
      <w:tr>
        <w:tc>
          <w:tcPr>
            <w:tcW w:type="dxa" w:w="24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Apply Safely</w:t>
            </w:r>
          </w:p>
        </w:tc>
        <w:tc>
          <w:tcPr>
            <w:tcW w:type="dxa" w:w="36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Right-side panel that links to the employer's or portal's official application</w:t>
            </w:r>
          </w:p>
        </w:tc>
        <w:tc>
          <w:tcPr>
            <w:tcW w:type="dxa" w:w="336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Phishing resistance as a product feature</w:t>
            </w:r>
          </w:p>
        </w:tc>
      </w:tr>
    </w:tbl>
    <w:p>
      <w:pPr>
        <w:spacing w:after="60" w:before="60"/>
      </w:pPr>
    </w:p>
    <w:p>
      <w:pPr>
        <w:pStyle w:val="Heading2"/>
        <w:spacing w:after="160" w:before="280"/>
      </w:pPr>
      <w:r>
        <w:rPr>
          <w:rFonts w:ascii="Arial" w:cs="Arial" w:eastAsia="Arial" w:hAnsi="Arial"/>
          <w:b/>
          <w:bCs/>
          <w:color w:val="1E5FA8"/>
          <w:sz w:val="28"/>
          <w:szCs w:val="28"/>
        </w:rPr>
        <w:t xml:space="preserve">1.4  Build Recommendation</w:t>
      </w:r>
    </w:p>
    <w:p>
      <w:pPr>
        <w:spacing w:after="140" w:before="80"/>
      </w:pPr>
      <w:r>
        <w:rPr>
          <w:rFonts w:ascii="Arial" w:cs="Arial" w:eastAsia="Arial" w:hAnsi="Arial"/>
          <w:sz w:val="22"/>
          <w:szCs w:val="22"/>
        </w:rPr>
        <w:t xml:space="preserve">Present Jarvis Job Globe not as 'a flashy globe and a scraper,' but as a new interaction paradigm for job search that combines geospatial discovery, verified source ingestion, explainable matching, and trusted redirects. In that framing, it is a serious product with a clear MVP, a defensible architecture, and a credible path to university, recruiter, and enterprise adoption.</w:t>
      </w:r>
    </w:p>
    <w:p>
      <w:r>
        <w:br w:type="page"/>
      </w:r>
    </w:p>
    <w:p>
      <w:pPr>
        <w:pStyle w:val="Heading1"/>
        <w:pBdr>
          <w:bottom w:val="single" w:color="0D2B55" w:sz="4" w:space="6"/>
        </w:pBdr>
        <w:spacing w:after="200" w:before="360"/>
      </w:pPr>
      <w:r>
        <w:rPr>
          <w:rFonts w:ascii="Arial" w:cs="Arial" w:eastAsia="Arial" w:hAnsi="Arial"/>
          <w:b/>
          <w:bCs/>
          <w:color w:val="0D2B55"/>
          <w:sz w:val="36"/>
          <w:szCs w:val="36"/>
        </w:rPr>
        <w:t xml:space="preserve">2. Product Vision &amp; Users</w:t>
      </w:r>
    </w:p>
    <w:p>
      <w:pPr>
        <w:pStyle w:val="Heading2"/>
        <w:spacing w:after="160" w:before="280"/>
      </w:pPr>
      <w:r>
        <w:rPr>
          <w:rFonts w:ascii="Arial" w:cs="Arial" w:eastAsia="Arial" w:hAnsi="Arial"/>
          <w:b/>
          <w:bCs/>
          <w:color w:val="1E5FA8"/>
          <w:sz w:val="28"/>
          <w:szCs w:val="28"/>
        </w:rPr>
        <w:t xml:space="preserve">2.1  The Problem</w:t>
      </w:r>
    </w:p>
    <w:p>
      <w:pPr>
        <w:spacing w:after="140" w:before="80"/>
      </w:pPr>
      <w:r>
        <w:rPr>
          <w:rFonts w:ascii="Arial" w:cs="Arial" w:eastAsia="Arial" w:hAnsi="Arial"/>
          <w:sz w:val="22"/>
          <w:szCs w:val="22"/>
        </w:rPr>
        <w:t xml:space="preserve">Job information is scattered across company career sites, ATS-hosted job boards, public-sector portals, and aggregators. A user who wants to understand where jobs are concentrated, which companies are hiring nearby, and which roles match their profile must hop between multiple systems. Jarvis Job Globe changes the interaction from keyword-form search to spatial exploration plus personalised ranking.</w:t>
      </w:r>
    </w:p>
    <w:p>
      <w:pPr>
        <w:spacing w:after="60" w:before="60"/>
      </w:pPr>
    </w:p>
    <w:p>
      <w:pPr>
        <w:pStyle w:val="Heading2"/>
        <w:spacing w:after="160" w:before="280"/>
      </w:pPr>
      <w:r>
        <w:rPr>
          <w:rFonts w:ascii="Arial" w:cs="Arial" w:eastAsia="Arial" w:hAnsi="Arial"/>
          <w:b/>
          <w:bCs/>
          <w:color w:val="1E5FA8"/>
          <w:sz w:val="28"/>
          <w:szCs w:val="28"/>
        </w:rPr>
        <w:t xml:space="preserve">2.2  Target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3120"/>
        <w:gridCol w:w="4560"/>
      </w:tblGrid>
      <w:tr>
        <w:trPr>
          <w:tblHeader/>
        </w:trPr>
        <w:tc>
          <w:tcPr>
            <w:tcW w:type="dxa" w:w="1680"/>
            <w:tcBorders>
              <w:top w:val="single" w:color="AABCD0" w:sz="1"/>
              <w:left w:val="single" w:color="AABCD0" w:sz="1"/>
              <w:bottom w:val="single" w:color="AABCD0" w:sz="1"/>
              <w:right w:val="single" w:color="AABCD0" w:sz="1"/>
            </w:tcBorders>
            <w:shd w:fill="E8F0FB" w:val="clear"/>
            <w:tcMar>
              <w:top w:type="dxa" w:w="100"/>
              <w:left w:type="dxa" w:w="140"/>
              <w:bottom w:type="dxa" w:w="100"/>
              <w:right w:type="dxa" w:w="140"/>
            </w:tcMar>
            <w:vAlign w:val="center"/>
          </w:tcPr>
          <w:p>
            <w:r>
              <w:rPr>
                <w:rFonts w:ascii="Arial" w:cs="Arial" w:eastAsia="Arial" w:hAnsi="Arial"/>
                <w:b/>
                <w:bCs/>
                <w:color w:val="0D2B55"/>
                <w:sz w:val="20"/>
                <w:szCs w:val="20"/>
              </w:rPr>
              <w:t xml:space="preserve">Persona</w:t>
            </w:r>
          </w:p>
        </w:tc>
        <w:tc>
          <w:tcPr>
            <w:tcW w:type="dxa" w:w="3120"/>
            <w:tcBorders>
              <w:top w:val="single" w:color="AABCD0" w:sz="1"/>
              <w:left w:val="single" w:color="AABCD0" w:sz="1"/>
              <w:bottom w:val="single" w:color="AABCD0" w:sz="1"/>
              <w:right w:val="single" w:color="AABCD0" w:sz="1"/>
            </w:tcBorders>
            <w:shd w:fill="E8F0FB" w:val="clear"/>
            <w:tcMar>
              <w:top w:type="dxa" w:w="100"/>
              <w:left w:type="dxa" w:w="140"/>
              <w:bottom w:type="dxa" w:w="100"/>
              <w:right w:type="dxa" w:w="140"/>
            </w:tcMar>
            <w:vAlign w:val="center"/>
          </w:tcPr>
          <w:p>
            <w:r>
              <w:rPr>
                <w:rFonts w:ascii="Arial" w:cs="Arial" w:eastAsia="Arial" w:hAnsi="Arial"/>
                <w:b/>
                <w:bCs/>
                <w:color w:val="0D2B55"/>
                <w:sz w:val="20"/>
                <w:szCs w:val="20"/>
              </w:rPr>
              <w:t xml:space="preserve">Core Need</w:t>
            </w:r>
          </w:p>
        </w:tc>
        <w:tc>
          <w:tcPr>
            <w:tcW w:type="dxa" w:w="4560"/>
            <w:tcBorders>
              <w:top w:val="single" w:color="AABCD0" w:sz="1"/>
              <w:left w:val="single" w:color="AABCD0" w:sz="1"/>
              <w:bottom w:val="single" w:color="AABCD0" w:sz="1"/>
              <w:right w:val="single" w:color="AABCD0" w:sz="1"/>
            </w:tcBorders>
            <w:shd w:fill="E8F0FB" w:val="clear"/>
            <w:tcMar>
              <w:top w:type="dxa" w:w="100"/>
              <w:left w:type="dxa" w:w="140"/>
              <w:bottom w:type="dxa" w:w="100"/>
              <w:right w:type="dxa" w:w="140"/>
            </w:tcMar>
            <w:vAlign w:val="center"/>
          </w:tcPr>
          <w:p>
            <w:r>
              <w:rPr>
                <w:rFonts w:ascii="Arial" w:cs="Arial" w:eastAsia="Arial" w:hAnsi="Arial"/>
                <w:b/>
                <w:bCs/>
                <w:color w:val="0D2B55"/>
                <w:sz w:val="20"/>
                <w:szCs w:val="20"/>
              </w:rPr>
              <w:t xml:space="preserve">What Wins Them</w:t>
            </w:r>
          </w:p>
        </w:tc>
      </w:tr>
      <w:tr>
        <w:tc>
          <w:tcPr>
            <w:tcW w:type="dxa" w:w="168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Students</w:t>
            </w:r>
          </w:p>
        </w:tc>
        <w:tc>
          <w:tcPr>
            <w:tcW w:type="dxa" w:w="312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Show me where opportunity clusters are, not just a list of titles</w:t>
            </w:r>
          </w:p>
        </w:tc>
        <w:tc>
          <w:tcPr>
            <w:tcW w:type="dxa" w:w="456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Globe heatmap, internship/new-grad filters, onboarding questions, quick-prep tools</w:t>
            </w:r>
          </w:p>
        </w:tc>
      </w:tr>
      <w:tr>
        <w:tc>
          <w:tcPr>
            <w:tcW w:type="dxa" w:w="168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Early-Career Professionals</w:t>
            </w:r>
          </w:p>
        </w:tc>
        <w:tc>
          <w:tcPr>
            <w:tcW w:type="dxa" w:w="312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Reduce search noise and tell me which jobs are worth my time</w:t>
            </w:r>
          </w:p>
        </w:tc>
        <w:tc>
          <w:tcPr>
            <w:tcW w:type="dxa" w:w="456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Match %, missing-skill breakdown, alerts, save/track, interview prep</w:t>
            </w:r>
          </w:p>
        </w:tc>
      </w:tr>
      <w:tr>
        <w:tc>
          <w:tcPr>
            <w:tcW w:type="dxa" w:w="168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Recruiters &amp; Hiring Teams</w:t>
            </w:r>
          </w:p>
        </w:tc>
        <w:tc>
          <w:tcPr>
            <w:tcW w:type="dxa" w:w="312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Increase qualified inbound applications and employer visibility</w:t>
            </w:r>
          </w:p>
        </w:tc>
        <w:tc>
          <w:tcPr>
            <w:tcW w:type="dxa" w:w="456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Company bubble visibility, click-through analytics, optional sponsored placement</w:t>
            </w:r>
          </w:p>
        </w:tc>
      </w:tr>
      <w:tr>
        <w:tc>
          <w:tcPr>
            <w:tcW w:type="dxa" w:w="168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Enterprise / Universities</w:t>
            </w:r>
          </w:p>
        </w:tc>
        <w:tc>
          <w:tcPr>
            <w:tcW w:type="dxa" w:w="312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Offer a branded talent-navigation layer for students and alumni</w:t>
            </w:r>
          </w:p>
        </w:tc>
        <w:tc>
          <w:tcPr>
            <w:tcW w:type="dxa" w:w="456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White-label deployment, policy controls, analytics, admin dashboards</w:t>
            </w:r>
          </w:p>
        </w:tc>
      </w:tr>
    </w:tbl>
    <w:p>
      <w:pPr>
        <w:spacing w:after="60" w:before="60"/>
      </w:pPr>
    </w:p>
    <w:p>
      <w:pPr>
        <w:pStyle w:val="Heading2"/>
        <w:spacing w:after="160" w:before="280"/>
      </w:pPr>
      <w:r>
        <w:rPr>
          <w:rFonts w:ascii="Arial" w:cs="Arial" w:eastAsia="Arial" w:hAnsi="Arial"/>
          <w:b/>
          <w:bCs/>
          <w:color w:val="1E5FA8"/>
          <w:sz w:val="28"/>
          <w:szCs w:val="28"/>
        </w:rPr>
        <w:t xml:space="preserve">2.3  Differentiators</w:t>
      </w:r>
    </w:p>
    <w:p>
      <w:pPr>
        <w:pStyle w:val="ListParagraph"/>
        <w:numPr>
          <w:ilvl w:val="0"/>
          <w:numId w:val="2"/>
        </w:numPr>
        <w:spacing w:after="60" w:before="60"/>
      </w:pPr>
      <w:r>
        <w:rPr>
          <w:rFonts w:ascii="Arial" w:cs="Arial" w:eastAsia="Arial" w:hAnsi="Arial"/>
          <w:sz w:val="22"/>
          <w:szCs w:val="22"/>
        </w:rPr>
        <w:t xml:space="preserve">Campus-to-Cluster Storytelling Mode — preset zoom views for university districts, innovation parks, and transit corridors, modelled on the MIT Campus Map interaction pattern.</w:t>
      </w:r>
    </w:p>
    <w:p>
      <w:pPr>
        <w:pStyle w:val="ListParagraph"/>
        <w:numPr>
          <w:ilvl w:val="0"/>
          <w:numId w:val="2"/>
        </w:numPr>
        <w:spacing w:after="60" w:before="60"/>
      </w:pPr>
      <w:r>
        <w:rPr>
          <w:rFonts w:ascii="Arial" w:cs="Arial" w:eastAsia="Arial" w:hAnsi="Arial"/>
          <w:sz w:val="22"/>
          <w:szCs w:val="22"/>
        </w:rPr>
        <w:t xml:space="preserve">Geospatial-first discovery replaces keyword-form search with progressive spatial exploration.</w:t>
      </w:r>
    </w:p>
    <w:p>
      <w:pPr>
        <w:pStyle w:val="ListParagraph"/>
        <w:numPr>
          <w:ilvl w:val="0"/>
          <w:numId w:val="2"/>
        </w:numPr>
        <w:spacing w:after="60" w:before="60"/>
      </w:pPr>
      <w:r>
        <w:rPr>
          <w:rFonts w:ascii="Arial" w:cs="Arial" w:eastAsia="Arial" w:hAnsi="Arial"/>
          <w:sz w:val="22"/>
          <w:szCs w:val="22"/>
        </w:rPr>
        <w:t xml:space="preserve">Verified source policy means every job link traces back to an authoritative source.</w:t>
      </w:r>
    </w:p>
    <w:p>
      <w:pPr>
        <w:pStyle w:val="ListParagraph"/>
        <w:numPr>
          <w:ilvl w:val="0"/>
          <w:numId w:val="2"/>
        </w:numPr>
        <w:spacing w:after="60" w:before="60"/>
      </w:pPr>
      <w:r>
        <w:rPr>
          <w:rFonts w:ascii="Arial" w:cs="Arial" w:eastAsia="Arial" w:hAnsi="Arial"/>
          <w:sz w:val="22"/>
          <w:szCs w:val="22"/>
        </w:rPr>
        <w:t xml:space="preserve">Explainable matching shows users not just a score but why — skills present, skills missing, seniority fit.</w:t>
      </w:r>
    </w:p>
    <w:p>
      <w:pPr>
        <w:spacing w:after="60" w:before="60"/>
      </w:pPr>
    </w:p>
    <w:p>
      <w:pPr>
        <w:pStyle w:val="Heading2"/>
        <w:spacing w:after="160" w:before="280"/>
      </w:pPr>
      <w:r>
        <w:rPr>
          <w:rFonts w:ascii="Arial" w:cs="Arial" w:eastAsia="Arial" w:hAnsi="Arial"/>
          <w:b/>
          <w:bCs/>
          <w:color w:val="1E5FA8"/>
          <w:sz w:val="28"/>
          <w:szCs w:val="28"/>
        </w:rPr>
        <w:t xml:space="preserve">2.4  Unique Value Statement</w:t>
      </w:r>
    </w:p>
    <w:p>
      <w:pPr>
        <w:pBdr>
          <w:left w:val="single" w:color="1E5FA8" w:sz="12" w:space="8"/>
        </w:pBdr>
        <w:spacing w:after="120" w:before="120"/>
        <w:ind w:left="360"/>
      </w:pPr>
      <w:r>
        <w:rPr>
          <w:rFonts w:ascii="Arial" w:cs="Arial" w:eastAsia="Arial" w:hAnsi="Arial"/>
          <w:b/>
          <w:bCs/>
          <w:color w:val="1E5FA8"/>
          <w:sz w:val="22"/>
          <w:szCs w:val="22"/>
        </w:rPr>
        <w:t xml:space="preserve">Tagline: </w:t>
      </w:r>
      <w:r>
        <w:rPr>
          <w:rFonts w:ascii="Arial" w:cs="Arial" w:eastAsia="Arial" w:hAnsi="Arial"/>
          <w:sz w:val="22"/>
          <w:szCs w:val="22"/>
        </w:rPr>
        <w:t xml:space="preserve">Find opportunity on the globe. Explore hiring demand from world scale to street scale, then open verified roles in seconds.</w:t>
      </w:r>
    </w:p>
    <w:p>
      <w:r>
        <w:br w:type="page"/>
      </w:r>
    </w:p>
    <w:p>
      <w:pPr>
        <w:pStyle w:val="Heading1"/>
        <w:pBdr>
          <w:bottom w:val="single" w:color="0D2B55" w:sz="4" w:space="6"/>
        </w:pBdr>
        <w:spacing w:after="200" w:before="360"/>
      </w:pPr>
      <w:r>
        <w:rPr>
          <w:rFonts w:ascii="Arial" w:cs="Arial" w:eastAsia="Arial" w:hAnsi="Arial"/>
          <w:b/>
          <w:bCs/>
          <w:color w:val="0D2B55"/>
          <w:sz w:val="36"/>
          <w:szCs w:val="36"/>
        </w:rPr>
        <w:t xml:space="preserve">3. Product Experience &amp; Interaction Model</w:t>
      </w:r>
    </w:p>
    <w:p>
      <w:pPr>
        <w:pStyle w:val="Heading2"/>
        <w:spacing w:after="160" w:before="280"/>
      </w:pPr>
      <w:r>
        <w:rPr>
          <w:rFonts w:ascii="Arial" w:cs="Arial" w:eastAsia="Arial" w:hAnsi="Arial"/>
          <w:b/>
          <w:bCs/>
          <w:color w:val="1E5FA8"/>
          <w:sz w:val="28"/>
          <w:szCs w:val="28"/>
        </w:rPr>
        <w:t xml:space="preserve">3.1  Progressive Disclosure — The Zoom Model</w:t>
      </w:r>
    </w:p>
    <w:p>
      <w:pPr>
        <w:spacing w:after="140" w:before="80"/>
      </w:pPr>
      <w:r>
        <w:rPr>
          <w:rFonts w:ascii="Arial" w:cs="Arial" w:eastAsia="Arial" w:hAnsi="Arial"/>
          <w:sz w:val="22"/>
          <w:szCs w:val="22"/>
        </w:rPr>
        <w:t xml:space="preserve">The interface is organised around progressive disclosure. At each zoom layer, users encounter a different question and a different density of information, preventing overwhelm while surfacing progressively more actionable detail.</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760"/>
        <w:gridCol w:w="3000"/>
      </w:tblGrid>
      <w:tr>
        <w:trPr>
          <w:tblHeader/>
        </w:trPr>
        <w:tc>
          <w:tcPr>
            <w:tcW w:type="dxa" w:w="1500"/>
            <w:tcBorders>
              <w:top w:val="single" w:color="AABCD0" w:sz="1"/>
              <w:left w:val="single" w:color="AABCD0" w:sz="1"/>
              <w:bottom w:val="single" w:color="AABCD0" w:sz="1"/>
              <w:right w:val="single" w:color="AABCD0" w:sz="1"/>
            </w:tcBorders>
            <w:shd w:fill="E8F0FB" w:val="clear"/>
            <w:tcMar>
              <w:top w:type="dxa" w:w="100"/>
              <w:left w:type="dxa" w:w="140"/>
              <w:bottom w:type="dxa" w:w="100"/>
              <w:right w:type="dxa" w:w="140"/>
            </w:tcMar>
            <w:vAlign w:val="center"/>
          </w:tcPr>
          <w:p>
            <w:r>
              <w:rPr>
                <w:rFonts w:ascii="Arial" w:cs="Arial" w:eastAsia="Arial" w:hAnsi="Arial"/>
                <w:b/>
                <w:bCs/>
                <w:color w:val="0D2B55"/>
                <w:sz w:val="20"/>
                <w:szCs w:val="20"/>
              </w:rPr>
              <w:t xml:space="preserve">Zoom Layer</w:t>
            </w:r>
          </w:p>
        </w:tc>
        <w:tc>
          <w:tcPr>
            <w:tcW w:type="dxa" w:w="2100"/>
            <w:tcBorders>
              <w:top w:val="single" w:color="AABCD0" w:sz="1"/>
              <w:left w:val="single" w:color="AABCD0" w:sz="1"/>
              <w:bottom w:val="single" w:color="AABCD0" w:sz="1"/>
              <w:right w:val="single" w:color="AABCD0" w:sz="1"/>
            </w:tcBorders>
            <w:shd w:fill="E8F0FB" w:val="clear"/>
            <w:tcMar>
              <w:top w:type="dxa" w:w="100"/>
              <w:left w:type="dxa" w:w="140"/>
              <w:bottom w:type="dxa" w:w="100"/>
              <w:right w:type="dxa" w:w="140"/>
            </w:tcMar>
            <w:vAlign w:val="center"/>
          </w:tcPr>
          <w:p>
            <w:r>
              <w:rPr>
                <w:rFonts w:ascii="Arial" w:cs="Arial" w:eastAsia="Arial" w:hAnsi="Arial"/>
                <w:b/>
                <w:bCs/>
                <w:color w:val="0D2B55"/>
                <w:sz w:val="20"/>
                <w:szCs w:val="20"/>
              </w:rPr>
              <w:t xml:space="preserve">Primary Visual</w:t>
            </w:r>
          </w:p>
        </w:tc>
        <w:tc>
          <w:tcPr>
            <w:tcW w:type="dxa" w:w="2760"/>
            <w:tcBorders>
              <w:top w:val="single" w:color="AABCD0" w:sz="1"/>
              <w:left w:val="single" w:color="AABCD0" w:sz="1"/>
              <w:bottom w:val="single" w:color="AABCD0" w:sz="1"/>
              <w:right w:val="single" w:color="AABCD0" w:sz="1"/>
            </w:tcBorders>
            <w:shd w:fill="E8F0FB" w:val="clear"/>
            <w:tcMar>
              <w:top w:type="dxa" w:w="100"/>
              <w:left w:type="dxa" w:w="140"/>
              <w:bottom w:type="dxa" w:w="100"/>
              <w:right w:type="dxa" w:w="140"/>
            </w:tcMar>
            <w:vAlign w:val="center"/>
          </w:tcPr>
          <w:p>
            <w:r>
              <w:rPr>
                <w:rFonts w:ascii="Arial" w:cs="Arial" w:eastAsia="Arial" w:hAnsi="Arial"/>
                <w:b/>
                <w:bCs/>
                <w:color w:val="0D2B55"/>
                <w:sz w:val="20"/>
                <w:szCs w:val="20"/>
              </w:rPr>
              <w:t xml:space="preserve">Default Data Shown</w:t>
            </w:r>
          </w:p>
        </w:tc>
        <w:tc>
          <w:tcPr>
            <w:tcW w:type="dxa" w:w="3000"/>
            <w:tcBorders>
              <w:top w:val="single" w:color="AABCD0" w:sz="1"/>
              <w:left w:val="single" w:color="AABCD0" w:sz="1"/>
              <w:bottom w:val="single" w:color="AABCD0" w:sz="1"/>
              <w:right w:val="single" w:color="AABCD0" w:sz="1"/>
            </w:tcBorders>
            <w:shd w:fill="E8F0FB" w:val="clear"/>
            <w:tcMar>
              <w:top w:type="dxa" w:w="100"/>
              <w:left w:type="dxa" w:w="140"/>
              <w:bottom w:type="dxa" w:w="100"/>
              <w:right w:type="dxa" w:w="140"/>
            </w:tcMar>
            <w:vAlign w:val="center"/>
          </w:tcPr>
          <w:p>
            <w:r>
              <w:rPr>
                <w:rFonts w:ascii="Arial" w:cs="Arial" w:eastAsia="Arial" w:hAnsi="Arial"/>
                <w:b/>
                <w:bCs/>
                <w:color w:val="0D2B55"/>
                <w:sz w:val="20"/>
                <w:szCs w:val="20"/>
              </w:rPr>
              <w:t xml:space="preserve">Right-Side Behaviour</w:t>
            </w:r>
          </w:p>
        </w:tc>
      </w:tr>
      <w:tr>
        <w:tc>
          <w:tcPr>
            <w:tcW w:type="dxa" w:w="15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Global</w:t>
            </w:r>
          </w:p>
        </w:tc>
        <w:tc>
          <w:tcPr>
            <w:tcW w:type="dxa" w:w="21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Heatmap + continental glow</w:t>
            </w:r>
          </w:p>
        </w:tc>
        <w:tc>
          <w:tcPr>
            <w:tcW w:type="dxa" w:w="276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Total jobs by region — no logos</w:t>
            </w:r>
          </w:p>
        </w:tc>
        <w:tc>
          <w:tcPr>
            <w:tcW w:type="dxa" w:w="30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Closed by default; opens summary trends</w:t>
            </w:r>
          </w:p>
        </w:tc>
      </w:tr>
      <w:tr>
        <w:tc>
          <w:tcPr>
            <w:tcW w:type="dxa" w:w="15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Country</w:t>
            </w:r>
          </w:p>
        </w:tc>
        <w:tc>
          <w:tcPr>
            <w:tcW w:type="dxa" w:w="21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Filled country counts + city hints</w:t>
            </w:r>
          </w:p>
        </w:tc>
        <w:tc>
          <w:tcPr>
            <w:tcW w:type="dxa" w:w="276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Total jobs, category mix, top metros</w:t>
            </w:r>
          </w:p>
        </w:tc>
        <w:tc>
          <w:tcPr>
            <w:tcW w:type="dxa" w:w="30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Country snapshot, category leaderboards</w:t>
            </w:r>
          </w:p>
        </w:tc>
      </w:tr>
      <w:tr>
        <w:tc>
          <w:tcPr>
            <w:tcW w:type="dxa" w:w="15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City</w:t>
            </w:r>
          </w:p>
        </w:tc>
        <w:tc>
          <w:tcPr>
            <w:tcW w:type="dxa" w:w="21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Bubble clusters + top 10–15 employers</w:t>
            </w:r>
          </w:p>
        </w:tc>
        <w:tc>
          <w:tcPr>
            <w:tcW w:type="dxa" w:w="276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Logos for top employers, posting counts, top categories</w:t>
            </w:r>
          </w:p>
        </w:tc>
        <w:tc>
          <w:tcPr>
            <w:tcW w:type="dxa" w:w="30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Employer list and top open roles</w:t>
            </w:r>
          </w:p>
        </w:tc>
      </w:tr>
      <w:tr>
        <w:tc>
          <w:tcPr>
            <w:tcW w:type="dxa" w:w="15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Neighbourhood</w:t>
            </w:r>
          </w:p>
        </w:tc>
        <w:tc>
          <w:tcPr>
            <w:tcW w:type="dxa" w:w="21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Precise company markers</w:t>
            </w:r>
          </w:p>
        </w:tc>
        <w:tc>
          <w:tcPr>
            <w:tcW w:type="dxa" w:w="276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Company cards, nearby roles, transit/remote signals</w:t>
            </w:r>
          </w:p>
        </w:tc>
        <w:tc>
          <w:tcPr>
            <w:tcW w:type="dxa" w:w="30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Full job panel with redirect, save, track, compare</w:t>
            </w:r>
          </w:p>
        </w:tc>
      </w:tr>
    </w:tbl>
    <w:p>
      <w:pPr>
        <w:spacing w:after="60" w:before="60"/>
      </w:pPr>
    </w:p>
    <w:p>
      <w:pPr>
        <w:pStyle w:val="Heading2"/>
        <w:spacing w:after="160" w:before="280"/>
      </w:pPr>
      <w:r>
        <w:rPr>
          <w:rFonts w:ascii="Arial" w:cs="Arial" w:eastAsia="Arial" w:hAnsi="Arial"/>
          <w:b/>
          <w:bCs/>
          <w:color w:val="1E5FA8"/>
          <w:sz w:val="28"/>
          <w:szCs w:val="28"/>
        </w:rPr>
        <w:t xml:space="preserve">3.2  Onboarding &amp; Personalisation</w:t>
      </w:r>
    </w:p>
    <w:p>
      <w:pPr>
        <w:spacing w:after="140" w:before="80"/>
      </w:pPr>
      <w:r>
        <w:rPr>
          <w:rFonts w:ascii="Arial" w:cs="Arial" w:eastAsia="Arial" w:hAnsi="Arial"/>
          <w:sz w:val="22"/>
          <w:szCs w:val="22"/>
        </w:rPr>
        <w:t xml:space="preserve">Personalisation begins with a lightweight onboarding of 2–10 questions, followed by optional résumé upload. Initial questions capture job intent without exhausting the user:</w:t>
      </w:r>
    </w:p>
    <w:p>
      <w:pPr>
        <w:pStyle w:val="ListParagraph"/>
        <w:numPr>
          <w:ilvl w:val="0"/>
          <w:numId w:val="2"/>
        </w:numPr>
        <w:spacing w:after="60" w:before="60"/>
      </w:pPr>
      <w:r>
        <w:rPr>
          <w:rFonts w:ascii="Arial" w:cs="Arial" w:eastAsia="Arial" w:hAnsi="Arial"/>
          <w:sz w:val="22"/>
          <w:szCs w:val="22"/>
        </w:rPr>
        <w:t xml:space="preserve">Desired role family and seniority level</w:t>
      </w:r>
    </w:p>
    <w:p>
      <w:pPr>
        <w:pStyle w:val="ListParagraph"/>
        <w:numPr>
          <w:ilvl w:val="0"/>
          <w:numId w:val="2"/>
        </w:numPr>
        <w:spacing w:after="60" w:before="60"/>
      </w:pPr>
      <w:r>
        <w:rPr>
          <w:rFonts w:ascii="Arial" w:cs="Arial" w:eastAsia="Arial" w:hAnsi="Arial"/>
          <w:sz w:val="22"/>
          <w:szCs w:val="22"/>
        </w:rPr>
        <w:t xml:space="preserve">Target locations (country, city, or remote-first)</w:t>
      </w:r>
    </w:p>
    <w:p>
      <w:pPr>
        <w:pStyle w:val="ListParagraph"/>
        <w:numPr>
          <w:ilvl w:val="0"/>
          <w:numId w:val="2"/>
        </w:numPr>
        <w:spacing w:after="60" w:before="60"/>
      </w:pPr>
      <w:r>
        <w:rPr>
          <w:rFonts w:ascii="Arial" w:cs="Arial" w:eastAsia="Arial" w:hAnsi="Arial"/>
          <w:sz w:val="22"/>
          <w:szCs w:val="22"/>
        </w:rPr>
        <w:t xml:space="preserve">Remote / hybrid / on-site preference</w:t>
      </w:r>
    </w:p>
    <w:p>
      <w:pPr>
        <w:pStyle w:val="ListParagraph"/>
        <w:numPr>
          <w:ilvl w:val="0"/>
          <w:numId w:val="2"/>
        </w:numPr>
        <w:spacing w:after="60" w:before="60"/>
      </w:pPr>
      <w:r>
        <w:rPr>
          <w:rFonts w:ascii="Arial" w:cs="Arial" w:eastAsia="Arial" w:hAnsi="Arial"/>
          <w:sz w:val="22"/>
          <w:szCs w:val="22"/>
        </w:rPr>
        <w:t xml:space="preserve">Internship vs. full-time vs. contract</w:t>
      </w:r>
    </w:p>
    <w:p>
      <w:pPr>
        <w:pStyle w:val="ListParagraph"/>
        <w:numPr>
          <w:ilvl w:val="0"/>
          <w:numId w:val="2"/>
        </w:numPr>
        <w:spacing w:after="60" w:before="60"/>
      </w:pPr>
      <w:r>
        <w:rPr>
          <w:rFonts w:ascii="Arial" w:cs="Arial" w:eastAsia="Arial" w:hAnsi="Arial"/>
          <w:sz w:val="22"/>
          <w:szCs w:val="22"/>
        </w:rPr>
        <w:t xml:space="preserve">Salary sensitivity (optional)</w:t>
      </w:r>
    </w:p>
    <w:p>
      <w:pPr>
        <w:pStyle w:val="ListParagraph"/>
        <w:numPr>
          <w:ilvl w:val="0"/>
          <w:numId w:val="2"/>
        </w:numPr>
        <w:spacing w:after="60" w:before="60"/>
      </w:pPr>
      <w:r>
        <w:rPr>
          <w:rFonts w:ascii="Arial" w:cs="Arial" w:eastAsia="Arial" w:hAnsi="Arial"/>
          <w:sz w:val="22"/>
          <w:szCs w:val="22"/>
        </w:rPr>
        <w:t xml:space="preserve">Work authorisation / visa status (optional)</w:t>
      </w:r>
    </w:p>
    <w:p>
      <w:pPr>
        <w:pStyle w:val="ListParagraph"/>
        <w:numPr>
          <w:ilvl w:val="0"/>
          <w:numId w:val="2"/>
        </w:numPr>
        <w:spacing w:after="60" w:before="60"/>
      </w:pPr>
      <w:r>
        <w:rPr>
          <w:rFonts w:ascii="Arial" w:cs="Arial" w:eastAsia="Arial" w:hAnsi="Arial"/>
          <w:sz w:val="22"/>
          <w:szCs w:val="22"/>
        </w:rPr>
        <w:t xml:space="preserve">Company size preference</w:t>
      </w:r>
    </w:p>
    <w:p>
      <w:pPr>
        <w:pStyle w:val="ListParagraph"/>
        <w:numPr>
          <w:ilvl w:val="0"/>
          <w:numId w:val="2"/>
        </w:numPr>
        <w:spacing w:after="60" w:before="60"/>
      </w:pPr>
      <w:r>
        <w:rPr>
          <w:rFonts w:ascii="Arial" w:cs="Arial" w:eastAsia="Arial" w:hAnsi="Arial"/>
          <w:sz w:val="22"/>
          <w:szCs w:val="22"/>
        </w:rPr>
        <w:t xml:space="preserve">Time-to-start</w:t>
      </w:r>
    </w:p>
    <w:p>
      <w:pPr>
        <w:spacing w:after="140" w:before="80"/>
      </w:pPr>
      <w:r>
        <w:rPr>
          <w:rFonts w:ascii="Arial" w:cs="Arial" w:eastAsia="Arial" w:hAnsi="Arial"/>
          <w:sz w:val="22"/>
          <w:szCs w:val="22"/>
        </w:rPr>
        <w:t xml:space="preserve">These answers shape immediately visible filters and seed the initial ranking before résumé parsing completes, making the first session useful even for users who do not yet trust the system with a CV.</w:t>
      </w:r>
    </w:p>
    <w:p>
      <w:pPr>
        <w:spacing w:after="60" w:before="60"/>
      </w:pPr>
    </w:p>
    <w:p>
      <w:pPr>
        <w:pStyle w:val="Heading2"/>
        <w:spacing w:after="160" w:before="280"/>
      </w:pPr>
      <w:r>
        <w:rPr>
          <w:rFonts w:ascii="Arial" w:cs="Arial" w:eastAsia="Arial" w:hAnsi="Arial"/>
          <w:b/>
          <w:bCs/>
          <w:color w:val="1E5FA8"/>
          <w:sz w:val="28"/>
          <w:szCs w:val="28"/>
        </w:rPr>
        <w:t xml:space="preserve">3.3  Landing Screen Copy</w:t>
      </w:r>
    </w:p>
    <w:p>
      <w:pPr>
        <w:pBdr>
          <w:left w:val="single" w:color="1E5FA8" w:sz="12" w:space="8"/>
        </w:pBdr>
        <w:spacing w:after="120" w:before="120"/>
        <w:ind w:left="360"/>
      </w:pPr>
      <w:r>
        <w:rPr>
          <w:rFonts w:ascii="Arial" w:cs="Arial" w:eastAsia="Arial" w:hAnsi="Arial"/>
          <w:b/>
          <w:bCs/>
          <w:color w:val="1E5FA8"/>
          <w:sz w:val="22"/>
          <w:szCs w:val="22"/>
        </w:rPr>
        <w:t xml:space="preserve">Headline: </w:t>
      </w:r>
      <w:r>
        <w:rPr>
          <w:rFonts w:ascii="Arial" w:cs="Arial" w:eastAsia="Arial" w:hAnsi="Arial"/>
          <w:sz w:val="22"/>
          <w:szCs w:val="22"/>
        </w:rPr>
        <w:t xml:space="preserve">Find opportunity on the globe.</w:t>
      </w:r>
    </w:p>
    <w:p>
      <w:pPr>
        <w:pBdr>
          <w:left w:val="single" w:color="1E5FA8" w:sz="12" w:space="8"/>
        </w:pBdr>
        <w:spacing w:after="120" w:before="120"/>
        <w:ind w:left="360"/>
      </w:pPr>
      <w:r>
        <w:rPr>
          <w:rFonts w:ascii="Arial" w:cs="Arial" w:eastAsia="Arial" w:hAnsi="Arial"/>
          <w:b/>
          <w:bCs/>
          <w:color w:val="1E5FA8"/>
          <w:sz w:val="22"/>
          <w:szCs w:val="22"/>
        </w:rPr>
        <w:t xml:space="preserve">Subheadline: </w:t>
      </w:r>
      <w:r>
        <w:rPr>
          <w:rFonts w:ascii="Arial" w:cs="Arial" w:eastAsia="Arial" w:hAnsi="Arial"/>
          <w:sz w:val="22"/>
          <w:szCs w:val="22"/>
        </w:rPr>
        <w:t xml:space="preserve">Explore hiring demand from world scale to street scale, then open verified roles in seconds.</w:t>
      </w:r>
    </w:p>
    <w:p>
      <w:pPr>
        <w:pBdr>
          <w:left w:val="single" w:color="1E5FA8" w:sz="12" w:space="8"/>
        </w:pBdr>
        <w:spacing w:after="120" w:before="120"/>
        <w:ind w:left="360"/>
      </w:pPr>
      <w:r>
        <w:rPr>
          <w:rFonts w:ascii="Arial" w:cs="Arial" w:eastAsia="Arial" w:hAnsi="Arial"/>
          <w:b/>
          <w:bCs/>
          <w:color w:val="1E5FA8"/>
          <w:sz w:val="22"/>
          <w:szCs w:val="22"/>
        </w:rPr>
        <w:t xml:space="preserve">Primary CTA: </w:t>
      </w:r>
      <w:r>
        <w:rPr>
          <w:rFonts w:ascii="Arial" w:cs="Arial" w:eastAsia="Arial" w:hAnsi="Arial"/>
          <w:sz w:val="22"/>
          <w:szCs w:val="22"/>
        </w:rPr>
        <w:t xml:space="preserve">Enter the Globe</w:t>
      </w:r>
    </w:p>
    <w:p>
      <w:pPr>
        <w:pBdr>
          <w:left w:val="single" w:color="1E5FA8" w:sz="12" w:space="8"/>
        </w:pBdr>
        <w:spacing w:after="120" w:before="120"/>
        <w:ind w:left="360"/>
      </w:pPr>
      <w:r>
        <w:rPr>
          <w:rFonts w:ascii="Arial" w:cs="Arial" w:eastAsia="Arial" w:hAnsi="Arial"/>
          <w:b/>
          <w:bCs/>
          <w:color w:val="1E5FA8"/>
          <w:sz w:val="22"/>
          <w:szCs w:val="22"/>
        </w:rPr>
        <w:t xml:space="preserve">Secondary CTA: </w:t>
      </w:r>
      <w:r>
        <w:rPr>
          <w:rFonts w:ascii="Arial" w:cs="Arial" w:eastAsia="Arial" w:hAnsi="Arial"/>
          <w:sz w:val="22"/>
          <w:szCs w:val="22"/>
        </w:rPr>
        <w:t xml:space="preserve">Personalise My Search</w:t>
      </w:r>
    </w:p>
    <w:p>
      <w:pPr>
        <w:pBdr>
          <w:left w:val="single" w:color="1E5FA8" w:sz="12" w:space="8"/>
        </w:pBdr>
        <w:spacing w:after="120" w:before="120"/>
        <w:ind w:left="360"/>
      </w:pPr>
      <w:r>
        <w:rPr>
          <w:rFonts w:ascii="Arial" w:cs="Arial" w:eastAsia="Arial" w:hAnsi="Arial"/>
          <w:b/>
          <w:bCs/>
          <w:color w:val="1E5FA8"/>
          <w:sz w:val="22"/>
          <w:szCs w:val="22"/>
        </w:rPr>
        <w:t xml:space="preserve">Tertiary CTA: </w:t>
      </w:r>
      <w:r>
        <w:rPr>
          <w:rFonts w:ascii="Arial" w:cs="Arial" w:eastAsia="Arial" w:hAnsi="Arial"/>
          <w:sz w:val="22"/>
          <w:szCs w:val="22"/>
        </w:rPr>
        <w:t xml:space="preserve">View Demo Cluster</w:t>
      </w:r>
    </w:p>
    <w:p>
      <w:pPr>
        <w:spacing w:after="60" w:before="60"/>
      </w:pPr>
    </w:p>
    <w:p>
      <w:pPr>
        <w:pStyle w:val="Heading2"/>
        <w:spacing w:after="160" w:before="280"/>
      </w:pPr>
      <w:r>
        <w:rPr>
          <w:rFonts w:ascii="Arial" w:cs="Arial" w:eastAsia="Arial" w:hAnsi="Arial"/>
          <w:b/>
          <w:bCs/>
          <w:color w:val="1E5FA8"/>
          <w:sz w:val="28"/>
          <w:szCs w:val="28"/>
        </w:rPr>
        <w:t xml:space="preserve">3.4  Right-Side Job Panel</w:t>
      </w:r>
    </w:p>
    <w:p>
      <w:pPr>
        <w:pBdr>
          <w:left w:val="single" w:color="1E5FA8" w:sz="12" w:space="8"/>
        </w:pBdr>
        <w:spacing w:after="120" w:before="120"/>
        <w:ind w:left="360"/>
      </w:pPr>
      <w:r>
        <w:rPr>
          <w:rFonts w:ascii="Arial" w:cs="Arial" w:eastAsia="Arial" w:hAnsi="Arial"/>
          <w:b/>
          <w:bCs/>
          <w:color w:val="1E5FA8"/>
          <w:sz w:val="22"/>
          <w:szCs w:val="22"/>
        </w:rPr>
        <w:t xml:space="preserve">Panel Header: </w:t>
      </w:r>
      <w:r>
        <w:rPr>
          <w:rFonts w:ascii="Arial" w:cs="Arial" w:eastAsia="Arial" w:hAnsi="Arial"/>
          <w:sz w:val="22"/>
          <w:szCs w:val="22"/>
        </w:rPr>
        <w:t xml:space="preserve">Verified Opening</w:t>
      </w:r>
    </w:p>
    <w:p>
      <w:pPr>
        <w:pBdr>
          <w:left w:val="single" w:color="1E5FA8" w:sz="12" w:space="8"/>
        </w:pBdr>
        <w:spacing w:after="120" w:before="120"/>
        <w:ind w:left="360"/>
      </w:pPr>
      <w:r>
        <w:rPr>
          <w:rFonts w:ascii="Arial" w:cs="Arial" w:eastAsia="Arial" w:hAnsi="Arial"/>
          <w:b/>
          <w:bCs/>
          <w:color w:val="1E5FA8"/>
          <w:sz w:val="22"/>
          <w:szCs w:val="22"/>
        </w:rPr>
        <w:t xml:space="preserve">Trust Line: </w:t>
      </w:r>
      <w:r>
        <w:rPr>
          <w:rFonts w:ascii="Arial" w:cs="Arial" w:eastAsia="Arial" w:hAnsi="Arial"/>
          <w:sz w:val="22"/>
          <w:szCs w:val="22"/>
        </w:rPr>
        <w:t xml:space="preserve">Redirects to the official application portal</w:t>
      </w:r>
    </w:p>
    <w:p>
      <w:pPr>
        <w:pBdr>
          <w:left w:val="single" w:color="1E5FA8" w:sz="12" w:space="8"/>
        </w:pBdr>
        <w:spacing w:after="120" w:before="120"/>
        <w:ind w:left="360"/>
      </w:pPr>
      <w:r>
        <w:rPr>
          <w:rFonts w:ascii="Arial" w:cs="Arial" w:eastAsia="Arial" w:hAnsi="Arial"/>
          <w:b/>
          <w:bCs/>
          <w:color w:val="1E5FA8"/>
          <w:sz w:val="22"/>
          <w:szCs w:val="22"/>
        </w:rPr>
        <w:t xml:space="preserve">Primary CTA: </w:t>
      </w:r>
      <w:r>
        <w:rPr>
          <w:rFonts w:ascii="Arial" w:cs="Arial" w:eastAsia="Arial" w:hAnsi="Arial"/>
          <w:sz w:val="22"/>
          <w:szCs w:val="22"/>
        </w:rPr>
        <w:t xml:space="preserve">Apply on Official Site</w:t>
      </w:r>
    </w:p>
    <w:p>
      <w:pPr>
        <w:pBdr>
          <w:left w:val="single" w:color="1E5FA8" w:sz="12" w:space="8"/>
        </w:pBdr>
        <w:spacing w:after="120" w:before="120"/>
        <w:ind w:left="360"/>
      </w:pPr>
      <w:r>
        <w:rPr>
          <w:rFonts w:ascii="Arial" w:cs="Arial" w:eastAsia="Arial" w:hAnsi="Arial"/>
          <w:b/>
          <w:bCs/>
          <w:color w:val="1E5FA8"/>
          <w:sz w:val="22"/>
          <w:szCs w:val="22"/>
        </w:rPr>
        <w:t xml:space="preserve">Secondary CTA: </w:t>
      </w:r>
      <w:r>
        <w:rPr>
          <w:rFonts w:ascii="Arial" w:cs="Arial" w:eastAsia="Arial" w:hAnsi="Arial"/>
          <w:sz w:val="22"/>
          <w:szCs w:val="22"/>
        </w:rPr>
        <w:t xml:space="preserve">Save Job</w:t>
      </w:r>
    </w:p>
    <w:p>
      <w:pPr>
        <w:pBdr>
          <w:left w:val="single" w:color="1E5FA8" w:sz="12" w:space="8"/>
        </w:pBdr>
        <w:spacing w:after="120" w:before="120"/>
        <w:ind w:left="360"/>
      </w:pPr>
      <w:r>
        <w:rPr>
          <w:rFonts w:ascii="Arial" w:cs="Arial" w:eastAsia="Arial" w:hAnsi="Arial"/>
          <w:b/>
          <w:bCs/>
          <w:color w:val="1E5FA8"/>
          <w:sz w:val="22"/>
          <w:szCs w:val="22"/>
        </w:rPr>
        <w:t xml:space="preserve">Utility CTA: </w:t>
      </w:r>
      <w:r>
        <w:rPr>
          <w:rFonts w:ascii="Arial" w:cs="Arial" w:eastAsia="Arial" w:hAnsi="Arial"/>
          <w:sz w:val="22"/>
          <w:szCs w:val="22"/>
        </w:rPr>
        <w:t xml:space="preserve">Why this matches you</w:t>
      </w:r>
    </w:p>
    <w:p>
      <w:pPr>
        <w:spacing w:after="60" w:before="60"/>
      </w:pPr>
    </w:p>
    <w:p>
      <w:pPr>
        <w:pStyle w:val="Heading2"/>
        <w:spacing w:after="160" w:before="280"/>
      </w:pPr>
      <w:r>
        <w:rPr>
          <w:rFonts w:ascii="Arial" w:cs="Arial" w:eastAsia="Arial" w:hAnsi="Arial"/>
          <w:b/>
          <w:bCs/>
          <w:color w:val="1E5FA8"/>
          <w:sz w:val="28"/>
          <w:szCs w:val="28"/>
        </w:rPr>
        <w:t xml:space="preserve">3.5  Immersive Intro &amp; Accessibility</w:t>
      </w:r>
    </w:p>
    <w:p>
      <w:pPr>
        <w:spacing w:after="140" w:before="80"/>
      </w:pPr>
      <w:r>
        <w:rPr>
          <w:rFonts w:ascii="Arial" w:cs="Arial" w:eastAsia="Arial" w:hAnsi="Arial"/>
          <w:sz w:val="22"/>
          <w:szCs w:val="22"/>
        </w:rPr>
        <w:t xml:space="preserve">The immersive audio-visual introduction must be handled carefully to respect browser policies and accessibility standards:</w:t>
      </w:r>
    </w:p>
    <w:p>
      <w:pPr>
        <w:pStyle w:val="ListParagraph"/>
        <w:numPr>
          <w:ilvl w:val="0"/>
          <w:numId w:val="2"/>
        </w:numPr>
        <w:spacing w:after="60" w:before="60"/>
      </w:pPr>
      <w:r>
        <w:rPr>
          <w:rFonts w:ascii="Arial" w:cs="Arial" w:eastAsia="Arial" w:hAnsi="Arial"/>
          <w:sz w:val="22"/>
          <w:szCs w:val="22"/>
        </w:rPr>
        <w:t xml:space="preserve">Silent visual intro by default — browsers commonly block autoplay with sound; Safari blocks many media elements by default.</w:t>
      </w:r>
    </w:p>
    <w:p>
      <w:pPr>
        <w:pStyle w:val="ListParagraph"/>
        <w:numPr>
          <w:ilvl w:val="0"/>
          <w:numId w:val="2"/>
        </w:numPr>
        <w:spacing w:after="60" w:before="60"/>
      </w:pPr>
      <w:r>
        <w:rPr>
          <w:rFonts w:ascii="Arial" w:cs="Arial" w:eastAsia="Arial" w:hAnsi="Arial"/>
          <w:sz w:val="22"/>
          <w:szCs w:val="22"/>
        </w:rPr>
        <w:t xml:space="preserve">Optional 'Immersive Mode' — 3–8 second sonic sting starts only after an explicit user gesture, with visible mute/skip controls.</w:t>
      </w:r>
    </w:p>
    <w:p>
      <w:pPr>
        <w:pStyle w:val="ListParagraph"/>
        <w:numPr>
          <w:ilvl w:val="0"/>
          <w:numId w:val="2"/>
        </w:numPr>
        <w:spacing w:after="60" w:before="60"/>
      </w:pPr>
      <w:r>
        <w:rPr>
          <w:rFonts w:ascii="Arial" w:cs="Arial" w:eastAsia="Arial" w:hAnsi="Arial"/>
          <w:sz w:val="22"/>
          <w:szCs w:val="22"/>
        </w:rPr>
        <w:t xml:space="preserve">Reduced-motion fallback — the app honours prefers-reduced-motion and opens directly into a low-motion or 2D mode.</w:t>
      </w:r>
    </w:p>
    <w:p>
      <w:pPr>
        <w:pStyle w:val="ListParagraph"/>
        <w:numPr>
          <w:ilvl w:val="0"/>
          <w:numId w:val="2"/>
        </w:numPr>
        <w:spacing w:after="60" w:before="60"/>
      </w:pPr>
      <w:r>
        <w:rPr>
          <w:rFonts w:ascii="Arial" w:cs="Arial" w:eastAsia="Arial" w:hAnsi="Arial"/>
          <w:sz w:val="22"/>
          <w:szCs w:val="22"/>
        </w:rPr>
        <w:t xml:space="preserve">Low-powered device fallback — where WebGL is unsupported, the app degrades to a 2D list-and-map mode (Leaflet).</w:t>
      </w:r>
    </w:p>
    <w:p>
      <w:pPr>
        <w:spacing w:after="60" w:before="60"/>
      </w:pPr>
    </w:p>
    <w:p>
      <w:pPr>
        <w:pStyle w:val="Heading2"/>
        <w:spacing w:after="160" w:before="280"/>
      </w:pPr>
      <w:r>
        <w:rPr>
          <w:rFonts w:ascii="Arial" w:cs="Arial" w:eastAsia="Arial" w:hAnsi="Arial"/>
          <w:b/>
          <w:bCs/>
          <w:color w:val="1E5FA8"/>
          <w:sz w:val="28"/>
          <w:szCs w:val="28"/>
        </w:rPr>
        <w:t xml:space="preserve">3.6  Quick-Prep Toolkit</w:t>
      </w:r>
    </w:p>
    <w:p>
      <w:pPr>
        <w:spacing w:after="140" w:before="80"/>
      </w:pPr>
      <w:r>
        <w:rPr>
          <w:rFonts w:ascii="Arial" w:cs="Arial" w:eastAsia="Arial" w:hAnsi="Arial"/>
          <w:sz w:val="22"/>
          <w:szCs w:val="22"/>
        </w:rPr>
        <w:t xml:space="preserve">Immediately beneath the main Apply CTA, the toolkit improves user readiness without replacing the application:</w:t>
      </w:r>
    </w:p>
    <w:p>
      <w:pPr>
        <w:pStyle w:val="ListParagraph"/>
        <w:numPr>
          <w:ilvl w:val="0"/>
          <w:numId w:val="2"/>
        </w:numPr>
        <w:spacing w:after="60" w:before="60"/>
      </w:pPr>
      <w:r>
        <w:rPr>
          <w:rFonts w:ascii="Arial" w:cs="Arial" w:eastAsia="Arial" w:hAnsi="Arial"/>
          <w:sz w:val="22"/>
          <w:szCs w:val="22"/>
        </w:rPr>
        <w:t xml:space="preserve">One-screen role summary</w:t>
      </w:r>
    </w:p>
    <w:p>
      <w:pPr>
        <w:pStyle w:val="ListParagraph"/>
        <w:numPr>
          <w:ilvl w:val="0"/>
          <w:numId w:val="2"/>
        </w:numPr>
        <w:spacing w:after="60" w:before="60"/>
      </w:pPr>
      <w:r>
        <w:rPr>
          <w:rFonts w:ascii="Arial" w:cs="Arial" w:eastAsia="Arial" w:hAnsi="Arial"/>
          <w:sz w:val="22"/>
          <w:szCs w:val="22"/>
        </w:rPr>
        <w:t xml:space="preserve">Top skills you have vs. top skills missing</w:t>
      </w:r>
    </w:p>
    <w:p>
      <w:pPr>
        <w:pStyle w:val="ListParagraph"/>
        <w:numPr>
          <w:ilvl w:val="0"/>
          <w:numId w:val="2"/>
        </w:numPr>
        <w:spacing w:after="60" w:before="60"/>
      </w:pPr>
      <w:r>
        <w:rPr>
          <w:rFonts w:ascii="Arial" w:cs="Arial" w:eastAsia="Arial" w:hAnsi="Arial"/>
          <w:sz w:val="22"/>
          <w:szCs w:val="22"/>
        </w:rPr>
        <w:t xml:space="preserve">Three likely interview questions</w:t>
      </w:r>
    </w:p>
    <w:p>
      <w:pPr>
        <w:pStyle w:val="ListParagraph"/>
        <w:numPr>
          <w:ilvl w:val="0"/>
          <w:numId w:val="2"/>
        </w:numPr>
        <w:spacing w:after="60" w:before="60"/>
      </w:pPr>
      <w:r>
        <w:rPr>
          <w:rFonts w:ascii="Arial" w:cs="Arial" w:eastAsia="Arial" w:hAnsi="Arial"/>
          <w:sz w:val="22"/>
          <w:szCs w:val="22"/>
        </w:rPr>
        <w:t xml:space="preserve">Short company brief</w:t>
      </w:r>
    </w:p>
    <w:p>
      <w:pPr>
        <w:pStyle w:val="ListParagraph"/>
        <w:numPr>
          <w:ilvl w:val="0"/>
          <w:numId w:val="2"/>
        </w:numPr>
        <w:spacing w:after="60" w:before="60"/>
      </w:pPr>
      <w:r>
        <w:rPr>
          <w:rFonts w:ascii="Arial" w:cs="Arial" w:eastAsia="Arial" w:hAnsi="Arial"/>
          <w:sz w:val="22"/>
          <w:szCs w:val="22"/>
        </w:rPr>
        <w:t xml:space="preserve">Résumé-tailoring draft</w:t>
      </w:r>
    </w:p>
    <w:p>
      <w:pPr>
        <w:pStyle w:val="ListParagraph"/>
        <w:numPr>
          <w:ilvl w:val="0"/>
          <w:numId w:val="2"/>
        </w:numPr>
        <w:spacing w:after="60" w:before="60"/>
      </w:pPr>
      <w:r>
        <w:rPr>
          <w:rFonts w:ascii="Arial" w:cs="Arial" w:eastAsia="Arial" w:hAnsi="Arial"/>
          <w:sz w:val="22"/>
          <w:szCs w:val="22"/>
        </w:rPr>
        <w:t xml:space="preserve">'Similar nearby roles' link</w:t>
      </w:r>
    </w:p>
    <w:p>
      <w:r>
        <w:br w:type="page"/>
      </w:r>
    </w:p>
    <w:p>
      <w:pPr>
        <w:pStyle w:val="Heading1"/>
        <w:pBdr>
          <w:bottom w:val="single" w:color="0D2B55" w:sz="4" w:space="6"/>
        </w:pBdr>
        <w:spacing w:after="200" w:before="360"/>
      </w:pPr>
      <w:r>
        <w:rPr>
          <w:rFonts w:ascii="Arial" w:cs="Arial" w:eastAsia="Arial" w:hAnsi="Arial"/>
          <w:b/>
          <w:bCs/>
          <w:color w:val="0D2B55"/>
          <w:sz w:val="36"/>
          <w:szCs w:val="36"/>
        </w:rPr>
        <w:t xml:space="preserve">4. Agentic Operating Model</w:t>
      </w:r>
    </w:p>
    <w:p>
      <w:pPr>
        <w:spacing w:after="140" w:before="80"/>
      </w:pPr>
      <w:r>
        <w:rPr>
          <w:rFonts w:ascii="Arial" w:cs="Arial" w:eastAsia="Arial" w:hAnsi="Arial"/>
          <w:sz w:val="22"/>
          <w:szCs w:val="22"/>
        </w:rPr>
        <w:t xml:space="preserve">The platform is designed as a multi-agent system with a shared event bus and strict handoffs — not a monolithic crawler. Each agent has a narrow responsibility, defined inputs/outputs, and observable failure signals.</w:t>
      </w:r>
    </w:p>
    <w:p>
      <w:pPr>
        <w:spacing w:after="60" w:before="60"/>
      </w:pPr>
    </w:p>
    <w:p>
      <w:pPr>
        <w:pStyle w:val="Heading2"/>
        <w:spacing w:after="160" w:before="280"/>
      </w:pPr>
      <w:r>
        <w:rPr>
          <w:rFonts w:ascii="Arial" w:cs="Arial" w:eastAsia="Arial" w:hAnsi="Arial"/>
          <w:b/>
          <w:bCs/>
          <w:color w:val="1E5FA8"/>
          <w:sz w:val="28"/>
          <w:szCs w:val="28"/>
        </w:rPr>
        <w:t xml:space="preserve">4.1  Agent Roster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AABCD0" w:sz="1"/>
              <w:left w:val="single" w:color="AABCD0" w:sz="1"/>
              <w:bottom w:val="single" w:color="AABCD0" w:sz="1"/>
              <w:right w:val="single" w:color="AABCD0" w:sz="1"/>
            </w:tcBorders>
            <w:shd w:fill="E8F0FB" w:val="clear"/>
            <w:tcMar>
              <w:top w:type="dxa" w:w="100"/>
              <w:left w:type="dxa" w:w="140"/>
              <w:bottom w:type="dxa" w:w="100"/>
              <w:right w:type="dxa" w:w="140"/>
            </w:tcMar>
            <w:vAlign w:val="center"/>
          </w:tcPr>
          <w:p>
            <w:r>
              <w:rPr>
                <w:rFonts w:ascii="Arial" w:cs="Arial" w:eastAsia="Arial" w:hAnsi="Arial"/>
                <w:b/>
                <w:bCs/>
                <w:color w:val="0D2B55"/>
                <w:sz w:val="20"/>
                <w:szCs w:val="20"/>
              </w:rPr>
              <w:t xml:space="preserve">Agent</w:t>
            </w:r>
          </w:p>
        </w:tc>
        <w:tc>
          <w:tcPr>
            <w:tcW w:type="dxa" w:w="4000"/>
            <w:tcBorders>
              <w:top w:val="single" w:color="AABCD0" w:sz="1"/>
              <w:left w:val="single" w:color="AABCD0" w:sz="1"/>
              <w:bottom w:val="single" w:color="AABCD0" w:sz="1"/>
              <w:right w:val="single" w:color="AABCD0" w:sz="1"/>
            </w:tcBorders>
            <w:shd w:fill="E8F0FB" w:val="clear"/>
            <w:tcMar>
              <w:top w:type="dxa" w:w="100"/>
              <w:left w:type="dxa" w:w="140"/>
              <w:bottom w:type="dxa" w:w="100"/>
              <w:right w:type="dxa" w:w="140"/>
            </w:tcMar>
            <w:vAlign w:val="center"/>
          </w:tcPr>
          <w:p>
            <w:r>
              <w:rPr>
                <w:rFonts w:ascii="Arial" w:cs="Arial" w:eastAsia="Arial" w:hAnsi="Arial"/>
                <w:b/>
                <w:bCs/>
                <w:color w:val="0D2B55"/>
                <w:sz w:val="20"/>
                <w:szCs w:val="20"/>
              </w:rPr>
              <w:t xml:space="preserve">Responsibility</w:t>
            </w:r>
          </w:p>
        </w:tc>
        <w:tc>
          <w:tcPr>
            <w:tcW w:type="dxa" w:w="3160"/>
            <w:tcBorders>
              <w:top w:val="single" w:color="AABCD0" w:sz="1"/>
              <w:left w:val="single" w:color="AABCD0" w:sz="1"/>
              <w:bottom w:val="single" w:color="AABCD0" w:sz="1"/>
              <w:right w:val="single" w:color="AABCD0" w:sz="1"/>
            </w:tcBorders>
            <w:shd w:fill="E8F0FB" w:val="clear"/>
            <w:tcMar>
              <w:top w:type="dxa" w:w="100"/>
              <w:left w:type="dxa" w:w="140"/>
              <w:bottom w:type="dxa" w:w="100"/>
              <w:right w:type="dxa" w:w="140"/>
            </w:tcMar>
            <w:vAlign w:val="center"/>
          </w:tcPr>
          <w:p>
            <w:r>
              <w:rPr>
                <w:rFonts w:ascii="Arial" w:cs="Arial" w:eastAsia="Arial" w:hAnsi="Arial"/>
                <w:b/>
                <w:bCs/>
                <w:color w:val="0D2B55"/>
                <w:sz w:val="20"/>
                <w:szCs w:val="20"/>
              </w:rPr>
              <w:t xml:space="preserve">Key Outputs</w:t>
            </w:r>
          </w:p>
        </w:tc>
      </w:tr>
      <w:tr>
        <w:tc>
          <w:tcPr>
            <w:tcW w:type="dxa" w:w="22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Discovery Agent</w:t>
            </w:r>
          </w:p>
        </w:tc>
        <w:tc>
          <w:tcPr>
            <w:tcW w:type="dxa" w:w="40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Pull new postings and updates from APIs, feeds, public career pages, and webhook events</w:t>
            </w:r>
          </w:p>
        </w:tc>
        <w:tc>
          <w:tcPr>
            <w:tcW w:type="dxa" w:w="316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Raw job documents</w:t>
            </w:r>
          </w:p>
        </w:tc>
      </w:tr>
      <w:tr>
        <w:tc>
          <w:tcPr>
            <w:tcW w:type="dxa" w:w="22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Verification Agent</w:t>
            </w:r>
          </w:p>
        </w:tc>
        <w:tc>
          <w:tcPr>
            <w:tcW w:type="dxa" w:w="40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Confirm job is still live, published, public, and redirect URL resolves</w:t>
            </w:r>
          </w:p>
        </w:tc>
        <w:tc>
          <w:tcPr>
            <w:tcW w:type="dxa" w:w="316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Verified/unverified state, refresh priority</w:t>
            </w:r>
          </w:p>
        </w:tc>
      </w:tr>
      <w:tr>
        <w:tc>
          <w:tcPr>
            <w:tcW w:type="dxa" w:w="22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Company Identity &amp; Logo Agent</w:t>
            </w:r>
          </w:p>
        </w:tc>
        <w:tc>
          <w:tcPr>
            <w:tcW w:type="dxa" w:w="40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Resolve company domain, normalised company record, logo or fallback monogram</w:t>
            </w:r>
          </w:p>
        </w:tc>
        <w:tc>
          <w:tcPr>
            <w:tcW w:type="dxa" w:w="316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Canonical company profile</w:t>
            </w:r>
          </w:p>
        </w:tc>
      </w:tr>
      <w:tr>
        <w:tc>
          <w:tcPr>
            <w:tcW w:type="dxa" w:w="22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Geo-Mapping Agent</w:t>
            </w:r>
          </w:p>
        </w:tc>
        <w:tc>
          <w:tcPr>
            <w:tcW w:type="dxa" w:w="40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Convert location strings into coordinates and hierarchy (country → city → district → neighbourhood)</w:t>
            </w:r>
          </w:p>
        </w:tc>
        <w:tc>
          <w:tcPr>
            <w:tcW w:type="dxa" w:w="316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Lat/lon, place hierarchy, confidence score</w:t>
            </w:r>
          </w:p>
        </w:tc>
      </w:tr>
      <w:tr>
        <w:tc>
          <w:tcPr>
            <w:tcW w:type="dxa" w:w="22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Categorisation Agent</w:t>
            </w:r>
          </w:p>
        </w:tc>
        <w:tc>
          <w:tcPr>
            <w:tcW w:type="dxa" w:w="40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Normalise function, level, employment type, remote/hybrid, skills</w:t>
            </w:r>
          </w:p>
        </w:tc>
        <w:tc>
          <w:tcPr>
            <w:tcW w:type="dxa" w:w="316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Structured taxonomy tags</w:t>
            </w:r>
          </w:p>
        </w:tc>
      </w:tr>
      <w:tr>
        <w:tc>
          <w:tcPr>
            <w:tcW w:type="dxa" w:w="22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Duplicate Detection Agent</w:t>
            </w:r>
          </w:p>
        </w:tc>
        <w:tc>
          <w:tcPr>
            <w:tcW w:type="dxa" w:w="40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Merge repeated listings across sources or time</w:t>
            </w:r>
          </w:p>
        </w:tc>
        <w:tc>
          <w:tcPr>
            <w:tcW w:type="dxa" w:w="316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Canonical job record</w:t>
            </w:r>
          </w:p>
        </w:tc>
      </w:tr>
      <w:tr>
        <w:tc>
          <w:tcPr>
            <w:tcW w:type="dxa" w:w="22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Ranking Agent</w:t>
            </w:r>
          </w:p>
        </w:tc>
        <w:tc>
          <w:tcPr>
            <w:tcW w:type="dxa" w:w="40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Compute discovery rank and personalised match score</w:t>
            </w:r>
          </w:p>
        </w:tc>
        <w:tc>
          <w:tcPr>
            <w:tcW w:type="dxa" w:w="316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Score, rank, explanation</w:t>
            </w:r>
          </w:p>
        </w:tc>
      </w:tr>
      <w:tr>
        <w:tc>
          <w:tcPr>
            <w:tcW w:type="dxa" w:w="22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User Profile Agent</w:t>
            </w:r>
          </w:p>
        </w:tc>
        <w:tc>
          <w:tcPr>
            <w:tcW w:type="dxa" w:w="40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Parse résumé, store profile, update preferences and skill graph</w:t>
            </w:r>
          </w:p>
        </w:tc>
        <w:tc>
          <w:tcPr>
            <w:tcW w:type="dxa" w:w="316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User profile object</w:t>
            </w:r>
          </w:p>
        </w:tc>
      </w:tr>
      <w:tr>
        <w:tc>
          <w:tcPr>
            <w:tcW w:type="dxa" w:w="22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Application / Auto-Apply Agent</w:t>
            </w:r>
          </w:p>
        </w:tc>
        <w:tc>
          <w:tcPr>
            <w:tcW w:type="dxa" w:w="40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Redirect-first; submit only where explicit API and user consent permit</w:t>
            </w:r>
          </w:p>
        </w:tc>
        <w:tc>
          <w:tcPr>
            <w:tcW w:type="dxa" w:w="316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Redirect or submitted application status</w:t>
            </w:r>
          </w:p>
        </w:tc>
      </w:tr>
      <w:tr>
        <w:tc>
          <w:tcPr>
            <w:tcW w:type="dxa" w:w="22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Alerting Agent</w:t>
            </w:r>
          </w:p>
        </w:tc>
        <w:tc>
          <w:tcPr>
            <w:tcW w:type="dxa" w:w="40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Send alerts for saved searches, tracked companies, or threshold events</w:t>
            </w:r>
          </w:p>
        </w:tc>
        <w:tc>
          <w:tcPr>
            <w:tcW w:type="dxa" w:w="316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Email / push / in-app alerts</w:t>
            </w:r>
          </w:p>
        </w:tc>
      </w:tr>
    </w:tbl>
    <w:p>
      <w:pPr>
        <w:spacing w:after="60" w:before="60"/>
      </w:pPr>
    </w:p>
    <w:p>
      <w:pPr>
        <w:pStyle w:val="Heading2"/>
        <w:spacing w:after="160" w:before="280"/>
      </w:pPr>
      <w:r>
        <w:rPr>
          <w:rFonts w:ascii="Arial" w:cs="Arial" w:eastAsia="Arial" w:hAnsi="Arial"/>
          <w:b/>
          <w:bCs/>
          <w:color w:val="1E5FA8"/>
          <w:sz w:val="28"/>
          <w:szCs w:val="28"/>
        </w:rPr>
        <w:t xml:space="preserve">4.2  Freshness Ladder (Cadence Policy)</w:t>
      </w:r>
    </w:p>
    <w:p>
      <w:pPr>
        <w:spacing w:after="140" w:before="80"/>
      </w:pPr>
      <w:r>
        <w:rPr>
          <w:rFonts w:ascii="Arial" w:cs="Arial" w:eastAsia="Arial" w:hAnsi="Arial"/>
          <w:sz w:val="22"/>
          <w:szCs w:val="22"/>
        </w:rPr>
        <w:t xml:space="preserve">The synchronisation model uses a freshness ladder, not a flat timer. Official webhooks take precedence because they reduce pointless polling.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AABCD0" w:sz="1"/>
              <w:left w:val="single" w:color="AABCD0" w:sz="1"/>
              <w:bottom w:val="single" w:color="AABCD0" w:sz="1"/>
              <w:right w:val="single" w:color="AABCD0" w:sz="1"/>
            </w:tcBorders>
            <w:shd w:fill="E8F0FB" w:val="clear"/>
            <w:tcMar>
              <w:top w:type="dxa" w:w="100"/>
              <w:left w:type="dxa" w:w="140"/>
              <w:bottom w:type="dxa" w:w="100"/>
              <w:right w:type="dxa" w:w="140"/>
            </w:tcMar>
            <w:vAlign w:val="center"/>
          </w:tcPr>
          <w:p>
            <w:r>
              <w:rPr>
                <w:rFonts w:ascii="Arial" w:cs="Arial" w:eastAsia="Arial" w:hAnsi="Arial"/>
                <w:b/>
                <w:bCs/>
                <w:color w:val="0D2B55"/>
                <w:sz w:val="20"/>
                <w:szCs w:val="20"/>
              </w:rPr>
              <w:t xml:space="preserve">Source Class</w:t>
            </w:r>
          </w:p>
        </w:tc>
        <w:tc>
          <w:tcPr>
            <w:tcW w:type="dxa" w:w="2800"/>
            <w:tcBorders>
              <w:top w:val="single" w:color="AABCD0" w:sz="1"/>
              <w:left w:val="single" w:color="AABCD0" w:sz="1"/>
              <w:bottom w:val="single" w:color="AABCD0" w:sz="1"/>
              <w:right w:val="single" w:color="AABCD0" w:sz="1"/>
            </w:tcBorders>
            <w:shd w:fill="E8F0FB" w:val="clear"/>
            <w:tcMar>
              <w:top w:type="dxa" w:w="100"/>
              <w:left w:type="dxa" w:w="140"/>
              <w:bottom w:type="dxa" w:w="100"/>
              <w:right w:type="dxa" w:w="140"/>
            </w:tcMar>
            <w:vAlign w:val="center"/>
          </w:tcPr>
          <w:p>
            <w:r>
              <w:rPr>
                <w:rFonts w:ascii="Arial" w:cs="Arial" w:eastAsia="Arial" w:hAnsi="Arial"/>
                <w:b/>
                <w:bCs/>
                <w:color w:val="0D2B55"/>
                <w:sz w:val="20"/>
                <w:szCs w:val="20"/>
              </w:rPr>
              <w:t xml:space="preserve">Recommended Cadence</w:t>
            </w:r>
          </w:p>
        </w:tc>
        <w:tc>
          <w:tcPr>
            <w:tcW w:type="dxa" w:w="3960"/>
            <w:tcBorders>
              <w:top w:val="single" w:color="AABCD0" w:sz="1"/>
              <w:left w:val="single" w:color="AABCD0" w:sz="1"/>
              <w:bottom w:val="single" w:color="AABCD0" w:sz="1"/>
              <w:right w:val="single" w:color="AABCD0" w:sz="1"/>
            </w:tcBorders>
            <w:shd w:fill="E8F0FB" w:val="clear"/>
            <w:tcMar>
              <w:top w:type="dxa" w:w="100"/>
              <w:left w:type="dxa" w:w="140"/>
              <w:bottom w:type="dxa" w:w="100"/>
              <w:right w:type="dxa" w:w="140"/>
            </w:tcMar>
            <w:vAlign w:val="center"/>
          </w:tcPr>
          <w:p>
            <w:r>
              <w:rPr>
                <w:rFonts w:ascii="Arial" w:cs="Arial" w:eastAsia="Arial" w:hAnsi="Arial"/>
                <w:b/>
                <w:bCs/>
                <w:color w:val="0D2B55"/>
                <w:sz w:val="20"/>
                <w:szCs w:val="20"/>
              </w:rPr>
              <w:t xml:space="preserve">Notes</w:t>
            </w:r>
          </w:p>
        </w:tc>
      </w:tr>
      <w:tr>
        <w:tc>
          <w:tcPr>
            <w:tcW w:type="dxa" w:w="26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Webhook-capable ATS (Greenhouse, Lever)</w:t>
            </w:r>
          </w:p>
        </w:tc>
        <w:tc>
          <w:tcPr>
            <w:tcW w:type="dxa" w:w="28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Event-driven + fallback poll every 5–15 min</w:t>
            </w:r>
          </w:p>
        </w:tc>
        <w:tc>
          <w:tcPr>
            <w:tcW w:type="dxa" w:w="396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Highest freshness, lowest wasted requests</w:t>
            </w:r>
          </w:p>
        </w:tc>
      </w:tr>
      <w:tr>
        <w:tc>
          <w:tcPr>
            <w:tcW w:type="dxa" w:w="26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High-value ATS without webhooks</w:t>
            </w:r>
          </w:p>
        </w:tc>
        <w:tc>
          <w:tcPr>
            <w:tcW w:type="dxa" w:w="28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1–5 min for priority; 15–30 min for general</w:t>
            </w:r>
          </w:p>
        </w:tc>
        <w:tc>
          <w:tcPr>
            <w:tcW w:type="dxa" w:w="396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Respect per-source quotas and concurrency limits</w:t>
            </w:r>
          </w:p>
        </w:tc>
      </w:tr>
      <w:tr>
        <w:tc>
          <w:tcPr>
            <w:tcW w:type="dxa" w:w="26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Partner aggregators &amp; licensed feeds</w:t>
            </w:r>
          </w:p>
        </w:tc>
        <w:tc>
          <w:tcPr>
            <w:tcW w:type="dxa" w:w="28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5–30 min depending on contract and quota</w:t>
            </w:r>
          </w:p>
        </w:tc>
        <w:tc>
          <w:tcPr>
            <w:tcW w:type="dxa" w:w="396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Good for enrichment and broader coverage</w:t>
            </w:r>
          </w:p>
        </w:tc>
      </w:tr>
      <w:tr>
        <w:tc>
          <w:tcPr>
            <w:tcW w:type="dxa" w:w="26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Public portals with slower refresh (e.g. EURES)</w:t>
            </w:r>
          </w:p>
        </w:tc>
        <w:tc>
          <w:tcPr>
            <w:tcW w:type="dxa" w:w="28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Follow source SLA — often hourly or daily</w:t>
            </w:r>
          </w:p>
        </w:tc>
        <w:tc>
          <w:tcPr>
            <w:tcW w:type="dxa" w:w="396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Avoid false 'real-time' claims</w:t>
            </w:r>
          </w:p>
        </w:tc>
      </w:tr>
      <w:tr>
        <w:tc>
          <w:tcPr>
            <w:tcW w:type="dxa" w:w="26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Geocoding / identity enrichment</w:t>
            </w:r>
          </w:p>
        </w:tc>
        <w:tc>
          <w:tcPr>
            <w:tcW w:type="dxa" w:w="28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On change only, then cache aggressively</w:t>
            </w:r>
          </w:p>
        </w:tc>
        <w:tc>
          <w:tcPr>
            <w:tcW w:type="dxa" w:w="396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Never re-geocode unchanged records at high frequency</w:t>
            </w:r>
          </w:p>
        </w:tc>
      </w:tr>
    </w:tbl>
    <w:p>
      <w:pPr>
        <w:spacing w:after="60" w:before="60"/>
      </w:pPr>
    </w:p>
    <w:p>
      <w:pPr>
        <w:pStyle w:val="Heading2"/>
        <w:spacing w:after="160" w:before="280"/>
      </w:pPr>
      <w:r>
        <w:rPr>
          <w:rFonts w:ascii="Arial" w:cs="Arial" w:eastAsia="Arial" w:hAnsi="Arial"/>
          <w:b/>
          <w:bCs/>
          <w:color w:val="1E5FA8"/>
          <w:sz w:val="28"/>
          <w:szCs w:val="28"/>
        </w:rPr>
        <w:t xml:space="preserve">4.3  Failure Modes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AABCD0" w:sz="1"/>
              <w:left w:val="single" w:color="AABCD0" w:sz="1"/>
              <w:bottom w:val="single" w:color="AABCD0" w:sz="1"/>
              <w:right w:val="single" w:color="AABCD0" w:sz="1"/>
            </w:tcBorders>
            <w:shd w:fill="E8F0FB" w:val="clear"/>
            <w:tcMar>
              <w:top w:type="dxa" w:w="100"/>
              <w:left w:type="dxa" w:w="140"/>
              <w:bottom w:type="dxa" w:w="100"/>
              <w:right w:type="dxa" w:w="140"/>
            </w:tcMar>
            <w:vAlign w:val="center"/>
          </w:tcPr>
          <w:p>
            <w:r>
              <w:rPr>
                <w:rFonts w:ascii="Arial" w:cs="Arial" w:eastAsia="Arial" w:hAnsi="Arial"/>
                <w:b/>
                <w:bCs/>
                <w:color w:val="0D2B55"/>
                <w:sz w:val="20"/>
                <w:szCs w:val="20"/>
              </w:rPr>
              <w:t xml:space="preserve">Failure Mode</w:t>
            </w:r>
          </w:p>
        </w:tc>
        <w:tc>
          <w:tcPr>
            <w:tcW w:type="dxa" w:w="2800"/>
            <w:tcBorders>
              <w:top w:val="single" w:color="AABCD0" w:sz="1"/>
              <w:left w:val="single" w:color="AABCD0" w:sz="1"/>
              <w:bottom w:val="single" w:color="AABCD0" w:sz="1"/>
              <w:right w:val="single" w:color="AABCD0" w:sz="1"/>
            </w:tcBorders>
            <w:shd w:fill="E8F0FB" w:val="clear"/>
            <w:tcMar>
              <w:top w:type="dxa" w:w="100"/>
              <w:left w:type="dxa" w:w="140"/>
              <w:bottom w:type="dxa" w:w="100"/>
              <w:right w:type="dxa" w:w="140"/>
            </w:tcMar>
            <w:vAlign w:val="center"/>
          </w:tcPr>
          <w:p>
            <w:r>
              <w:rPr>
                <w:rFonts w:ascii="Arial" w:cs="Arial" w:eastAsia="Arial" w:hAnsi="Arial"/>
                <w:b/>
                <w:bCs/>
                <w:color w:val="0D2B55"/>
                <w:sz w:val="20"/>
                <w:szCs w:val="20"/>
              </w:rPr>
              <w:t xml:space="preserve">Likely Cause</w:t>
            </w:r>
          </w:p>
        </w:tc>
        <w:tc>
          <w:tcPr>
            <w:tcW w:type="dxa" w:w="4160"/>
            <w:tcBorders>
              <w:top w:val="single" w:color="AABCD0" w:sz="1"/>
              <w:left w:val="single" w:color="AABCD0" w:sz="1"/>
              <w:bottom w:val="single" w:color="AABCD0" w:sz="1"/>
              <w:right w:val="single" w:color="AABCD0" w:sz="1"/>
            </w:tcBorders>
            <w:shd w:fill="E8F0FB" w:val="clear"/>
            <w:tcMar>
              <w:top w:type="dxa" w:w="100"/>
              <w:left w:type="dxa" w:w="140"/>
              <w:bottom w:type="dxa" w:w="100"/>
              <w:right w:type="dxa" w:w="140"/>
            </w:tcMar>
            <w:vAlign w:val="center"/>
          </w:tcPr>
          <w:p>
            <w:r>
              <w:rPr>
                <w:rFonts w:ascii="Arial" w:cs="Arial" w:eastAsia="Arial" w:hAnsi="Arial"/>
                <w:b/>
                <w:bCs/>
                <w:color w:val="0D2B55"/>
                <w:sz w:val="20"/>
                <w:szCs w:val="20"/>
              </w:rPr>
              <w:t xml:space="preserve">Mitigation</w:t>
            </w:r>
          </w:p>
        </w:tc>
      </w:tr>
      <w:tr>
        <w:tc>
          <w:tcPr>
            <w:tcW w:type="dxa" w:w="24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Stale / closed listing</w:t>
            </w:r>
          </w:p>
        </w:tc>
        <w:tc>
          <w:tcPr>
            <w:tcW w:type="dxa" w:w="28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Source lag, cached feeds, soft-deleted ATS records</w:t>
            </w:r>
          </w:p>
        </w:tc>
        <w:tc>
          <w:tcPr>
            <w:tcW w:type="dxa" w:w="416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HEAD/GET verification on priority jobs; expiration timestamps; confidence banner</w:t>
            </w:r>
          </w:p>
        </w:tc>
      </w:tr>
      <w:tr>
        <w:tc>
          <w:tcPr>
            <w:tcW w:type="dxa" w:w="24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Duplicate roles flood a city</w:t>
            </w:r>
          </w:p>
        </w:tc>
        <w:tc>
          <w:tcPr>
            <w:tcW w:type="dxa" w:w="28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Same job syndicated across feeds or reposted</w:t>
            </w:r>
          </w:p>
        </w:tc>
        <w:tc>
          <w:tcPr>
            <w:tcW w:type="dxa" w:w="416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Req-code matching, canonical URLs, embedding similarity, domain normalisation</w:t>
            </w:r>
          </w:p>
        </w:tc>
      </w:tr>
      <w:tr>
        <w:tc>
          <w:tcPr>
            <w:tcW w:type="dxa" w:w="24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Wrong location pin</w:t>
            </w:r>
          </w:p>
        </w:tc>
        <w:tc>
          <w:tcPr>
            <w:tcW w:type="dxa" w:w="28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Ambiguous location strings, remote jobs mislabelled</w:t>
            </w:r>
          </w:p>
        </w:tc>
        <w:tc>
          <w:tcPr>
            <w:tcW w:type="dxa" w:w="416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Confidence scores, geo fallback to city, manual override rules</w:t>
            </w:r>
          </w:p>
        </w:tc>
      </w:tr>
      <w:tr>
        <w:tc>
          <w:tcPr>
            <w:tcW w:type="dxa" w:w="24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Missing or incorrect logo</w:t>
            </w:r>
          </w:p>
        </w:tc>
        <w:tc>
          <w:tcPr>
            <w:tcW w:type="dxa" w:w="28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No clear brand asset, sub-brand mismatch</w:t>
            </w:r>
          </w:p>
        </w:tc>
        <w:tc>
          <w:tcPr>
            <w:tcW w:type="dxa" w:w="416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Favicon/OpenGraph fallback, monogram initials, admin correction queue</w:t>
            </w:r>
          </w:p>
        </w:tc>
      </w:tr>
      <w:tr>
        <w:tc>
          <w:tcPr>
            <w:tcW w:type="dxa" w:w="24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Rate-limit errors</w:t>
            </w:r>
          </w:p>
        </w:tc>
        <w:tc>
          <w:tcPr>
            <w:tcW w:type="dxa" w:w="28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Over-aggressive polling</w:t>
            </w:r>
          </w:p>
        </w:tc>
        <w:tc>
          <w:tcPr>
            <w:tcW w:type="dxa" w:w="416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Per-source rate buckets, jitter, exponential backoff, circuit breakers</w:t>
            </w:r>
          </w:p>
        </w:tc>
      </w:tr>
      <w:tr>
        <w:tc>
          <w:tcPr>
            <w:tcW w:type="dxa" w:w="24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Profile match looks wrong</w:t>
            </w:r>
          </w:p>
        </w:tc>
        <w:tc>
          <w:tcPr>
            <w:tcW w:type="dxa" w:w="28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Résumé parse error, outdated taxonomy</w:t>
            </w:r>
          </w:p>
        </w:tc>
        <w:tc>
          <w:tcPr>
            <w:tcW w:type="dxa" w:w="416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Explainability panel, feedback button, score recalibration, human QA set</w:t>
            </w:r>
          </w:p>
        </w:tc>
      </w:tr>
      <w:tr>
        <w:tc>
          <w:tcPr>
            <w:tcW w:type="dxa" w:w="24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Hallucinated structured fields</w:t>
            </w:r>
          </w:p>
        </w:tc>
        <w:tc>
          <w:tcPr>
            <w:tcW w:type="dxa" w:w="28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LLM over-extracts from job text</w:t>
            </w:r>
          </w:p>
        </w:tc>
        <w:tc>
          <w:tcPr>
            <w:tcW w:type="dxa" w:w="416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Schema validation, source-of-truth fields, reject low-confidence parses</w:t>
            </w:r>
          </w:p>
        </w:tc>
      </w:tr>
      <w:tr>
        <w:tc>
          <w:tcPr>
            <w:tcW w:type="dxa" w:w="24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PII leakage risk</w:t>
            </w:r>
          </w:p>
        </w:tc>
        <w:tc>
          <w:tcPr>
            <w:tcW w:type="dxa" w:w="28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Over-logging or weak access controls</w:t>
            </w:r>
          </w:p>
        </w:tc>
        <w:tc>
          <w:tcPr>
            <w:tcW w:type="dxa" w:w="416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Field-level redaction, encrypted storage, audit logs, strict RBAC</w:t>
            </w:r>
          </w:p>
        </w:tc>
      </w:tr>
    </w:tbl>
    <w:p>
      <w:pPr>
        <w:spacing w:after="60" w:before="60"/>
      </w:pPr>
    </w:p>
    <w:p>
      <w:pPr>
        <w:pStyle w:val="Heading2"/>
        <w:spacing w:after="160" w:before="280"/>
      </w:pPr>
      <w:r>
        <w:rPr>
          <w:rFonts w:ascii="Arial" w:cs="Arial" w:eastAsia="Arial" w:hAnsi="Arial"/>
          <w:b/>
          <w:bCs/>
          <w:color w:val="1E5FA8"/>
          <w:sz w:val="28"/>
          <w:szCs w:val="28"/>
        </w:rPr>
        <w:t xml:space="preserve">4.4  Design Principle</w:t>
      </w:r>
    </w:p>
    <w:p>
      <w:pPr>
        <w:pBdr>
          <w:left w:val="single" w:color="1E5FA8" w:sz="12" w:space="8"/>
        </w:pBdr>
        <w:spacing w:after="120" w:before="120"/>
        <w:ind w:left="360"/>
      </w:pPr>
      <w:r>
        <w:rPr>
          <w:rFonts w:ascii="Arial" w:cs="Arial" w:eastAsia="Arial" w:hAnsi="Arial"/>
          <w:b/>
          <w:bCs/>
          <w:color w:val="1E5FA8"/>
          <w:sz w:val="22"/>
          <w:szCs w:val="22"/>
        </w:rPr>
        <w:t xml:space="preserve">Key Rule: </w:t>
      </w:r>
      <w:r>
        <w:rPr>
          <w:rFonts w:ascii="Arial" w:cs="Arial" w:eastAsia="Arial" w:hAnsi="Arial"/>
          <w:sz w:val="22"/>
          <w:szCs w:val="22"/>
        </w:rPr>
        <w:t xml:space="preserve">Each agent emits confidence and provenance — not just data. Every structured field is traceable to a source, extraction method, and confidence score. That is the difference between 'AI magic' and an auditable intelligent system.</w:t>
      </w:r>
    </w:p>
    <w:p>
      <w:r>
        <w:br w:type="page"/>
      </w:r>
    </w:p>
    <w:p>
      <w:pPr>
        <w:pStyle w:val="Heading1"/>
        <w:pBdr>
          <w:bottom w:val="single" w:color="0D2B55" w:sz="4" w:space="6"/>
        </w:pBdr>
        <w:spacing w:after="200" w:before="360"/>
      </w:pPr>
      <w:r>
        <w:rPr>
          <w:rFonts w:ascii="Arial" w:cs="Arial" w:eastAsia="Arial" w:hAnsi="Arial"/>
          <w:b/>
          <w:bCs/>
          <w:color w:val="0D2B55"/>
          <w:sz w:val="36"/>
          <w:szCs w:val="36"/>
        </w:rPr>
        <w:t xml:space="preserve">5. Data Sources, Legal, Privacy &amp; Ethics</w:t>
      </w:r>
    </w:p>
    <w:p>
      <w:pPr>
        <w:pStyle w:val="Heading2"/>
        <w:spacing w:after="160" w:before="280"/>
      </w:pPr>
      <w:r>
        <w:rPr>
          <w:rFonts w:ascii="Arial" w:cs="Arial" w:eastAsia="Arial" w:hAnsi="Arial"/>
          <w:b/>
          <w:bCs/>
          <w:color w:val="1E5FA8"/>
          <w:sz w:val="28"/>
          <w:szCs w:val="28"/>
        </w:rPr>
        <w:t xml:space="preserve">5.1  Ingestion Strategy — API-First &amp; Feed-First</w:t>
      </w:r>
    </w:p>
    <w:p>
      <w:pPr>
        <w:spacing w:after="140" w:before="80"/>
      </w:pPr>
      <w:r>
        <w:rPr>
          <w:rFonts w:ascii="Arial" w:cs="Arial" w:eastAsia="Arial" w:hAnsi="Arial"/>
          <w:sz w:val="22"/>
          <w:szCs w:val="22"/>
        </w:rPr>
        <w:t xml:space="preserve">The ingestion strategy uses three tiers of trust:</w:t>
      </w:r>
    </w:p>
    <w:p>
      <w:pPr>
        <w:pStyle w:val="ListParagraph"/>
        <w:numPr>
          <w:ilvl w:val="0"/>
          <w:numId w:val="2"/>
        </w:numPr>
        <w:spacing w:after="60" w:before="60"/>
      </w:pPr>
      <w:r>
        <w:rPr>
          <w:rFonts w:ascii="Arial" w:cs="Arial" w:eastAsia="Arial" w:hAnsi="Arial"/>
          <w:sz w:val="22"/>
          <w:szCs w:val="22"/>
        </w:rPr>
        <w:t xml:space="preserve">Tier 1 — Official ATS &amp; public portal APIs: Greenhouse Job Board API, Lever Postings API + XML feeds, SmartRecruiters Posting API, Workable Jobs API, USAJOBS Search API, EURES vacancy database.</w:t>
      </w:r>
    </w:p>
    <w:p>
      <w:pPr>
        <w:pStyle w:val="ListParagraph"/>
        <w:numPr>
          <w:ilvl w:val="0"/>
          <w:numId w:val="2"/>
        </w:numPr>
        <w:spacing w:after="60" w:before="60"/>
      </w:pPr>
      <w:r>
        <w:rPr>
          <w:rFonts w:ascii="Arial" w:cs="Arial" w:eastAsia="Arial" w:hAnsi="Arial"/>
          <w:sz w:val="22"/>
          <w:szCs w:val="22"/>
        </w:rPr>
        <w:t xml:space="preserve">Tier 2 — Licensed aggregators &amp; labour-market enrichment: Adzuna API (search, categories, regional counts, top companies).</w:t>
      </w:r>
    </w:p>
    <w:p>
      <w:pPr>
        <w:pStyle w:val="ListParagraph"/>
        <w:numPr>
          <w:ilvl w:val="0"/>
          <w:numId w:val="2"/>
        </w:numPr>
        <w:spacing w:after="60" w:before="60"/>
      </w:pPr>
      <w:r>
        <w:rPr>
          <w:rFonts w:ascii="Arial" w:cs="Arial" w:eastAsia="Arial" w:hAnsi="Arial"/>
          <w:sz w:val="22"/>
          <w:szCs w:val="22"/>
        </w:rPr>
        <w:t xml:space="preserve">Tier 3 — Limited crawling: only where robots rules, terms of service, and counsel review permit it. RFC 9309 (Robots Exclusion Protocol) makes clear that seeing content on the public web does not create blanket permission to harvest it.</w:t>
      </w:r>
    </w:p>
    <w:p>
      <w:pPr>
        <w:spacing w:after="60" w:before="60"/>
      </w:pPr>
    </w:p>
    <w:p>
      <w:pPr>
        <w:pStyle w:val="Heading2"/>
        <w:spacing w:after="160" w:before="280"/>
      </w:pPr>
      <w:r>
        <w:rPr>
          <w:rFonts w:ascii="Arial" w:cs="Arial" w:eastAsia="Arial" w:hAnsi="Arial"/>
          <w:b/>
          <w:bCs/>
          <w:color w:val="1E5FA8"/>
          <w:sz w:val="28"/>
          <w:szCs w:val="28"/>
        </w:rPr>
        <w:t xml:space="preserve">5.2  Privacy — GDPR Principles</w:t>
      </w:r>
    </w:p>
    <w:p>
      <w:pPr>
        <w:spacing w:after="140" w:before="80"/>
      </w:pPr>
      <w:r>
        <w:rPr>
          <w:rFonts w:ascii="Arial" w:cs="Arial" w:eastAsia="Arial" w:hAnsi="Arial"/>
          <w:sz w:val="22"/>
          <w:szCs w:val="22"/>
        </w:rPr>
        <w:t xml:space="preserve">The résumé upload and personalisation layer must be treated as a first-class regulated data system. GDPR requires:</w:t>
      </w:r>
    </w:p>
    <w:p>
      <w:pPr>
        <w:pStyle w:val="ListParagraph"/>
        <w:numPr>
          <w:ilvl w:val="0"/>
          <w:numId w:val="2"/>
        </w:numPr>
        <w:spacing w:after="60" w:before="60"/>
      </w:pPr>
      <w:r>
        <w:rPr>
          <w:rFonts w:ascii="Arial" w:cs="Arial" w:eastAsia="Arial" w:hAnsi="Arial"/>
          <w:sz w:val="22"/>
          <w:szCs w:val="22"/>
        </w:rPr>
        <w:t xml:space="preserve">Lawfulness, transparency, and data minimisation at collection</w:t>
      </w:r>
    </w:p>
    <w:p>
      <w:pPr>
        <w:pStyle w:val="ListParagraph"/>
        <w:numPr>
          <w:ilvl w:val="0"/>
          <w:numId w:val="2"/>
        </w:numPr>
        <w:spacing w:after="60" w:before="60"/>
      </w:pPr>
      <w:r>
        <w:rPr>
          <w:rFonts w:ascii="Arial" w:cs="Arial" w:eastAsia="Arial" w:hAnsi="Arial"/>
          <w:sz w:val="22"/>
          <w:szCs w:val="22"/>
        </w:rPr>
        <w:t xml:space="preserve">Integrity, confidentiality, and accountability throughout</w:t>
      </w:r>
    </w:p>
    <w:p>
      <w:pPr>
        <w:pStyle w:val="ListParagraph"/>
        <w:numPr>
          <w:ilvl w:val="0"/>
          <w:numId w:val="2"/>
        </w:numPr>
        <w:spacing w:after="60" w:before="60"/>
      </w:pPr>
      <w:r>
        <w:rPr>
          <w:rFonts w:ascii="Arial" w:cs="Arial" w:eastAsia="Arial" w:hAnsi="Arial"/>
          <w:sz w:val="22"/>
          <w:szCs w:val="22"/>
        </w:rPr>
        <w:t xml:space="preserve">Data protection by design and by default</w:t>
      </w:r>
    </w:p>
    <w:p>
      <w:pPr>
        <w:pStyle w:val="ListParagraph"/>
        <w:numPr>
          <w:ilvl w:val="0"/>
          <w:numId w:val="2"/>
        </w:numPr>
        <w:spacing w:after="60" w:before="60"/>
      </w:pPr>
      <w:r>
        <w:rPr>
          <w:rFonts w:ascii="Arial" w:cs="Arial" w:eastAsia="Arial" w:hAnsi="Arial"/>
          <w:sz w:val="22"/>
          <w:szCs w:val="22"/>
        </w:rPr>
        <w:t xml:space="preserve">Lawful basis grounded in explicit consent or contract</w:t>
      </w:r>
    </w:p>
    <w:p>
      <w:pPr>
        <w:spacing w:after="140" w:before="80"/>
      </w:pPr>
      <w:r>
        <w:rPr>
          <w:rFonts w:ascii="Arial" w:cs="Arial" w:eastAsia="Arial" w:hAnsi="Arial"/>
          <w:sz w:val="22"/>
          <w:szCs w:val="22"/>
        </w:rPr>
        <w:t xml:space="preserve">Because résumés may contain special-category or sensitive information, optional fields must be truly optional, and the platform must clearly separate 'required for matching' from 'optional for better ranking.'</w:t>
      </w:r>
    </w:p>
    <w:p>
      <w:pPr>
        <w:spacing w:after="60" w:before="60"/>
      </w:pPr>
    </w:p>
    <w:p>
      <w:pPr>
        <w:pStyle w:val="Heading2"/>
        <w:spacing w:after="160" w:before="280"/>
      </w:pPr>
      <w:r>
        <w:rPr>
          <w:rFonts w:ascii="Arial" w:cs="Arial" w:eastAsia="Arial" w:hAnsi="Arial"/>
          <w:b/>
          <w:bCs/>
          <w:color w:val="1E5FA8"/>
          <w:sz w:val="28"/>
          <w:szCs w:val="28"/>
        </w:rPr>
        <w:t xml:space="preserve">5.3  Privacy — CCPA / CPRA (California)</w:t>
      </w:r>
    </w:p>
    <w:p>
      <w:pPr>
        <w:spacing w:after="140" w:before="80"/>
      </w:pPr>
      <w:r>
        <w:rPr>
          <w:rFonts w:ascii="Arial" w:cs="Arial" w:eastAsia="Arial" w:hAnsi="Arial"/>
          <w:sz w:val="22"/>
          <w:szCs w:val="22"/>
        </w:rPr>
        <w:t xml:space="preserve">For users in California, the platform must provide:</w:t>
      </w:r>
    </w:p>
    <w:p>
      <w:pPr>
        <w:pStyle w:val="ListParagraph"/>
        <w:numPr>
          <w:ilvl w:val="0"/>
          <w:numId w:val="2"/>
        </w:numPr>
        <w:spacing w:after="60" w:before="60"/>
      </w:pPr>
      <w:r>
        <w:rPr>
          <w:rFonts w:ascii="Arial" w:cs="Arial" w:eastAsia="Arial" w:hAnsi="Arial"/>
          <w:sz w:val="22"/>
          <w:szCs w:val="22"/>
        </w:rPr>
        <w:t xml:space="preserve">Notice at or before collection for résumé and profile data</w:t>
      </w:r>
    </w:p>
    <w:p>
      <w:pPr>
        <w:pStyle w:val="ListParagraph"/>
        <w:numPr>
          <w:ilvl w:val="0"/>
          <w:numId w:val="2"/>
        </w:numPr>
        <w:spacing w:after="60" w:before="60"/>
      </w:pPr>
      <w:r>
        <w:rPr>
          <w:rFonts w:ascii="Arial" w:cs="Arial" w:eastAsia="Arial" w:hAnsi="Arial"/>
          <w:sz w:val="22"/>
          <w:szCs w:val="22"/>
        </w:rPr>
        <w:t xml:space="preserve">Self-service delete and export controls</w:t>
      </w:r>
    </w:p>
    <w:p>
      <w:pPr>
        <w:pStyle w:val="ListParagraph"/>
        <w:numPr>
          <w:ilvl w:val="0"/>
          <w:numId w:val="2"/>
        </w:numPr>
        <w:spacing w:after="60" w:before="60"/>
      </w:pPr>
      <w:r>
        <w:rPr>
          <w:rFonts w:ascii="Arial" w:cs="Arial" w:eastAsia="Arial" w:hAnsi="Arial"/>
          <w:sz w:val="22"/>
          <w:szCs w:val="22"/>
        </w:rPr>
        <w:t xml:space="preserve">Profile correction capability</w:t>
      </w:r>
    </w:p>
    <w:p>
      <w:pPr>
        <w:pStyle w:val="ListParagraph"/>
        <w:numPr>
          <w:ilvl w:val="0"/>
          <w:numId w:val="2"/>
        </w:numPr>
        <w:spacing w:after="60" w:before="60"/>
      </w:pPr>
      <w:r>
        <w:rPr>
          <w:rFonts w:ascii="Arial" w:cs="Arial" w:eastAsia="Arial" w:hAnsi="Arial"/>
          <w:sz w:val="22"/>
          <w:szCs w:val="22"/>
        </w:rPr>
        <w:t xml:space="preserve">Exact data retention windows</w:t>
      </w:r>
    </w:p>
    <w:p>
      <w:pPr>
        <w:pStyle w:val="ListParagraph"/>
        <w:numPr>
          <w:ilvl w:val="0"/>
          <w:numId w:val="2"/>
        </w:numPr>
        <w:spacing w:after="60" w:before="60"/>
      </w:pPr>
      <w:r>
        <w:rPr>
          <w:rFonts w:ascii="Arial" w:cs="Arial" w:eastAsia="Arial" w:hAnsi="Arial"/>
          <w:sz w:val="22"/>
          <w:szCs w:val="22"/>
        </w:rPr>
        <w:t xml:space="preserve">Clear explanation of whether data is sold or shared — the correct answer for this product is: do not sell user résumé data.</w:t>
      </w:r>
    </w:p>
    <w:p>
      <w:pPr>
        <w:spacing w:after="60" w:before="60"/>
      </w:pPr>
    </w:p>
    <w:p>
      <w:pPr>
        <w:pStyle w:val="Heading2"/>
        <w:spacing w:after="160" w:before="280"/>
      </w:pPr>
      <w:r>
        <w:rPr>
          <w:rFonts w:ascii="Arial" w:cs="Arial" w:eastAsia="Arial" w:hAnsi="Arial"/>
          <w:b/>
          <w:bCs/>
          <w:color w:val="1E5FA8"/>
          <w:sz w:val="28"/>
          <w:szCs w:val="28"/>
        </w:rPr>
        <w:t xml:space="preserve">5.4  LLM Subprocessor Policy</w:t>
      </w:r>
    </w:p>
    <w:p>
      <w:pPr>
        <w:spacing w:after="140" w:before="80"/>
      </w:pPr>
      <w:r>
        <w:rPr>
          <w:rFonts w:ascii="Arial" w:cs="Arial" w:eastAsia="Arial" w:hAnsi="Arial"/>
          <w:sz w:val="22"/>
          <w:szCs w:val="22"/>
        </w:rPr>
        <w:t xml:space="preserve">Any LLM provider (e.g. OpenAI) used for extraction, ranking explanations, or prep tools must be treated as a data processor within the platform's compliance architecture. Practical requirements:</w:t>
      </w:r>
    </w:p>
    <w:p>
      <w:pPr>
        <w:pStyle w:val="ListParagraph"/>
        <w:numPr>
          <w:ilvl w:val="0"/>
          <w:numId w:val="2"/>
        </w:numPr>
        <w:spacing w:after="60" w:before="60"/>
      </w:pPr>
      <w:r>
        <w:rPr>
          <w:rFonts w:ascii="Arial" w:cs="Arial" w:eastAsia="Arial" w:hAnsi="Arial"/>
          <w:sz w:val="22"/>
          <w:szCs w:val="22"/>
        </w:rPr>
        <w:t xml:space="preserve">Maintain a subprocessor list and sign Data Processing Addendums (DPAs) where relevant</w:t>
      </w:r>
    </w:p>
    <w:p>
      <w:pPr>
        <w:pStyle w:val="ListParagraph"/>
        <w:numPr>
          <w:ilvl w:val="0"/>
          <w:numId w:val="2"/>
        </w:numPr>
        <w:spacing w:after="60" w:before="60"/>
      </w:pPr>
      <w:r>
        <w:rPr>
          <w:rFonts w:ascii="Arial" w:cs="Arial" w:eastAsia="Arial" w:hAnsi="Arial"/>
          <w:sz w:val="22"/>
          <w:szCs w:val="22"/>
        </w:rPr>
        <w:t xml:space="preserve">Scope prompts to required fields only</w:t>
      </w:r>
    </w:p>
    <w:p>
      <w:pPr>
        <w:pStyle w:val="ListParagraph"/>
        <w:numPr>
          <w:ilvl w:val="0"/>
          <w:numId w:val="2"/>
        </w:numPr>
        <w:spacing w:after="60" w:before="60"/>
      </w:pPr>
      <w:r>
        <w:rPr>
          <w:rFonts w:ascii="Arial" w:cs="Arial" w:eastAsia="Arial" w:hAnsi="Arial"/>
          <w:sz w:val="22"/>
          <w:szCs w:val="22"/>
        </w:rPr>
        <w:t xml:space="preserve">Do not send raw résumés to third-party models unless the user has consented and the processing purpose is clearly stated</w:t>
      </w:r>
    </w:p>
    <w:p>
      <w:pPr>
        <w:spacing w:after="60" w:before="60"/>
      </w:pPr>
    </w:p>
    <w:p>
      <w:pPr>
        <w:pStyle w:val="Heading2"/>
        <w:spacing w:after="160" w:before="280"/>
      </w:pPr>
      <w:r>
        <w:rPr>
          <w:rFonts w:ascii="Arial" w:cs="Arial" w:eastAsia="Arial" w:hAnsi="Arial"/>
          <w:b/>
          <w:bCs/>
          <w:color w:val="1E5FA8"/>
          <w:sz w:val="28"/>
          <w:szCs w:val="28"/>
        </w:rPr>
        <w:t xml:space="preserve">5.5  Ethical Design Rules</w:t>
      </w:r>
    </w:p>
    <w:p>
      <w:pPr>
        <w:pStyle w:val="ListParagraph"/>
        <w:numPr>
          <w:ilvl w:val="0"/>
          <w:numId w:val="2"/>
        </w:numPr>
        <w:spacing w:after="60" w:before="60"/>
      </w:pPr>
      <w:r>
        <w:rPr>
          <w:rFonts w:ascii="Arial" w:cs="Arial" w:eastAsia="Arial" w:hAnsi="Arial"/>
          <w:sz w:val="22"/>
          <w:szCs w:val="22"/>
        </w:rPr>
        <w:t xml:space="preserve">Assist, do not manipulate — match scores must be explainable and presented as fit heuristics, not hire-probability predictions.</w:t>
      </w:r>
    </w:p>
    <w:p>
      <w:pPr>
        <w:pStyle w:val="ListParagraph"/>
        <w:numPr>
          <w:ilvl w:val="0"/>
          <w:numId w:val="2"/>
        </w:numPr>
        <w:spacing w:after="60" w:before="60"/>
      </w:pPr>
      <w:r>
        <w:rPr>
          <w:rFonts w:ascii="Arial" w:cs="Arial" w:eastAsia="Arial" w:hAnsi="Arial"/>
          <w:sz w:val="22"/>
          <w:szCs w:val="22"/>
        </w:rPr>
        <w:t xml:space="preserve">Auto-apply must be strictly opt-in and limited to source-verified endpoints.</w:t>
      </w:r>
    </w:p>
    <w:p>
      <w:pPr>
        <w:pStyle w:val="ListParagraph"/>
        <w:numPr>
          <w:ilvl w:val="0"/>
          <w:numId w:val="2"/>
        </w:numPr>
        <w:spacing w:after="60" w:before="60"/>
      </w:pPr>
      <w:r>
        <w:rPr>
          <w:rFonts w:ascii="Arial" w:cs="Arial" w:eastAsia="Arial" w:hAnsi="Arial"/>
          <w:sz w:val="22"/>
          <w:szCs w:val="22"/>
        </w:rPr>
        <w:t xml:space="preserve">Sensitive attributes (diversity characteristics) must never be used as hidden ranking inputs.</w:t>
      </w:r>
    </w:p>
    <w:p>
      <w:pPr>
        <w:pStyle w:val="ListParagraph"/>
        <w:numPr>
          <w:ilvl w:val="0"/>
          <w:numId w:val="2"/>
        </w:numPr>
        <w:spacing w:after="60" w:before="60"/>
      </w:pPr>
      <w:r>
        <w:rPr>
          <w:rFonts w:ascii="Arial" w:cs="Arial" w:eastAsia="Arial" w:hAnsi="Arial"/>
          <w:sz w:val="22"/>
          <w:szCs w:val="22"/>
        </w:rPr>
        <w:t xml:space="preserve">The UI must never imply that '91% match' means a likely offer — it is a relevance signal.</w:t>
      </w:r>
    </w:p>
    <w:p>
      <w:r>
        <w:br w:type="page"/>
      </w:r>
    </w:p>
    <w:p>
      <w:pPr>
        <w:pStyle w:val="Heading1"/>
        <w:pBdr>
          <w:bottom w:val="single" w:color="0D2B55" w:sz="4" w:space="6"/>
        </w:pBdr>
        <w:spacing w:after="200" w:before="360"/>
      </w:pPr>
      <w:r>
        <w:rPr>
          <w:rFonts w:ascii="Arial" w:cs="Arial" w:eastAsia="Arial" w:hAnsi="Arial"/>
          <w:b/>
          <w:bCs/>
          <w:color w:val="0D2B55"/>
          <w:sz w:val="36"/>
          <w:szCs w:val="36"/>
        </w:rPr>
        <w:t xml:space="preserve">6. Technical Architecture</w:t>
      </w:r>
    </w:p>
    <w:p>
      <w:pPr>
        <w:pStyle w:val="Heading2"/>
        <w:spacing w:after="160" w:before="280"/>
      </w:pPr>
      <w:r>
        <w:rPr>
          <w:rFonts w:ascii="Arial" w:cs="Arial" w:eastAsia="Arial" w:hAnsi="Arial"/>
          <w:b/>
          <w:bCs/>
          <w:color w:val="1E5FA8"/>
          <w:sz w:val="28"/>
          <w:szCs w:val="28"/>
        </w:rPr>
        <w:t xml:space="preserve">6.1  Recommended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AABCD0" w:sz="1"/>
              <w:left w:val="single" w:color="AABCD0" w:sz="1"/>
              <w:bottom w:val="single" w:color="AABCD0" w:sz="1"/>
              <w:right w:val="single" w:color="AABCD0" w:sz="1"/>
            </w:tcBorders>
            <w:shd w:fill="E8F0FB" w:val="clear"/>
            <w:tcMar>
              <w:top w:type="dxa" w:w="100"/>
              <w:left w:type="dxa" w:w="140"/>
              <w:bottom w:type="dxa" w:w="100"/>
              <w:right w:type="dxa" w:w="140"/>
            </w:tcMar>
            <w:vAlign w:val="center"/>
          </w:tcPr>
          <w:p>
            <w:r>
              <w:rPr>
                <w:rFonts w:ascii="Arial" w:cs="Arial" w:eastAsia="Arial" w:hAnsi="Arial"/>
                <w:b/>
                <w:bCs/>
                <w:color w:val="0D2B55"/>
                <w:sz w:val="20"/>
                <w:szCs w:val="20"/>
              </w:rPr>
              <w:t xml:space="preserve">Layer</w:t>
            </w:r>
          </w:p>
        </w:tc>
        <w:tc>
          <w:tcPr>
            <w:tcW w:type="dxa" w:w="2800"/>
            <w:tcBorders>
              <w:top w:val="single" w:color="AABCD0" w:sz="1"/>
              <w:left w:val="single" w:color="AABCD0" w:sz="1"/>
              <w:bottom w:val="single" w:color="AABCD0" w:sz="1"/>
              <w:right w:val="single" w:color="AABCD0" w:sz="1"/>
            </w:tcBorders>
            <w:shd w:fill="E8F0FB" w:val="clear"/>
            <w:tcMar>
              <w:top w:type="dxa" w:w="100"/>
              <w:left w:type="dxa" w:w="140"/>
              <w:bottom w:type="dxa" w:w="100"/>
              <w:right w:type="dxa" w:w="140"/>
            </w:tcMar>
            <w:vAlign w:val="center"/>
          </w:tcPr>
          <w:p>
            <w:r>
              <w:rPr>
                <w:rFonts w:ascii="Arial" w:cs="Arial" w:eastAsia="Arial" w:hAnsi="Arial"/>
                <w:b/>
                <w:bCs/>
                <w:color w:val="0D2B55"/>
                <w:sz w:val="20"/>
                <w:szCs w:val="20"/>
              </w:rPr>
              <w:t xml:space="preserve">Technology</w:t>
            </w:r>
          </w:p>
        </w:tc>
        <w:tc>
          <w:tcPr>
            <w:tcW w:type="dxa" w:w="4360"/>
            <w:tcBorders>
              <w:top w:val="single" w:color="AABCD0" w:sz="1"/>
              <w:left w:val="single" w:color="AABCD0" w:sz="1"/>
              <w:bottom w:val="single" w:color="AABCD0" w:sz="1"/>
              <w:right w:val="single" w:color="AABCD0" w:sz="1"/>
            </w:tcBorders>
            <w:shd w:fill="E8F0FB" w:val="clear"/>
            <w:tcMar>
              <w:top w:type="dxa" w:w="100"/>
              <w:left w:type="dxa" w:w="140"/>
              <w:bottom w:type="dxa" w:w="100"/>
              <w:right w:type="dxa" w:w="140"/>
            </w:tcMar>
            <w:vAlign w:val="center"/>
          </w:tcPr>
          <w:p>
            <w:r>
              <w:rPr>
                <w:rFonts w:ascii="Arial" w:cs="Arial" w:eastAsia="Arial" w:hAnsi="Arial"/>
                <w:b/>
                <w:bCs/>
                <w:color w:val="0D2B55"/>
                <w:sz w:val="20"/>
                <w:szCs w:val="20"/>
              </w:rPr>
              <w:t xml:space="preserve">Rationale</w:t>
            </w:r>
          </w:p>
        </w:tc>
      </w:tr>
      <w:tr>
        <w:tc>
          <w:tcPr>
            <w:tcW w:type="dxa" w:w="22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Frontend — Web UI</w:t>
            </w:r>
          </w:p>
        </w:tc>
        <w:tc>
          <w:tcPr>
            <w:tcW w:type="dxa" w:w="28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Next.js App Router + React + TypeScript</w:t>
            </w:r>
          </w:p>
        </w:tc>
        <w:tc>
          <w:tcPr>
            <w:tcW w:type="dxa" w:w="436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Modern, production-grade web framework with server components</w:t>
            </w:r>
          </w:p>
        </w:tc>
      </w:tr>
      <w:tr>
        <w:tc>
          <w:tcPr>
            <w:tcW w:type="dxa" w:w="22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Frontend — 3D Globe</w:t>
            </w:r>
          </w:p>
        </w:tc>
        <w:tc>
          <w:tcPr>
            <w:tcW w:type="dxa" w:w="28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React Three Fiber + three.js + Globe.GL / react-globe.gl</w:t>
            </w:r>
          </w:p>
        </w:tc>
        <w:tc>
          <w:tcPr>
            <w:tcW w:type="dxa" w:w="436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Open-source globe layer with heatmaps, hex bins, and animated init</w:t>
            </w:r>
          </w:p>
        </w:tc>
      </w:tr>
      <w:tr>
        <w:tc>
          <w:tcPr>
            <w:tcW w:type="dxa" w:w="22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Frontend — Geospatial Overlays</w:t>
            </w:r>
          </w:p>
        </w:tc>
        <w:tc>
          <w:tcPr>
            <w:tcW w:type="dxa" w:w="28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deck.gl (HeatmapLayer, GridLayer, HexagonLayer)</w:t>
            </w:r>
          </w:p>
        </w:tc>
        <w:tc>
          <w:tcPr>
            <w:tcW w:type="dxa" w:w="436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Mature spatial layers built for large-scale distribution visualisation</w:t>
            </w:r>
          </w:p>
        </w:tc>
      </w:tr>
      <w:tr>
        <w:tc>
          <w:tcPr>
            <w:tcW w:type="dxa" w:w="22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Frontend — 2D Fallback</w:t>
            </w:r>
          </w:p>
        </w:tc>
        <w:tc>
          <w:tcPr>
            <w:tcW w:type="dxa" w:w="28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Leaflet</w:t>
            </w:r>
          </w:p>
        </w:tc>
        <w:tc>
          <w:tcPr>
            <w:tcW w:type="dxa" w:w="436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Lightweight 2D map for low-powered or reduced-motion devices</w:t>
            </w:r>
          </w:p>
        </w:tc>
      </w:tr>
      <w:tr>
        <w:tc>
          <w:tcPr>
            <w:tcW w:type="dxa" w:w="22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Backend / API</w:t>
            </w:r>
          </w:p>
        </w:tc>
        <w:tc>
          <w:tcPr>
            <w:tcW w:type="dxa" w:w="28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Node.js web tier + Python worker tier</w:t>
            </w:r>
          </w:p>
        </w:tc>
        <w:tc>
          <w:tcPr>
            <w:tcW w:type="dxa" w:w="436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Node for API/auth; Python for ML pipelines and résumé parsing</w:t>
            </w:r>
          </w:p>
        </w:tc>
      </w:tr>
      <w:tr>
        <w:tc>
          <w:tcPr>
            <w:tcW w:type="dxa" w:w="22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Database — Relational</w:t>
            </w:r>
          </w:p>
        </w:tc>
        <w:tc>
          <w:tcPr>
            <w:tcW w:type="dxa" w:w="28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PostgreSQL with jsonb + GIN indexes</w:t>
            </w:r>
          </w:p>
        </w:tc>
        <w:tc>
          <w:tcPr>
            <w:tcW w:type="dxa" w:w="436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Flexible metadata; fast filtering on structured fields</w:t>
            </w:r>
          </w:p>
        </w:tc>
      </w:tr>
      <w:tr>
        <w:tc>
          <w:tcPr>
            <w:tcW w:type="dxa" w:w="22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Database — Semantic Search</w:t>
            </w:r>
          </w:p>
        </w:tc>
        <w:tc>
          <w:tcPr>
            <w:tcW w:type="dxa" w:w="28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pgvector extension (cosine similarity, ANN)</w:t>
            </w:r>
          </w:p>
        </w:tc>
        <w:tc>
          <w:tcPr>
            <w:tcW w:type="dxa" w:w="436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Semantic matching for jobs, skills, and résumés inside Postgres</w:t>
            </w:r>
          </w:p>
        </w:tc>
      </w:tr>
      <w:tr>
        <w:tc>
          <w:tcPr>
            <w:tcW w:type="dxa" w:w="22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Queue / Cache</w:t>
            </w:r>
          </w:p>
        </w:tc>
        <w:tc>
          <w:tcPr>
            <w:tcW w:type="dxa" w:w="28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Redis Streams with consumer groups (Upstash for serverless)</w:t>
            </w:r>
          </w:p>
        </w:tc>
        <w:tc>
          <w:tcPr>
            <w:tcW w:type="dxa" w:w="436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Agent workloads, retries, and event-driven updates</w:t>
            </w:r>
          </w:p>
        </w:tc>
      </w:tr>
      <w:tr>
        <w:tc>
          <w:tcPr>
            <w:tcW w:type="dxa" w:w="22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Auth</w:t>
            </w:r>
          </w:p>
        </w:tc>
        <w:tc>
          <w:tcPr>
            <w:tcW w:type="dxa" w:w="28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Supabase Auth or similar</w:t>
            </w:r>
          </w:p>
        </w:tc>
        <w:tc>
          <w:tcPr>
            <w:tcW w:type="dxa" w:w="436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Fast integration for MVP; PostgreSQL-backed</w:t>
            </w:r>
          </w:p>
        </w:tc>
      </w:tr>
      <w:tr>
        <w:tc>
          <w:tcPr>
            <w:tcW w:type="dxa" w:w="22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AI — LLM &amp; Embeddings</w:t>
            </w:r>
          </w:p>
        </w:tc>
        <w:tc>
          <w:tcPr>
            <w:tcW w:type="dxa" w:w="28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OpenAI Responses API + Embeddings API</w:t>
            </w:r>
          </w:p>
        </w:tc>
        <w:tc>
          <w:tcPr>
            <w:tcW w:type="dxa" w:w="436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Agent orchestration, extraction, and semantic vectors</w:t>
            </w:r>
          </w:p>
        </w:tc>
      </w:tr>
      <w:tr>
        <w:tc>
          <w:tcPr>
            <w:tcW w:type="dxa" w:w="22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AI — Batch / Offline</w:t>
            </w:r>
          </w:p>
        </w:tc>
        <w:tc>
          <w:tcPr>
            <w:tcW w:type="dxa" w:w="28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OpenAI Batch API</w:t>
            </w:r>
          </w:p>
        </w:tc>
        <w:tc>
          <w:tcPr>
            <w:tcW w:type="dxa" w:w="436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Reduced cost for offline enrichment jobs</w:t>
            </w:r>
          </w:p>
        </w:tc>
      </w:tr>
      <w:tr>
        <w:tc>
          <w:tcPr>
            <w:tcW w:type="dxa" w:w="22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Geocoding</w:t>
            </w:r>
          </w:p>
        </w:tc>
        <w:tc>
          <w:tcPr>
            <w:tcW w:type="dxa" w:w="28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Mapbox Geocoding API</w:t>
            </w:r>
          </w:p>
        </w:tc>
        <w:tc>
          <w:tcPr>
            <w:tcW w:type="dxa" w:w="436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Production-grade; meaningful free tier; attribution-compliant</w:t>
            </w:r>
          </w:p>
        </w:tc>
      </w:tr>
      <w:tr>
        <w:tc>
          <w:tcPr>
            <w:tcW w:type="dxa" w:w="22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Résumé Parsing</w:t>
            </w:r>
          </w:p>
        </w:tc>
        <w:tc>
          <w:tcPr>
            <w:tcW w:type="dxa" w:w="28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PyMuPDF / PyMuPDF4LLM + Unstructured</w:t>
            </w:r>
          </w:p>
        </w:tc>
        <w:tc>
          <w:tcPr>
            <w:tcW w:type="dxa" w:w="436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Layout-aware PDF extraction; OCR only when no selectable text</w:t>
            </w:r>
          </w:p>
        </w:tc>
      </w:tr>
      <w:tr>
        <w:tc>
          <w:tcPr>
            <w:tcW w:type="dxa" w:w="22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Observability</w:t>
            </w:r>
          </w:p>
        </w:tc>
        <w:tc>
          <w:tcPr>
            <w:tcW w:type="dxa" w:w="28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OpenTelemetry + Prometheus + Alertmanager</w:t>
            </w:r>
          </w:p>
        </w:tc>
        <w:tc>
          <w:tcPr>
            <w:tcW w:type="dxa" w:w="436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Full tracing at web and worker layers</w:t>
            </w:r>
          </w:p>
        </w:tc>
      </w:tr>
      <w:tr>
        <w:tc>
          <w:tcPr>
            <w:tcW w:type="dxa" w:w="22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Hosting</w:t>
            </w:r>
          </w:p>
        </w:tc>
        <w:tc>
          <w:tcPr>
            <w:tcW w:type="dxa" w:w="28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Vercel (frontend) + cloud compute (workers)</w:t>
            </w:r>
          </w:p>
        </w:tc>
        <w:tc>
          <w:tcPr>
            <w:tcW w:type="dxa" w:w="436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Fast deployment; low Pro entry cost</w:t>
            </w:r>
          </w:p>
        </w:tc>
      </w:tr>
      <w:tr>
        <w:tc>
          <w:tcPr>
            <w:tcW w:type="dxa" w:w="22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Object Storage</w:t>
            </w:r>
          </w:p>
        </w:tc>
        <w:tc>
          <w:tcPr>
            <w:tcW w:type="dxa" w:w="28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Cloud object storage (e.g. S3-compatible)</w:t>
            </w:r>
          </w:p>
        </w:tc>
        <w:tc>
          <w:tcPr>
            <w:tcW w:type="dxa" w:w="436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Résumé file storage with encryption at rest</w:t>
            </w:r>
          </w:p>
        </w:tc>
      </w:tr>
    </w:tbl>
    <w:p>
      <w:pPr>
        <w:spacing w:after="60" w:before="60"/>
      </w:pPr>
    </w:p>
    <w:p>
      <w:pPr>
        <w:pStyle w:val="Heading2"/>
        <w:spacing w:after="160" w:before="280"/>
      </w:pPr>
      <w:r>
        <w:rPr>
          <w:rFonts w:ascii="Arial" w:cs="Arial" w:eastAsia="Arial" w:hAnsi="Arial"/>
          <w:b/>
          <w:bCs/>
          <w:color w:val="1E5FA8"/>
          <w:sz w:val="28"/>
          <w:szCs w:val="28"/>
        </w:rPr>
        <w:t xml:space="preserve">6.2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AABCD0" w:sz="1"/>
              <w:left w:val="single" w:color="AABCD0" w:sz="1"/>
              <w:bottom w:val="single" w:color="AABCD0" w:sz="1"/>
              <w:right w:val="single" w:color="AABCD0" w:sz="1"/>
            </w:tcBorders>
            <w:shd w:fill="E8F0FB" w:val="clear"/>
            <w:tcMar>
              <w:top w:type="dxa" w:w="100"/>
              <w:left w:type="dxa" w:w="140"/>
              <w:bottom w:type="dxa" w:w="100"/>
              <w:right w:type="dxa" w:w="140"/>
            </w:tcMar>
            <w:vAlign w:val="center"/>
          </w:tcPr>
          <w:p>
            <w:r>
              <w:rPr>
                <w:rFonts w:ascii="Arial" w:cs="Arial" w:eastAsia="Arial" w:hAnsi="Arial"/>
                <w:b/>
                <w:bCs/>
                <w:color w:val="0D2B55"/>
                <w:sz w:val="20"/>
                <w:szCs w:val="20"/>
              </w:rPr>
              <w:t xml:space="preserve">Table</w:t>
            </w:r>
          </w:p>
        </w:tc>
        <w:tc>
          <w:tcPr>
            <w:tcW w:type="dxa" w:w="2800"/>
            <w:tcBorders>
              <w:top w:val="single" w:color="AABCD0" w:sz="1"/>
              <w:left w:val="single" w:color="AABCD0" w:sz="1"/>
              <w:bottom w:val="single" w:color="AABCD0" w:sz="1"/>
              <w:right w:val="single" w:color="AABCD0" w:sz="1"/>
            </w:tcBorders>
            <w:shd w:fill="E8F0FB" w:val="clear"/>
            <w:tcMar>
              <w:top w:type="dxa" w:w="100"/>
              <w:left w:type="dxa" w:w="140"/>
              <w:bottom w:type="dxa" w:w="100"/>
              <w:right w:type="dxa" w:w="140"/>
            </w:tcMar>
            <w:vAlign w:val="center"/>
          </w:tcPr>
          <w:p>
            <w:r>
              <w:rPr>
                <w:rFonts w:ascii="Arial" w:cs="Arial" w:eastAsia="Arial" w:hAnsi="Arial"/>
                <w:b/>
                <w:bCs/>
                <w:color w:val="0D2B55"/>
                <w:sz w:val="20"/>
                <w:szCs w:val="20"/>
              </w:rPr>
              <w:t xml:space="preserve">Purpose</w:t>
            </w:r>
          </w:p>
        </w:tc>
        <w:tc>
          <w:tcPr>
            <w:tcW w:type="dxa" w:w="4360"/>
            <w:tcBorders>
              <w:top w:val="single" w:color="AABCD0" w:sz="1"/>
              <w:left w:val="single" w:color="AABCD0" w:sz="1"/>
              <w:bottom w:val="single" w:color="AABCD0" w:sz="1"/>
              <w:right w:val="single" w:color="AABCD0" w:sz="1"/>
            </w:tcBorders>
            <w:shd w:fill="E8F0FB" w:val="clear"/>
            <w:tcMar>
              <w:top w:type="dxa" w:w="100"/>
              <w:left w:type="dxa" w:w="140"/>
              <w:bottom w:type="dxa" w:w="100"/>
              <w:right w:type="dxa" w:w="140"/>
            </w:tcMar>
            <w:vAlign w:val="center"/>
          </w:tcPr>
          <w:p>
            <w:r>
              <w:rPr>
                <w:rFonts w:ascii="Arial" w:cs="Arial" w:eastAsia="Arial" w:hAnsi="Arial"/>
                <w:b/>
                <w:bCs/>
                <w:color w:val="0D2B55"/>
                <w:sz w:val="20"/>
                <w:szCs w:val="20"/>
              </w:rPr>
              <w:t xml:space="preserve">Key Fields</w:t>
            </w:r>
          </w:p>
        </w:tc>
      </w:tr>
      <w:tr>
        <w:tc>
          <w:tcPr>
            <w:tcW w:type="dxa" w:w="22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users</w:t>
            </w:r>
          </w:p>
        </w:tc>
        <w:tc>
          <w:tcPr>
            <w:tcW w:type="dxa" w:w="28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Identity and account</w:t>
            </w:r>
          </w:p>
        </w:tc>
        <w:tc>
          <w:tcPr>
            <w:tcW w:type="dxa" w:w="436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id, email, auth_provider, role, locale</w:t>
            </w:r>
          </w:p>
        </w:tc>
      </w:tr>
      <w:tr>
        <w:tc>
          <w:tcPr>
            <w:tcW w:type="dxa" w:w="22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profiles</w:t>
            </w:r>
          </w:p>
        </w:tc>
        <w:tc>
          <w:tcPr>
            <w:tcW w:type="dxa" w:w="28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User preference model</w:t>
            </w:r>
          </w:p>
        </w:tc>
        <w:tc>
          <w:tcPr>
            <w:tcW w:type="dxa" w:w="436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user_id, target_roles, target_locations, remote_pref, salary_pref</w:t>
            </w:r>
          </w:p>
        </w:tc>
      </w:tr>
      <w:tr>
        <w:tc>
          <w:tcPr>
            <w:tcW w:type="dxa" w:w="22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resumes</w:t>
            </w:r>
          </w:p>
        </w:tc>
        <w:tc>
          <w:tcPr>
            <w:tcW w:type="dxa" w:w="28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Uploaded file record</w:t>
            </w:r>
          </w:p>
        </w:tc>
        <w:tc>
          <w:tcPr>
            <w:tcW w:type="dxa" w:w="436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id, user_id, file_uri, parse_status, retention_until</w:t>
            </w:r>
          </w:p>
        </w:tc>
      </w:tr>
      <w:tr>
        <w:tc>
          <w:tcPr>
            <w:tcW w:type="dxa" w:w="22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resume_extractions</w:t>
            </w:r>
          </w:p>
        </w:tc>
        <w:tc>
          <w:tcPr>
            <w:tcW w:type="dxa" w:w="28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Structured user profile from résumé</w:t>
            </w:r>
          </w:p>
        </w:tc>
        <w:tc>
          <w:tcPr>
            <w:tcW w:type="dxa" w:w="436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resume_id, normalized_json, extraction_confidence</w:t>
            </w:r>
          </w:p>
        </w:tc>
      </w:tr>
      <w:tr>
        <w:tc>
          <w:tcPr>
            <w:tcW w:type="dxa" w:w="22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jobs_raw</w:t>
            </w:r>
          </w:p>
        </w:tc>
        <w:tc>
          <w:tcPr>
            <w:tcW w:type="dxa" w:w="28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Source snapshots</w:t>
            </w:r>
          </w:p>
        </w:tc>
        <w:tc>
          <w:tcPr>
            <w:tcW w:type="dxa" w:w="436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source_id, external_job_id, raw_payload, fetched_at</w:t>
            </w:r>
          </w:p>
        </w:tc>
      </w:tr>
      <w:tr>
        <w:tc>
          <w:tcPr>
            <w:tcW w:type="dxa" w:w="22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jobs</w:t>
            </w:r>
          </w:p>
        </w:tc>
        <w:tc>
          <w:tcPr>
            <w:tcW w:type="dxa" w:w="28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Canonical active job record</w:t>
            </w:r>
          </w:p>
        </w:tc>
        <w:tc>
          <w:tcPr>
            <w:tcW w:type="dxa" w:w="436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job_id, company_id, title, location_id, apply_url, status, freshness_score</w:t>
            </w:r>
          </w:p>
        </w:tc>
      </w:tr>
      <w:tr>
        <w:tc>
          <w:tcPr>
            <w:tcW w:type="dxa" w:w="22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job_versions</w:t>
            </w:r>
          </w:p>
        </w:tc>
        <w:tc>
          <w:tcPr>
            <w:tcW w:type="dxa" w:w="28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Historical change tracking</w:t>
            </w:r>
          </w:p>
        </w:tc>
        <w:tc>
          <w:tcPr>
            <w:tcW w:type="dxa" w:w="436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job_id, hash, changed_fields, valid_from, valid_to</w:t>
            </w:r>
          </w:p>
        </w:tc>
      </w:tr>
      <w:tr>
        <w:tc>
          <w:tcPr>
            <w:tcW w:type="dxa" w:w="22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companies</w:t>
            </w:r>
          </w:p>
        </w:tc>
        <w:tc>
          <w:tcPr>
            <w:tcW w:type="dxa" w:w="28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Employer identity</w:t>
            </w:r>
          </w:p>
        </w:tc>
        <w:tc>
          <w:tcPr>
            <w:tcW w:type="dxa" w:w="436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company_id, name, domain, logo_uri, trust_score</w:t>
            </w:r>
          </w:p>
        </w:tc>
      </w:tr>
      <w:tr>
        <w:tc>
          <w:tcPr>
            <w:tcW w:type="dxa" w:w="22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locations</w:t>
            </w:r>
          </w:p>
        </w:tc>
        <w:tc>
          <w:tcPr>
            <w:tcW w:type="dxa" w:w="28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Geo hierarchy</w:t>
            </w:r>
          </w:p>
        </w:tc>
        <w:tc>
          <w:tcPr>
            <w:tcW w:type="dxa" w:w="436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location_id, country, region, city, neighbourhood, lat, lon, confidence</w:t>
            </w:r>
          </w:p>
        </w:tc>
      </w:tr>
      <w:tr>
        <w:tc>
          <w:tcPr>
            <w:tcW w:type="dxa" w:w="22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job_taxonomy</w:t>
            </w:r>
          </w:p>
        </w:tc>
        <w:tc>
          <w:tcPr>
            <w:tcW w:type="dxa" w:w="28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Structured tags</w:t>
            </w:r>
          </w:p>
        </w:tc>
        <w:tc>
          <w:tcPr>
            <w:tcW w:type="dxa" w:w="436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job_id, function, seniority, employment_type, remote_type</w:t>
            </w:r>
          </w:p>
        </w:tc>
      </w:tr>
      <w:tr>
        <w:tc>
          <w:tcPr>
            <w:tcW w:type="dxa" w:w="22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embeddings_jobs</w:t>
            </w:r>
          </w:p>
        </w:tc>
        <w:tc>
          <w:tcPr>
            <w:tcW w:type="dxa" w:w="28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Job semantic vectors</w:t>
            </w:r>
          </w:p>
        </w:tc>
        <w:tc>
          <w:tcPr>
            <w:tcW w:type="dxa" w:w="436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job_id, embedding, model, updated_at</w:t>
            </w:r>
          </w:p>
        </w:tc>
      </w:tr>
      <w:tr>
        <w:tc>
          <w:tcPr>
            <w:tcW w:type="dxa" w:w="22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embeddings_profiles</w:t>
            </w:r>
          </w:p>
        </w:tc>
        <w:tc>
          <w:tcPr>
            <w:tcW w:type="dxa" w:w="28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User semantic vectors</w:t>
            </w:r>
          </w:p>
        </w:tc>
        <w:tc>
          <w:tcPr>
            <w:tcW w:type="dxa" w:w="436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user_id, embedding, model, updated_at</w:t>
            </w:r>
          </w:p>
        </w:tc>
      </w:tr>
      <w:tr>
        <w:tc>
          <w:tcPr>
            <w:tcW w:type="dxa" w:w="22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saved_jobs</w:t>
            </w:r>
          </w:p>
        </w:tc>
        <w:tc>
          <w:tcPr>
            <w:tcW w:type="dxa" w:w="28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User saves</w:t>
            </w:r>
          </w:p>
        </w:tc>
        <w:tc>
          <w:tcPr>
            <w:tcW w:type="dxa" w:w="436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user_id, job_id, saved_at</w:t>
            </w:r>
          </w:p>
        </w:tc>
      </w:tr>
      <w:tr>
        <w:tc>
          <w:tcPr>
            <w:tcW w:type="dxa" w:w="22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applications</w:t>
            </w:r>
          </w:p>
        </w:tc>
        <w:tc>
          <w:tcPr>
            <w:tcW w:type="dxa" w:w="28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Redirect and/or submit tracking</w:t>
            </w:r>
          </w:p>
        </w:tc>
        <w:tc>
          <w:tcPr>
            <w:tcW w:type="dxa" w:w="436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user_id, job_id, action_type, status, applied_at</w:t>
            </w:r>
          </w:p>
        </w:tc>
      </w:tr>
      <w:tr>
        <w:tc>
          <w:tcPr>
            <w:tcW w:type="dxa" w:w="22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alerts</w:t>
            </w:r>
          </w:p>
        </w:tc>
        <w:tc>
          <w:tcPr>
            <w:tcW w:type="dxa" w:w="28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Alert subscriptions</w:t>
            </w:r>
          </w:p>
        </w:tc>
        <w:tc>
          <w:tcPr>
            <w:tcW w:type="dxa" w:w="436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user_id, query_json, threshold_rule, channel</w:t>
            </w:r>
          </w:p>
        </w:tc>
      </w:tr>
      <w:tr>
        <w:tc>
          <w:tcPr>
            <w:tcW w:type="dxa" w:w="22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agent_runs</w:t>
            </w:r>
          </w:p>
        </w:tc>
        <w:tc>
          <w:tcPr>
            <w:tcW w:type="dxa" w:w="28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Agent observability log</w:t>
            </w:r>
          </w:p>
        </w:tc>
        <w:tc>
          <w:tcPr>
            <w:tcW w:type="dxa" w:w="436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agent_name, status, started_at, finished_at, error_blob</w:t>
            </w:r>
          </w:p>
        </w:tc>
      </w:tr>
      <w:tr>
        <w:tc>
          <w:tcPr>
            <w:tcW w:type="dxa" w:w="22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audit_events</w:t>
            </w:r>
          </w:p>
        </w:tc>
        <w:tc>
          <w:tcPr>
            <w:tcW w:type="dxa" w:w="28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Security and compliance log</w:t>
            </w:r>
          </w:p>
        </w:tc>
        <w:tc>
          <w:tcPr>
            <w:tcW w:type="dxa" w:w="436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actor_id, event_type, resource_type, resource_id, metadata</w:t>
            </w:r>
          </w:p>
        </w:tc>
      </w:tr>
    </w:tbl>
    <w:p>
      <w:r>
        <w:br w:type="page"/>
      </w:r>
    </w:p>
    <w:p>
      <w:pPr>
        <w:pStyle w:val="Heading1"/>
        <w:pBdr>
          <w:bottom w:val="single" w:color="0D2B55" w:sz="4" w:space="6"/>
        </w:pBdr>
        <w:spacing w:after="200" w:before="360"/>
      </w:pPr>
      <w:r>
        <w:rPr>
          <w:rFonts w:ascii="Arial" w:cs="Arial" w:eastAsia="Arial" w:hAnsi="Arial"/>
          <w:b/>
          <w:bCs/>
          <w:color w:val="0D2B55"/>
          <w:sz w:val="36"/>
          <w:szCs w:val="36"/>
        </w:rPr>
        <w:t xml:space="preserve">7. Résumé Parsing &amp; Match Scoring</w:t>
      </w:r>
    </w:p>
    <w:p>
      <w:pPr>
        <w:pStyle w:val="Heading2"/>
        <w:spacing w:after="160" w:before="280"/>
      </w:pPr>
      <w:r>
        <w:rPr>
          <w:rFonts w:ascii="Arial" w:cs="Arial" w:eastAsia="Arial" w:hAnsi="Arial"/>
          <w:b/>
          <w:bCs/>
          <w:color w:val="1E5FA8"/>
          <w:sz w:val="28"/>
          <w:szCs w:val="28"/>
        </w:rPr>
        <w:t xml:space="preserve">7.1  Résumé Pipeline</w:t>
      </w:r>
    </w:p>
    <w:p>
      <w:pPr>
        <w:spacing w:after="140" w:before="80"/>
      </w:pPr>
      <w:r>
        <w:rPr>
          <w:rFonts w:ascii="Arial" w:cs="Arial" w:eastAsia="Arial" w:hAnsi="Arial"/>
          <w:sz w:val="22"/>
          <w:szCs w:val="22"/>
        </w:rPr>
        <w:t xml:space="preserve">The résumé pipeline is deterministic first, model-assisted second:</w:t>
      </w:r>
    </w:p>
    <w:p>
      <w:pPr>
        <w:pStyle w:val="ListParagraph"/>
        <w:numPr>
          <w:ilvl w:val="0"/>
          <w:numId w:val="2"/>
        </w:numPr>
        <w:spacing w:after="60" w:before="60"/>
      </w:pPr>
      <w:r>
        <w:rPr>
          <w:rFonts w:ascii="Arial" w:cs="Arial" w:eastAsia="Arial" w:hAnsi="Arial"/>
          <w:sz w:val="22"/>
          <w:szCs w:val="22"/>
        </w:rPr>
        <w:t xml:space="preserve">Accept PDF, DOCX, and plaintext input formats.</w:t>
      </w:r>
    </w:p>
    <w:p>
      <w:pPr>
        <w:pStyle w:val="ListParagraph"/>
        <w:numPr>
          <w:ilvl w:val="0"/>
          <w:numId w:val="2"/>
        </w:numPr>
        <w:spacing w:after="60" w:before="60"/>
      </w:pPr>
      <w:r>
        <w:rPr>
          <w:rFonts w:ascii="Arial" w:cs="Arial" w:eastAsia="Arial" w:hAnsi="Arial"/>
          <w:sz w:val="22"/>
          <w:szCs w:val="22"/>
        </w:rPr>
        <w:t xml:space="preserve">Use PyMuPDF or Unstructured for document extraction — OCR only where no selectable text exists, reducing unnecessary cost.</w:t>
      </w:r>
    </w:p>
    <w:p>
      <w:pPr>
        <w:pStyle w:val="ListParagraph"/>
        <w:numPr>
          <w:ilvl w:val="0"/>
          <w:numId w:val="2"/>
        </w:numPr>
        <w:spacing w:after="60" w:before="60"/>
      </w:pPr>
      <w:r>
        <w:rPr>
          <w:rFonts w:ascii="Arial" w:cs="Arial" w:eastAsia="Arial" w:hAnsi="Arial"/>
          <w:sz w:val="22"/>
          <w:szCs w:val="22"/>
        </w:rPr>
        <w:t xml:space="preserve">Normalise into a stable internal résumé object based on the JSON Resume schema concept, extended for skills, visas, projects, certifications, and preferred locations.</w:t>
      </w:r>
    </w:p>
    <w:p>
      <w:pPr>
        <w:pStyle w:val="ListParagraph"/>
        <w:numPr>
          <w:ilvl w:val="0"/>
          <w:numId w:val="2"/>
        </w:numPr>
        <w:spacing w:after="60" w:before="60"/>
      </w:pPr>
      <w:r>
        <w:rPr>
          <w:rFonts w:ascii="Arial" w:cs="Arial" w:eastAsia="Arial" w:hAnsi="Arial"/>
          <w:sz w:val="22"/>
          <w:szCs w:val="22"/>
        </w:rPr>
        <w:t xml:space="preserve">Extract structured features: role titles, years of experience, explicit skills, inferred skills, education, certifications, work authorisation fields, seniority hints, and location preferences.</w:t>
      </w:r>
    </w:p>
    <w:p>
      <w:pPr>
        <w:pStyle w:val="ListParagraph"/>
        <w:numPr>
          <w:ilvl w:val="0"/>
          <w:numId w:val="2"/>
        </w:numPr>
        <w:spacing w:after="60" w:before="60"/>
      </w:pPr>
      <w:r>
        <w:rPr>
          <w:rFonts w:ascii="Arial" w:cs="Arial" w:eastAsia="Arial" w:hAnsi="Arial"/>
          <w:sz w:val="22"/>
          <w:szCs w:val="22"/>
        </w:rPr>
        <w:t xml:space="preserve">Compute embeddings for both the normalised résumé and the job corpus; store in pgvector; use cosine similarity or hybrid scoring for semantic fit.</w:t>
      </w:r>
    </w:p>
    <w:p>
      <w:pPr>
        <w:spacing w:after="60" w:before="60"/>
      </w:pPr>
    </w:p>
    <w:p>
      <w:pPr>
        <w:pStyle w:val="Heading2"/>
        <w:spacing w:after="160" w:before="280"/>
      </w:pPr>
      <w:r>
        <w:rPr>
          <w:rFonts w:ascii="Arial" w:cs="Arial" w:eastAsia="Arial" w:hAnsi="Arial"/>
          <w:b/>
          <w:bCs/>
          <w:color w:val="1E5FA8"/>
          <w:sz w:val="28"/>
          <w:szCs w:val="28"/>
        </w:rPr>
        <w:t xml:space="preserve">7.2  Match Scoring Formula</w:t>
      </w:r>
    </w:p>
    <w:p>
      <w:pPr>
        <w:spacing w:after="140" w:before="80"/>
      </w:pPr>
      <w:r>
        <w:rPr>
          <w:rFonts w:ascii="Arial" w:cs="Arial" w:eastAsia="Arial" w:hAnsi="Arial"/>
          <w:sz w:val="22"/>
          <w:szCs w:val="22"/>
        </w:rPr>
        <w:t xml:space="preserve">A first-pass scoring formula:</w:t>
      </w:r>
    </w:p>
    <w:p>
      <w:pPr>
        <w:spacing w:after="60" w:before="60"/>
      </w:pPr>
    </w:p>
    <w:p>
      <w:pPr>
        <w:pBdr>
          <w:left w:val="single" w:color="1E5FA8" w:sz="12" w:space="8"/>
        </w:pBdr>
        <w:spacing w:after="120" w:before="120"/>
        <w:ind w:left="360"/>
      </w:pPr>
      <w:r>
        <w:rPr>
          <w:rFonts w:ascii="Arial" w:cs="Arial" w:eastAsia="Arial" w:hAnsi="Arial"/>
          <w:b/>
          <w:bCs/>
          <w:color w:val="1E5FA8"/>
          <w:sz w:val="22"/>
          <w:szCs w:val="22"/>
        </w:rPr>
        <w:t xml:space="preserve">MatchScore = 100 × </w:t>
      </w:r>
      <w:r>
        <w:rPr>
          <w:rFonts w:ascii="Arial" w:cs="Arial" w:eastAsia="Arial" w:hAnsi="Arial"/>
          <w:sz w:val="22"/>
          <w:szCs w:val="22"/>
        </w:rPr>
        <w:t xml:space="preserve">( 0.35 × semantic_skill_fit ) + ( 0.20 × title_and_function_fit ) + ( 0.15 × seniority_fit ) + ( 0.10 × location_fit ) + ( 0.10 × experience_fit ) + ( 0.05 × work_mode_fit ) + ( 0.05 × preference_fit )</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6060"/>
      </w:tblGrid>
      <w:tr>
        <w:trPr>
          <w:tblHeader/>
        </w:trPr>
        <w:tc>
          <w:tcPr>
            <w:tcW w:type="dxa" w:w="2400"/>
            <w:tcBorders>
              <w:top w:val="single" w:color="AABCD0" w:sz="1"/>
              <w:left w:val="single" w:color="AABCD0" w:sz="1"/>
              <w:bottom w:val="single" w:color="AABCD0" w:sz="1"/>
              <w:right w:val="single" w:color="AABCD0" w:sz="1"/>
            </w:tcBorders>
            <w:shd w:fill="E8F0FB" w:val="clear"/>
            <w:tcMar>
              <w:top w:type="dxa" w:w="100"/>
              <w:left w:type="dxa" w:w="140"/>
              <w:bottom w:type="dxa" w:w="100"/>
              <w:right w:type="dxa" w:w="140"/>
            </w:tcMar>
            <w:vAlign w:val="center"/>
          </w:tcPr>
          <w:p>
            <w:r>
              <w:rPr>
                <w:rFonts w:ascii="Arial" w:cs="Arial" w:eastAsia="Arial" w:hAnsi="Arial"/>
                <w:b/>
                <w:bCs/>
                <w:color w:val="0D2B55"/>
                <w:sz w:val="20"/>
                <w:szCs w:val="20"/>
              </w:rPr>
              <w:t xml:space="preserve">Component</w:t>
            </w:r>
          </w:p>
        </w:tc>
        <w:tc>
          <w:tcPr>
            <w:tcW w:type="dxa" w:w="900"/>
            <w:tcBorders>
              <w:top w:val="single" w:color="AABCD0" w:sz="1"/>
              <w:left w:val="single" w:color="AABCD0" w:sz="1"/>
              <w:bottom w:val="single" w:color="AABCD0" w:sz="1"/>
              <w:right w:val="single" w:color="AABCD0" w:sz="1"/>
            </w:tcBorders>
            <w:shd w:fill="E8F0FB" w:val="clear"/>
            <w:tcMar>
              <w:top w:type="dxa" w:w="100"/>
              <w:left w:type="dxa" w:w="140"/>
              <w:bottom w:type="dxa" w:w="100"/>
              <w:right w:type="dxa" w:w="140"/>
            </w:tcMar>
            <w:vAlign w:val="center"/>
          </w:tcPr>
          <w:p>
            <w:r>
              <w:rPr>
                <w:rFonts w:ascii="Arial" w:cs="Arial" w:eastAsia="Arial" w:hAnsi="Arial"/>
                <w:b/>
                <w:bCs/>
                <w:color w:val="0D2B55"/>
                <w:sz w:val="20"/>
                <w:szCs w:val="20"/>
              </w:rPr>
              <w:t xml:space="preserve">Weight</w:t>
            </w:r>
          </w:p>
        </w:tc>
        <w:tc>
          <w:tcPr>
            <w:tcW w:type="dxa" w:w="6060"/>
            <w:tcBorders>
              <w:top w:val="single" w:color="AABCD0" w:sz="1"/>
              <w:left w:val="single" w:color="AABCD0" w:sz="1"/>
              <w:bottom w:val="single" w:color="AABCD0" w:sz="1"/>
              <w:right w:val="single" w:color="AABCD0" w:sz="1"/>
            </w:tcBorders>
            <w:shd w:fill="E8F0FB" w:val="clear"/>
            <w:tcMar>
              <w:top w:type="dxa" w:w="100"/>
              <w:left w:type="dxa" w:w="140"/>
              <w:bottom w:type="dxa" w:w="100"/>
              <w:right w:type="dxa" w:w="140"/>
            </w:tcMar>
            <w:vAlign w:val="center"/>
          </w:tcPr>
          <w:p>
            <w:r>
              <w:rPr>
                <w:rFonts w:ascii="Arial" w:cs="Arial" w:eastAsia="Arial" w:hAnsi="Arial"/>
                <w:b/>
                <w:bCs/>
                <w:color w:val="0D2B55"/>
                <w:sz w:val="20"/>
                <w:szCs w:val="20"/>
              </w:rPr>
              <w:t xml:space="preserve">Description</w:t>
            </w:r>
          </w:p>
        </w:tc>
      </w:tr>
      <w:tr>
        <w:tc>
          <w:tcPr>
            <w:tcW w:type="dxa" w:w="24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semantic_skill_fit</w:t>
            </w:r>
          </w:p>
        </w:tc>
        <w:tc>
          <w:tcPr>
            <w:tcW w:type="dxa" w:w="9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35%</w:t>
            </w:r>
          </w:p>
        </w:tc>
        <w:tc>
          <w:tcPr>
            <w:tcW w:type="dxa" w:w="606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Cosine similarity of profile/job skill embeddings; adjusted for explicit must-have skills present or absent</w:t>
            </w:r>
          </w:p>
        </w:tc>
      </w:tr>
      <w:tr>
        <w:tc>
          <w:tcPr>
            <w:tcW w:type="dxa" w:w="24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title_and_function_fit</w:t>
            </w:r>
          </w:p>
        </w:tc>
        <w:tc>
          <w:tcPr>
            <w:tcW w:type="dxa" w:w="9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20%</w:t>
            </w:r>
          </w:p>
        </w:tc>
        <w:tc>
          <w:tcPr>
            <w:tcW w:type="dxa" w:w="606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Normalised title taxonomy match plus embedding similarity across prior and target roles</w:t>
            </w:r>
          </w:p>
        </w:tc>
      </w:tr>
      <w:tr>
        <w:tc>
          <w:tcPr>
            <w:tcW w:type="dxa" w:w="24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seniority_fit</w:t>
            </w:r>
          </w:p>
        </w:tc>
        <w:tc>
          <w:tcPr>
            <w:tcW w:type="dxa" w:w="9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15%</w:t>
            </w:r>
          </w:p>
        </w:tc>
        <w:tc>
          <w:tcPr>
            <w:tcW w:type="dxa" w:w="606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Junior / mid / senior / staff alignment inferred from role history and title patterns</w:t>
            </w:r>
          </w:p>
        </w:tc>
      </w:tr>
      <w:tr>
        <w:tc>
          <w:tcPr>
            <w:tcW w:type="dxa" w:w="24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location_fit</w:t>
            </w:r>
          </w:p>
        </w:tc>
        <w:tc>
          <w:tcPr>
            <w:tcW w:type="dxa" w:w="9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10%</w:t>
            </w:r>
          </w:p>
        </w:tc>
        <w:tc>
          <w:tcPr>
            <w:tcW w:type="dxa" w:w="606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Country / city / commute / remote compatibility</w:t>
            </w:r>
          </w:p>
        </w:tc>
      </w:tr>
      <w:tr>
        <w:tc>
          <w:tcPr>
            <w:tcW w:type="dxa" w:w="24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experience_fit</w:t>
            </w:r>
          </w:p>
        </w:tc>
        <w:tc>
          <w:tcPr>
            <w:tcW w:type="dxa" w:w="9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10%</w:t>
            </w:r>
          </w:p>
        </w:tc>
        <w:tc>
          <w:tcPr>
            <w:tcW w:type="dxa" w:w="606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Years threshold and depth of directly relevant work</w:t>
            </w:r>
          </w:p>
        </w:tc>
      </w:tr>
      <w:tr>
        <w:tc>
          <w:tcPr>
            <w:tcW w:type="dxa" w:w="24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work_mode_fit</w:t>
            </w:r>
          </w:p>
        </w:tc>
        <w:tc>
          <w:tcPr>
            <w:tcW w:type="dxa" w:w="9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5%</w:t>
            </w:r>
          </w:p>
        </w:tc>
        <w:tc>
          <w:tcPr>
            <w:tcW w:type="dxa" w:w="606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Remote, hybrid, on-site compatibility</w:t>
            </w:r>
          </w:p>
        </w:tc>
      </w:tr>
      <w:tr>
        <w:tc>
          <w:tcPr>
            <w:tcW w:type="dxa" w:w="24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preference_fit</w:t>
            </w:r>
          </w:p>
        </w:tc>
        <w:tc>
          <w:tcPr>
            <w:tcW w:type="dxa" w:w="9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5%</w:t>
            </w:r>
          </w:p>
        </w:tc>
        <w:tc>
          <w:tcPr>
            <w:tcW w:type="dxa" w:w="606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Optional preferences — industry, company size, internship eligibility, compensation band</w:t>
            </w:r>
          </w:p>
        </w:tc>
      </w:tr>
    </w:tbl>
    <w:p>
      <w:pPr>
        <w:spacing w:after="60" w:before="60"/>
      </w:pPr>
    </w:p>
    <w:p>
      <w:pPr>
        <w:pStyle w:val="Heading2"/>
        <w:spacing w:after="160" w:before="280"/>
      </w:pPr>
      <w:r>
        <w:rPr>
          <w:rFonts w:ascii="Arial" w:cs="Arial" w:eastAsia="Arial" w:hAnsi="Arial"/>
          <w:b/>
          <w:bCs/>
          <w:color w:val="1E5FA8"/>
          <w:sz w:val="28"/>
          <w:szCs w:val="28"/>
        </w:rPr>
        <w:t xml:space="preserve">7.3  Score Display Principle</w:t>
      </w:r>
    </w:p>
    <w:p>
      <w:pPr>
        <w:spacing w:after="140" w:before="80"/>
      </w:pPr>
      <w:r>
        <w:rPr>
          <w:rFonts w:ascii="Arial" w:cs="Arial" w:eastAsia="Arial" w:hAnsi="Arial"/>
          <w:sz w:val="22"/>
          <w:szCs w:val="22"/>
        </w:rPr>
        <w:t xml:space="preserve">The UI must never show just one number. It must always show a breakdown:</w:t>
      </w:r>
    </w:p>
    <w:p>
      <w:pPr>
        <w:pStyle w:val="ListParagraph"/>
        <w:numPr>
          <w:ilvl w:val="0"/>
          <w:numId w:val="2"/>
        </w:numPr>
        <w:spacing w:after="60" w:before="60"/>
      </w:pPr>
      <w:r>
        <w:rPr>
          <w:rFonts w:ascii="Arial" w:cs="Arial" w:eastAsia="Arial" w:hAnsi="Arial"/>
          <w:sz w:val="22"/>
          <w:szCs w:val="22"/>
        </w:rPr>
        <w:t xml:space="preserve">Strong matches — e.g. Python, distributed systems, internships, Boston/Cambridge area</w:t>
      </w:r>
    </w:p>
    <w:p>
      <w:pPr>
        <w:pStyle w:val="ListParagraph"/>
        <w:numPr>
          <w:ilvl w:val="0"/>
          <w:numId w:val="2"/>
        </w:numPr>
        <w:spacing w:after="60" w:before="60"/>
      </w:pPr>
      <w:r>
        <w:rPr>
          <w:rFonts w:ascii="Arial" w:cs="Arial" w:eastAsia="Arial" w:hAnsi="Arial"/>
          <w:sz w:val="22"/>
          <w:szCs w:val="22"/>
        </w:rPr>
        <w:t xml:space="preserve">Partial matches — e.g. cloud platform experience, hybrid preference</w:t>
      </w:r>
    </w:p>
    <w:p>
      <w:pPr>
        <w:pStyle w:val="ListParagraph"/>
        <w:numPr>
          <w:ilvl w:val="0"/>
          <w:numId w:val="2"/>
        </w:numPr>
        <w:spacing w:after="60" w:before="60"/>
      </w:pPr>
      <w:r>
        <w:rPr>
          <w:rFonts w:ascii="Arial" w:cs="Arial" w:eastAsia="Arial" w:hAnsi="Arial"/>
          <w:sz w:val="22"/>
          <w:szCs w:val="22"/>
        </w:rPr>
        <w:t xml:space="preserve">Missing or unclear — e.g. Kubernetes, eligibility to relocate, quant background</w:t>
      </w:r>
    </w:p>
    <w:p>
      <w:pPr>
        <w:spacing w:after="140" w:before="80"/>
      </w:pPr>
      <w:r>
        <w:rPr>
          <w:rFonts w:ascii="Arial" w:cs="Arial" w:eastAsia="Arial" w:hAnsi="Arial"/>
          <w:sz w:val="22"/>
          <w:szCs w:val="22"/>
        </w:rPr>
        <w:t xml:space="preserve">The match engine should be calibrated on labelled outcomes (saved, opened, applied, dismissed) rather than left as raw similarity scores. This is the difference between a score users trust and a score users argue with.</w:t>
      </w:r>
    </w:p>
    <w:p>
      <w:r>
        <w:br w:type="page"/>
      </w:r>
    </w:p>
    <w:p>
      <w:pPr>
        <w:pStyle w:val="Heading1"/>
        <w:pBdr>
          <w:bottom w:val="single" w:color="0D2B55" w:sz="4" w:space="6"/>
        </w:pBdr>
        <w:spacing w:after="200" w:before="360"/>
      </w:pPr>
      <w:r>
        <w:rPr>
          <w:rFonts w:ascii="Arial" w:cs="Arial" w:eastAsia="Arial" w:hAnsi="Arial"/>
          <w:b/>
          <w:bCs/>
          <w:color w:val="0D2B55"/>
          <w:sz w:val="36"/>
          <w:szCs w:val="36"/>
        </w:rPr>
        <w:t xml:space="preserve">8. Delivery Plan, KPIs &amp; Economics</w:t>
      </w:r>
    </w:p>
    <w:p>
      <w:pPr>
        <w:pStyle w:val="Heading2"/>
        <w:spacing w:after="160" w:before="280"/>
      </w:pPr>
      <w:r>
        <w:rPr>
          <w:rFonts w:ascii="Arial" w:cs="Arial" w:eastAsia="Arial" w:hAnsi="Arial"/>
          <w:b/>
          <w:bCs/>
          <w:color w:val="1E5FA8"/>
          <w:sz w:val="28"/>
          <w:szCs w:val="28"/>
        </w:rPr>
        <w:t xml:space="preserve">8.1  MVP Scope</w:t>
      </w:r>
    </w:p>
    <w:p>
      <w:pPr>
        <w:spacing w:after="140" w:before="80"/>
      </w:pPr>
      <w:r>
        <w:rPr>
          <w:rFonts w:ascii="Arial" w:cs="Arial" w:eastAsia="Arial" w:hAnsi="Arial"/>
          <w:sz w:val="22"/>
          <w:szCs w:val="22"/>
        </w:rPr>
        <w:t xml:space="preserve">The MVP is deliberately narrower than the full vision:</w:t>
      </w:r>
    </w:p>
    <w:p>
      <w:pPr>
        <w:pStyle w:val="ListParagraph"/>
        <w:numPr>
          <w:ilvl w:val="0"/>
          <w:numId w:val="2"/>
        </w:numPr>
        <w:spacing w:after="60" w:before="60"/>
      </w:pPr>
      <w:r>
        <w:rPr>
          <w:rFonts w:ascii="Arial" w:cs="Arial" w:eastAsia="Arial" w:hAnsi="Arial"/>
          <w:sz w:val="22"/>
          <w:szCs w:val="22"/>
        </w:rPr>
        <w:t xml:space="preserve">Global-to-city zoomable job globe</w:t>
      </w:r>
    </w:p>
    <w:p>
      <w:pPr>
        <w:pStyle w:val="ListParagraph"/>
        <w:numPr>
          <w:ilvl w:val="0"/>
          <w:numId w:val="2"/>
        </w:numPr>
        <w:spacing w:after="60" w:before="60"/>
      </w:pPr>
      <w:r>
        <w:rPr>
          <w:rFonts w:ascii="Arial" w:cs="Arial" w:eastAsia="Arial" w:hAnsi="Arial"/>
          <w:sz w:val="22"/>
          <w:szCs w:val="22"/>
        </w:rPr>
        <w:t xml:space="preserve">Filters: category, country, city, remote mode, internship / new-grad / full-time</w:t>
      </w:r>
    </w:p>
    <w:p>
      <w:pPr>
        <w:pStyle w:val="ListParagraph"/>
        <w:numPr>
          <w:ilvl w:val="0"/>
          <w:numId w:val="2"/>
        </w:numPr>
        <w:spacing w:after="60" w:before="60"/>
      </w:pPr>
      <w:r>
        <w:rPr>
          <w:rFonts w:ascii="Arial" w:cs="Arial" w:eastAsia="Arial" w:hAnsi="Arial"/>
          <w:sz w:val="22"/>
          <w:szCs w:val="22"/>
        </w:rPr>
        <w:t xml:space="preserve">City-level company bubbles</w:t>
      </w:r>
    </w:p>
    <w:p>
      <w:pPr>
        <w:pStyle w:val="ListParagraph"/>
        <w:numPr>
          <w:ilvl w:val="0"/>
          <w:numId w:val="2"/>
        </w:numPr>
        <w:spacing w:after="60" w:before="60"/>
      </w:pPr>
      <w:r>
        <w:rPr>
          <w:rFonts w:ascii="Arial" w:cs="Arial" w:eastAsia="Arial" w:hAnsi="Arial"/>
          <w:sz w:val="22"/>
          <w:szCs w:val="22"/>
        </w:rPr>
        <w:t xml:space="preserve">Right-side job panel with redirect to official apply portals</w:t>
      </w:r>
    </w:p>
    <w:p>
      <w:pPr>
        <w:pStyle w:val="ListParagraph"/>
        <w:numPr>
          <w:ilvl w:val="0"/>
          <w:numId w:val="2"/>
        </w:numPr>
        <w:spacing w:after="60" w:before="60"/>
      </w:pPr>
      <w:r>
        <w:rPr>
          <w:rFonts w:ascii="Arial" w:cs="Arial" w:eastAsia="Arial" w:hAnsi="Arial"/>
          <w:sz w:val="22"/>
          <w:szCs w:val="22"/>
        </w:rPr>
        <w:t xml:space="preserve">User login and session management</w:t>
      </w:r>
    </w:p>
    <w:p>
      <w:pPr>
        <w:pStyle w:val="ListParagraph"/>
        <w:numPr>
          <w:ilvl w:val="0"/>
          <w:numId w:val="2"/>
        </w:numPr>
        <w:spacing w:after="60" w:before="60"/>
      </w:pPr>
      <w:r>
        <w:rPr>
          <w:rFonts w:ascii="Arial" w:cs="Arial" w:eastAsia="Arial" w:hAnsi="Arial"/>
          <w:sz w:val="22"/>
          <w:szCs w:val="22"/>
        </w:rPr>
        <w:t xml:space="preserve">2–10 onboarding questions</w:t>
      </w:r>
    </w:p>
    <w:p>
      <w:pPr>
        <w:pStyle w:val="ListParagraph"/>
        <w:numPr>
          <w:ilvl w:val="0"/>
          <w:numId w:val="2"/>
        </w:numPr>
        <w:spacing w:after="60" w:before="60"/>
      </w:pPr>
      <w:r>
        <w:rPr>
          <w:rFonts w:ascii="Arial" w:cs="Arial" w:eastAsia="Arial" w:hAnsi="Arial"/>
          <w:sz w:val="22"/>
          <w:szCs w:val="22"/>
        </w:rPr>
        <w:t xml:space="preserve">Résumé upload and parse</w:t>
      </w:r>
    </w:p>
    <w:p>
      <w:pPr>
        <w:pStyle w:val="ListParagraph"/>
        <w:numPr>
          <w:ilvl w:val="0"/>
          <w:numId w:val="2"/>
        </w:numPr>
        <w:spacing w:after="60" w:before="60"/>
      </w:pPr>
      <w:r>
        <w:rPr>
          <w:rFonts w:ascii="Arial" w:cs="Arial" w:eastAsia="Arial" w:hAnsi="Arial"/>
          <w:sz w:val="22"/>
          <w:szCs w:val="22"/>
        </w:rPr>
        <w:t xml:space="preserve">Match % with skill-gap explanation</w:t>
      </w:r>
    </w:p>
    <w:p>
      <w:pPr>
        <w:pStyle w:val="ListParagraph"/>
        <w:numPr>
          <w:ilvl w:val="0"/>
          <w:numId w:val="2"/>
        </w:numPr>
        <w:spacing w:after="60" w:before="60"/>
      </w:pPr>
      <w:r>
        <w:rPr>
          <w:rFonts w:ascii="Arial" w:cs="Arial" w:eastAsia="Arial" w:hAnsi="Arial"/>
          <w:sz w:val="22"/>
          <w:szCs w:val="22"/>
        </w:rPr>
        <w:t xml:space="preserve">Save, track, and compare jobs</w:t>
      </w:r>
    </w:p>
    <w:p>
      <w:pPr>
        <w:pStyle w:val="ListParagraph"/>
        <w:numPr>
          <w:ilvl w:val="0"/>
          <w:numId w:val="2"/>
        </w:numPr>
        <w:spacing w:after="60" w:before="60"/>
      </w:pPr>
      <w:r>
        <w:rPr>
          <w:rFonts w:ascii="Arial" w:cs="Arial" w:eastAsia="Arial" w:hAnsi="Arial"/>
          <w:sz w:val="22"/>
          <w:szCs w:val="22"/>
        </w:rPr>
        <w:t xml:space="preserve">Alerts for saved searches and tracked companies</w:t>
      </w:r>
    </w:p>
    <w:p>
      <w:pPr>
        <w:pStyle w:val="ListParagraph"/>
        <w:numPr>
          <w:ilvl w:val="0"/>
          <w:numId w:val="2"/>
        </w:numPr>
        <w:spacing w:after="60" w:before="60"/>
      </w:pPr>
      <w:r>
        <w:rPr>
          <w:rFonts w:ascii="Arial" w:cs="Arial" w:eastAsia="Arial" w:hAnsi="Arial"/>
          <w:sz w:val="22"/>
          <w:szCs w:val="22"/>
        </w:rPr>
        <w:t xml:space="preserve">Quick-prep toolkit per opened job</w:t>
      </w:r>
    </w:p>
    <w:p>
      <w:pPr>
        <w:spacing w:after="60" w:before="60"/>
      </w:pPr>
    </w:p>
    <w:p>
      <w:pPr>
        <w:spacing w:after="140" w:before="80"/>
      </w:pPr>
      <w:r>
        <w:rPr>
          <w:rFonts w:ascii="Arial" w:cs="Arial" w:eastAsia="Arial" w:hAnsi="Arial"/>
          <w:sz w:val="22"/>
          <w:szCs w:val="22"/>
        </w:rPr>
        <w:t xml:space="preserve">Phase Two (post-MVP) items:</w:t>
      </w:r>
    </w:p>
    <w:p>
      <w:pPr>
        <w:pStyle w:val="ListParagraph"/>
        <w:numPr>
          <w:ilvl w:val="0"/>
          <w:numId w:val="2"/>
        </w:numPr>
        <w:spacing w:after="60" w:before="60"/>
      </w:pPr>
      <w:r>
        <w:rPr>
          <w:rFonts w:ascii="Arial" w:cs="Arial" w:eastAsia="Arial" w:hAnsi="Arial"/>
          <w:sz w:val="22"/>
          <w:szCs w:val="22"/>
        </w:rPr>
        <w:t xml:space="preserve">Broad auto-apply</w:t>
      </w:r>
    </w:p>
    <w:p>
      <w:pPr>
        <w:pStyle w:val="ListParagraph"/>
        <w:numPr>
          <w:ilvl w:val="0"/>
          <w:numId w:val="2"/>
        </w:numPr>
        <w:spacing w:after="60" w:before="60"/>
      </w:pPr>
      <w:r>
        <w:rPr>
          <w:rFonts w:ascii="Arial" w:cs="Arial" w:eastAsia="Arial" w:hAnsi="Arial"/>
          <w:sz w:val="22"/>
          <w:szCs w:val="22"/>
        </w:rPr>
        <w:t xml:space="preserve">Enterprise recruiter dashboard</w:t>
      </w:r>
    </w:p>
    <w:p>
      <w:pPr>
        <w:pStyle w:val="ListParagraph"/>
        <w:numPr>
          <w:ilvl w:val="0"/>
          <w:numId w:val="2"/>
        </w:numPr>
        <w:spacing w:after="60" w:before="60"/>
      </w:pPr>
      <w:r>
        <w:rPr>
          <w:rFonts w:ascii="Arial" w:cs="Arial" w:eastAsia="Arial" w:hAnsi="Arial"/>
          <w:sz w:val="22"/>
          <w:szCs w:val="22"/>
        </w:rPr>
        <w:t xml:space="preserve">Sponsored placement marketplace</w:t>
      </w:r>
    </w:p>
    <w:p>
      <w:pPr>
        <w:pStyle w:val="ListParagraph"/>
        <w:numPr>
          <w:ilvl w:val="0"/>
          <w:numId w:val="2"/>
        </w:numPr>
        <w:spacing w:after="60" w:before="60"/>
      </w:pPr>
      <w:r>
        <w:rPr>
          <w:rFonts w:ascii="Arial" w:cs="Arial" w:eastAsia="Arial" w:hAnsi="Arial"/>
          <w:sz w:val="22"/>
          <w:szCs w:val="22"/>
        </w:rPr>
        <w:t xml:space="preserve">Multi-language launch beyond English</w:t>
      </w:r>
    </w:p>
    <w:p>
      <w:pPr>
        <w:pStyle w:val="ListParagraph"/>
        <w:numPr>
          <w:ilvl w:val="0"/>
          <w:numId w:val="2"/>
        </w:numPr>
        <w:spacing w:after="60" w:before="60"/>
      </w:pPr>
      <w:r>
        <w:rPr>
          <w:rFonts w:ascii="Arial" w:cs="Arial" w:eastAsia="Arial" w:hAnsi="Arial"/>
          <w:sz w:val="22"/>
          <w:szCs w:val="22"/>
        </w:rPr>
        <w:t xml:space="preserve">Full campus / white-label platforming</w:t>
      </w:r>
    </w:p>
    <w:p>
      <w:pPr>
        <w:spacing w:after="60" w:before="60"/>
      </w:pPr>
    </w:p>
    <w:p>
      <w:pPr>
        <w:pStyle w:val="Heading2"/>
        <w:spacing w:after="160" w:before="280"/>
      </w:pPr>
      <w:r>
        <w:rPr>
          <w:rFonts w:ascii="Arial" w:cs="Arial" w:eastAsia="Arial" w:hAnsi="Arial"/>
          <w:b/>
          <w:bCs/>
          <w:color w:val="1E5FA8"/>
          <w:sz w:val="28"/>
          <w:szCs w:val="28"/>
        </w:rPr>
        <w:t xml:space="preserve">8.2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5060"/>
      </w:tblGrid>
      <w:tr>
        <w:trPr>
          <w:tblHeader/>
        </w:trPr>
        <w:tc>
          <w:tcPr>
            <w:tcW w:type="dxa" w:w="1500"/>
            <w:tcBorders>
              <w:top w:val="single" w:color="AABCD0" w:sz="1"/>
              <w:left w:val="single" w:color="AABCD0" w:sz="1"/>
              <w:bottom w:val="single" w:color="AABCD0" w:sz="1"/>
              <w:right w:val="single" w:color="AABCD0" w:sz="1"/>
            </w:tcBorders>
            <w:shd w:fill="E8F0FB" w:val="clear"/>
            <w:tcMar>
              <w:top w:type="dxa" w:w="100"/>
              <w:left w:type="dxa" w:w="140"/>
              <w:bottom w:type="dxa" w:w="100"/>
              <w:right w:type="dxa" w:w="140"/>
            </w:tcMar>
            <w:vAlign w:val="center"/>
          </w:tcPr>
          <w:p>
            <w:r>
              <w:rPr>
                <w:rFonts w:ascii="Arial" w:cs="Arial" w:eastAsia="Arial" w:hAnsi="Arial"/>
                <w:b/>
                <w:bCs/>
                <w:color w:val="0D2B55"/>
                <w:sz w:val="20"/>
                <w:szCs w:val="20"/>
              </w:rPr>
              <w:t xml:space="preserve">Window</w:t>
            </w:r>
          </w:p>
        </w:tc>
        <w:tc>
          <w:tcPr>
            <w:tcW w:type="dxa" w:w="2800"/>
            <w:tcBorders>
              <w:top w:val="single" w:color="AABCD0" w:sz="1"/>
              <w:left w:val="single" w:color="AABCD0" w:sz="1"/>
              <w:bottom w:val="single" w:color="AABCD0" w:sz="1"/>
              <w:right w:val="single" w:color="AABCD0" w:sz="1"/>
            </w:tcBorders>
            <w:shd w:fill="E8F0FB" w:val="clear"/>
            <w:tcMar>
              <w:top w:type="dxa" w:w="100"/>
              <w:left w:type="dxa" w:w="140"/>
              <w:bottom w:type="dxa" w:w="100"/>
              <w:right w:type="dxa" w:w="140"/>
            </w:tcMar>
            <w:vAlign w:val="center"/>
          </w:tcPr>
          <w:p>
            <w:r>
              <w:rPr>
                <w:rFonts w:ascii="Arial" w:cs="Arial" w:eastAsia="Arial" w:hAnsi="Arial"/>
                <w:b/>
                <w:bCs/>
                <w:color w:val="0D2B55"/>
                <w:sz w:val="20"/>
                <w:szCs w:val="20"/>
              </w:rPr>
              <w:t xml:space="preserve">Deliverable</w:t>
            </w:r>
          </w:p>
        </w:tc>
        <w:tc>
          <w:tcPr>
            <w:tcW w:type="dxa" w:w="5060"/>
            <w:tcBorders>
              <w:top w:val="single" w:color="AABCD0" w:sz="1"/>
              <w:left w:val="single" w:color="AABCD0" w:sz="1"/>
              <w:bottom w:val="single" w:color="AABCD0" w:sz="1"/>
              <w:right w:val="single" w:color="AABCD0" w:sz="1"/>
            </w:tcBorders>
            <w:shd w:fill="E8F0FB" w:val="clear"/>
            <w:tcMar>
              <w:top w:type="dxa" w:w="100"/>
              <w:left w:type="dxa" w:w="140"/>
              <w:bottom w:type="dxa" w:w="100"/>
              <w:right w:type="dxa" w:w="140"/>
            </w:tcMar>
            <w:vAlign w:val="center"/>
          </w:tcPr>
          <w:p>
            <w:r>
              <w:rPr>
                <w:rFonts w:ascii="Arial" w:cs="Arial" w:eastAsia="Arial" w:hAnsi="Arial"/>
                <w:b/>
                <w:bCs/>
                <w:color w:val="0D2B55"/>
                <w:sz w:val="20"/>
                <w:szCs w:val="20"/>
              </w:rPr>
              <w:t xml:space="preserve">Key Output</w:t>
            </w:r>
          </w:p>
        </w:tc>
      </w:tr>
      <w:tr>
        <w:tc>
          <w:tcPr>
            <w:tcW w:type="dxa" w:w="15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21 days</w:t>
            </w:r>
          </w:p>
        </w:tc>
        <w:tc>
          <w:tcPr>
            <w:tcW w:type="dxa" w:w="28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Demo-grade prototype</w:t>
            </w:r>
          </w:p>
        </w:tc>
        <w:tc>
          <w:tcPr>
            <w:tcW w:type="dxa" w:w="506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Landing, globe, synthetic/demo data, zoom transitions, job panel, mute/skip, basic onboarding</w:t>
            </w:r>
          </w:p>
        </w:tc>
      </w:tr>
      <w:tr>
        <w:tc>
          <w:tcPr>
            <w:tcW w:type="dxa" w:w="15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30 days</w:t>
            </w:r>
          </w:p>
        </w:tc>
        <w:tc>
          <w:tcPr>
            <w:tcW w:type="dxa" w:w="28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Functional pilot</w:t>
            </w:r>
          </w:p>
        </w:tc>
        <w:tc>
          <w:tcPr>
            <w:tcW w:type="dxa" w:w="506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Real source connectors, auth, résumé upload, explainable matching, save/track</w:t>
            </w:r>
          </w:p>
        </w:tc>
      </w:tr>
      <w:tr>
        <w:tc>
          <w:tcPr>
            <w:tcW w:type="dxa" w:w="15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90 days</w:t>
            </w:r>
          </w:p>
        </w:tc>
        <w:tc>
          <w:tcPr>
            <w:tcW w:type="dxa" w:w="28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Closed beta</w:t>
            </w:r>
          </w:p>
        </w:tc>
        <w:tc>
          <w:tcPr>
            <w:tcW w:type="dxa" w:w="506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Source orchestration, alerting, verification, observability, privacy controls, mobile fallback, campus preset</w:t>
            </w:r>
          </w:p>
        </w:tc>
      </w:tr>
    </w:tbl>
    <w:p>
      <w:pPr>
        <w:spacing w:after="60" w:before="60"/>
      </w:pPr>
    </w:p>
    <w:p>
      <w:pPr>
        <w:pStyle w:val="Heading2"/>
        <w:spacing w:after="160" w:before="280"/>
      </w:pPr>
      <w:r>
        <w:rPr>
          <w:rFonts w:ascii="Arial" w:cs="Arial" w:eastAsia="Arial" w:hAnsi="Arial"/>
          <w:b/>
          <w:bCs/>
          <w:color w:val="1E5FA8"/>
          <w:sz w:val="28"/>
          <w:szCs w:val="28"/>
        </w:rPr>
        <w:t xml:space="preserve">8.3  Team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760"/>
        <w:gridCol w:w="3480"/>
      </w:tblGrid>
      <w:tr>
        <w:trPr>
          <w:tblHeader/>
        </w:trPr>
        <w:tc>
          <w:tcPr>
            <w:tcW w:type="dxa" w:w="3120"/>
            <w:tcBorders>
              <w:top w:val="single" w:color="AABCD0" w:sz="1"/>
              <w:left w:val="single" w:color="AABCD0" w:sz="1"/>
              <w:bottom w:val="single" w:color="AABCD0" w:sz="1"/>
              <w:right w:val="single" w:color="AABCD0" w:sz="1"/>
            </w:tcBorders>
            <w:shd w:fill="E8F0FB" w:val="clear"/>
            <w:tcMar>
              <w:top w:type="dxa" w:w="100"/>
              <w:left w:type="dxa" w:w="140"/>
              <w:bottom w:type="dxa" w:w="100"/>
              <w:right w:type="dxa" w:w="140"/>
            </w:tcMar>
            <w:vAlign w:val="center"/>
          </w:tcPr>
          <w:p>
            <w:r>
              <w:rPr>
                <w:rFonts w:ascii="Arial" w:cs="Arial" w:eastAsia="Arial" w:hAnsi="Arial"/>
                <w:b/>
                <w:bCs/>
                <w:color w:val="0D2B55"/>
                <w:sz w:val="20"/>
                <w:szCs w:val="20"/>
              </w:rPr>
              <w:t xml:space="preserve">Role</w:t>
            </w:r>
          </w:p>
        </w:tc>
        <w:tc>
          <w:tcPr>
            <w:tcW w:type="dxa" w:w="2760"/>
            <w:tcBorders>
              <w:top w:val="single" w:color="AABCD0" w:sz="1"/>
              <w:left w:val="single" w:color="AABCD0" w:sz="1"/>
              <w:bottom w:val="single" w:color="AABCD0" w:sz="1"/>
              <w:right w:val="single" w:color="AABCD0" w:sz="1"/>
            </w:tcBorders>
            <w:shd w:fill="E8F0FB" w:val="clear"/>
            <w:tcMar>
              <w:top w:type="dxa" w:w="100"/>
              <w:left w:type="dxa" w:w="140"/>
              <w:bottom w:type="dxa" w:w="100"/>
              <w:right w:type="dxa" w:w="140"/>
            </w:tcMar>
            <w:vAlign w:val="center"/>
          </w:tcPr>
          <w:p>
            <w:r>
              <w:rPr>
                <w:rFonts w:ascii="Arial" w:cs="Arial" w:eastAsia="Arial" w:hAnsi="Arial"/>
                <w:b/>
                <w:bCs/>
                <w:color w:val="0D2B55"/>
                <w:sz w:val="20"/>
                <w:szCs w:val="20"/>
              </w:rPr>
              <w:t xml:space="preserve">MVP Need</w:t>
            </w:r>
          </w:p>
        </w:tc>
        <w:tc>
          <w:tcPr>
            <w:tcW w:type="dxa" w:w="3480"/>
            <w:tcBorders>
              <w:top w:val="single" w:color="AABCD0" w:sz="1"/>
              <w:left w:val="single" w:color="AABCD0" w:sz="1"/>
              <w:bottom w:val="single" w:color="AABCD0" w:sz="1"/>
              <w:right w:val="single" w:color="AABCD0" w:sz="1"/>
            </w:tcBorders>
            <w:shd w:fill="E8F0FB" w:val="clear"/>
            <w:tcMar>
              <w:top w:type="dxa" w:w="100"/>
              <w:left w:type="dxa" w:w="140"/>
              <w:bottom w:type="dxa" w:w="100"/>
              <w:right w:type="dxa" w:w="140"/>
            </w:tcMar>
            <w:vAlign w:val="center"/>
          </w:tcPr>
          <w:p>
            <w:r>
              <w:rPr>
                <w:rFonts w:ascii="Arial" w:cs="Arial" w:eastAsia="Arial" w:hAnsi="Arial"/>
                <w:b/>
                <w:bCs/>
                <w:color w:val="0D2B55"/>
                <w:sz w:val="20"/>
                <w:szCs w:val="20"/>
              </w:rPr>
              <w:t xml:space="preserve">90-Day Beta Need</w:t>
            </w:r>
          </w:p>
        </w:tc>
      </w:tr>
      <w:tr>
        <w:tc>
          <w:tcPr>
            <w:tcW w:type="dxa" w:w="312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Product Owner</w:t>
            </w:r>
          </w:p>
        </w:tc>
        <w:tc>
          <w:tcPr>
            <w:tcW w:type="dxa" w:w="276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Full-time</w:t>
            </w:r>
          </w:p>
        </w:tc>
        <w:tc>
          <w:tcPr>
            <w:tcW w:type="dxa" w:w="348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Full-time</w:t>
            </w:r>
          </w:p>
        </w:tc>
      </w:tr>
      <w:tr>
        <w:tc>
          <w:tcPr>
            <w:tcW w:type="dxa" w:w="312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Frontend Engineer (Web + 3D)</w:t>
            </w:r>
          </w:p>
        </w:tc>
        <w:tc>
          <w:tcPr>
            <w:tcW w:type="dxa" w:w="276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1 strong engineer</w:t>
            </w:r>
          </w:p>
        </w:tc>
        <w:tc>
          <w:tcPr>
            <w:tcW w:type="dxa" w:w="348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1–2 engineers</w:t>
            </w:r>
          </w:p>
        </w:tc>
      </w:tr>
      <w:tr>
        <w:tc>
          <w:tcPr>
            <w:tcW w:type="dxa" w:w="312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Backend / Platform Engineer</w:t>
            </w:r>
          </w:p>
        </w:tc>
        <w:tc>
          <w:tcPr>
            <w:tcW w:type="dxa" w:w="276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1</w:t>
            </w:r>
          </w:p>
        </w:tc>
        <w:tc>
          <w:tcPr>
            <w:tcW w:type="dxa" w:w="348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1–2</w:t>
            </w:r>
          </w:p>
        </w:tc>
      </w:tr>
      <w:tr>
        <w:tc>
          <w:tcPr>
            <w:tcW w:type="dxa" w:w="312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Data / ML Engineer</w:t>
            </w:r>
          </w:p>
        </w:tc>
        <w:tc>
          <w:tcPr>
            <w:tcW w:type="dxa" w:w="276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0.5–1</w:t>
            </w:r>
          </w:p>
        </w:tc>
        <w:tc>
          <w:tcPr>
            <w:tcW w:type="dxa" w:w="348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1</w:t>
            </w:r>
          </w:p>
        </w:tc>
      </w:tr>
      <w:tr>
        <w:tc>
          <w:tcPr>
            <w:tcW w:type="dxa" w:w="312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Product Designer</w:t>
            </w:r>
          </w:p>
        </w:tc>
        <w:tc>
          <w:tcPr>
            <w:tcW w:type="dxa" w:w="276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0.5</w:t>
            </w:r>
          </w:p>
        </w:tc>
        <w:tc>
          <w:tcPr>
            <w:tcW w:type="dxa" w:w="348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1</w:t>
            </w:r>
          </w:p>
        </w:tc>
      </w:tr>
      <w:tr>
        <w:tc>
          <w:tcPr>
            <w:tcW w:type="dxa" w:w="312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QA / Product Ops</w:t>
            </w:r>
          </w:p>
        </w:tc>
        <w:tc>
          <w:tcPr>
            <w:tcW w:type="dxa" w:w="276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Part-time</w:t>
            </w:r>
          </w:p>
        </w:tc>
        <w:tc>
          <w:tcPr>
            <w:tcW w:type="dxa" w:w="348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1</w:t>
            </w:r>
          </w:p>
        </w:tc>
      </w:tr>
      <w:tr>
        <w:tc>
          <w:tcPr>
            <w:tcW w:type="dxa" w:w="312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Legal / Privacy Advisor</w:t>
            </w:r>
          </w:p>
        </w:tc>
        <w:tc>
          <w:tcPr>
            <w:tcW w:type="dxa" w:w="276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Review checkpoints</w:t>
            </w:r>
          </w:p>
        </w:tc>
        <w:tc>
          <w:tcPr>
            <w:tcW w:type="dxa" w:w="348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Ongoing part-time</w:t>
            </w:r>
          </w:p>
        </w:tc>
      </w:tr>
    </w:tbl>
    <w:p>
      <w:pPr>
        <w:spacing w:after="60" w:before="60"/>
      </w:pPr>
    </w:p>
    <w:p>
      <w:pPr>
        <w:pStyle w:val="Heading2"/>
        <w:spacing w:after="160" w:before="280"/>
      </w:pPr>
      <w:r>
        <w:rPr>
          <w:rFonts w:ascii="Arial" w:cs="Arial" w:eastAsia="Arial" w:hAnsi="Arial"/>
          <w:b/>
          <w:bCs/>
          <w:color w:val="1E5FA8"/>
          <w:sz w:val="28"/>
          <w:szCs w:val="28"/>
        </w:rPr>
        <w:t xml:space="preserve">8.4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AABCD0" w:sz="1"/>
              <w:left w:val="single" w:color="AABCD0" w:sz="1"/>
              <w:bottom w:val="single" w:color="AABCD0" w:sz="1"/>
              <w:right w:val="single" w:color="AABCD0" w:sz="1"/>
            </w:tcBorders>
            <w:shd w:fill="E8F0FB" w:val="clear"/>
            <w:tcMar>
              <w:top w:type="dxa" w:w="100"/>
              <w:left w:type="dxa" w:w="140"/>
              <w:bottom w:type="dxa" w:w="100"/>
              <w:right w:type="dxa" w:w="140"/>
            </w:tcMar>
            <w:vAlign w:val="center"/>
          </w:tcPr>
          <w:p>
            <w:r>
              <w:rPr>
                <w:rFonts w:ascii="Arial" w:cs="Arial" w:eastAsia="Arial" w:hAnsi="Arial"/>
                <w:b/>
                <w:bCs/>
                <w:color w:val="0D2B55"/>
                <w:sz w:val="20"/>
                <w:szCs w:val="20"/>
              </w:rPr>
              <w:t xml:space="preserve">KPI</w:t>
            </w:r>
          </w:p>
        </w:tc>
        <w:tc>
          <w:tcPr>
            <w:tcW w:type="dxa" w:w="3200"/>
            <w:tcBorders>
              <w:top w:val="single" w:color="AABCD0" w:sz="1"/>
              <w:left w:val="single" w:color="AABCD0" w:sz="1"/>
              <w:bottom w:val="single" w:color="AABCD0" w:sz="1"/>
              <w:right w:val="single" w:color="AABCD0" w:sz="1"/>
            </w:tcBorders>
            <w:shd w:fill="E8F0FB" w:val="clear"/>
            <w:tcMar>
              <w:top w:type="dxa" w:w="100"/>
              <w:left w:type="dxa" w:w="140"/>
              <w:bottom w:type="dxa" w:w="100"/>
              <w:right w:type="dxa" w:w="140"/>
            </w:tcMar>
            <w:vAlign w:val="center"/>
          </w:tcPr>
          <w:p>
            <w:r>
              <w:rPr>
                <w:rFonts w:ascii="Arial" w:cs="Arial" w:eastAsia="Arial" w:hAnsi="Arial"/>
                <w:b/>
                <w:bCs/>
                <w:color w:val="0D2B55"/>
                <w:sz w:val="20"/>
                <w:szCs w:val="20"/>
              </w:rPr>
              <w:t xml:space="preserve">Why It Matters</w:t>
            </w:r>
          </w:p>
        </w:tc>
        <w:tc>
          <w:tcPr>
            <w:tcW w:type="dxa" w:w="3360"/>
            <w:tcBorders>
              <w:top w:val="single" w:color="AABCD0" w:sz="1"/>
              <w:left w:val="single" w:color="AABCD0" w:sz="1"/>
              <w:bottom w:val="single" w:color="AABCD0" w:sz="1"/>
              <w:right w:val="single" w:color="AABCD0" w:sz="1"/>
            </w:tcBorders>
            <w:shd w:fill="E8F0FB" w:val="clear"/>
            <w:tcMar>
              <w:top w:type="dxa" w:w="100"/>
              <w:left w:type="dxa" w:w="140"/>
              <w:bottom w:type="dxa" w:w="100"/>
              <w:right w:type="dxa" w:w="140"/>
            </w:tcMar>
            <w:vAlign w:val="center"/>
          </w:tcPr>
          <w:p>
            <w:r>
              <w:rPr>
                <w:rFonts w:ascii="Arial" w:cs="Arial" w:eastAsia="Arial" w:hAnsi="Arial"/>
                <w:b/>
                <w:bCs/>
                <w:color w:val="0D2B55"/>
                <w:sz w:val="20"/>
                <w:szCs w:val="20"/>
              </w:rPr>
              <w:t xml:space="preserve">Healthy Early Signal</w:t>
            </w:r>
          </w:p>
        </w:tc>
      </w:tr>
      <w:tr>
        <w:tc>
          <w:tcPr>
            <w:tcW w:type="dxa" w:w="28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Globe enter rate</w:t>
            </w:r>
          </w:p>
        </w:tc>
        <w:tc>
          <w:tcPr>
            <w:tcW w:type="dxa" w:w="32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Whether the landing experience converts curiosity into exploration</w:t>
            </w:r>
          </w:p>
        </w:tc>
        <w:tc>
          <w:tcPr>
            <w:tcW w:type="dxa" w:w="336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&gt; 35% of visitors enter exploration</w:t>
            </w:r>
          </w:p>
        </w:tc>
      </w:tr>
      <w:tr>
        <w:tc>
          <w:tcPr>
            <w:tcW w:type="dxa" w:w="28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First meaningful interaction time</w:t>
            </w:r>
          </w:p>
        </w:tc>
        <w:tc>
          <w:tcPr>
            <w:tcW w:type="dxa" w:w="32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Whether users find value quickly</w:t>
            </w:r>
          </w:p>
        </w:tc>
        <w:tc>
          <w:tcPr>
            <w:tcW w:type="dxa" w:w="336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&lt; 60 seconds</w:t>
            </w:r>
          </w:p>
        </w:tc>
      </w:tr>
      <w:tr>
        <w:tc>
          <w:tcPr>
            <w:tcW w:type="dxa" w:w="28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Job open rate per session</w:t>
            </w:r>
          </w:p>
        </w:tc>
        <w:tc>
          <w:tcPr>
            <w:tcW w:type="dxa" w:w="32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Whether map signals generate curiosity</w:t>
            </w:r>
          </w:p>
        </w:tc>
        <w:tc>
          <w:tcPr>
            <w:tcW w:type="dxa" w:w="336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Rising week over week</w:t>
            </w:r>
          </w:p>
        </w:tc>
      </w:tr>
      <w:tr>
        <w:tc>
          <w:tcPr>
            <w:tcW w:type="dxa" w:w="28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Saved job rate</w:t>
            </w:r>
          </w:p>
        </w:tc>
        <w:tc>
          <w:tcPr>
            <w:tcW w:type="dxa" w:w="32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Proxy for relevance and intent</w:t>
            </w:r>
          </w:p>
        </w:tc>
        <w:tc>
          <w:tcPr>
            <w:tcW w:type="dxa" w:w="336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Stronger than raw click rate</w:t>
            </w:r>
          </w:p>
        </w:tc>
      </w:tr>
      <w:tr>
        <w:tc>
          <w:tcPr>
            <w:tcW w:type="dxa" w:w="28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Apply-through rate</w:t>
            </w:r>
          </w:p>
        </w:tc>
        <w:tc>
          <w:tcPr>
            <w:tcW w:type="dxa" w:w="32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Core business outcome</w:t>
            </w:r>
          </w:p>
        </w:tc>
        <w:tc>
          <w:tcPr>
            <w:tcW w:type="dxa" w:w="336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Primary KPI — track as primary conversion</w:t>
            </w:r>
          </w:p>
        </w:tc>
      </w:tr>
      <w:tr>
        <w:tc>
          <w:tcPr>
            <w:tcW w:type="dxa" w:w="28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Match explanation helpfulness</w:t>
            </w:r>
          </w:p>
        </w:tc>
        <w:tc>
          <w:tcPr>
            <w:tcW w:type="dxa" w:w="32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Trust in AI output</w:t>
            </w:r>
          </w:p>
        </w:tc>
        <w:tc>
          <w:tcPr>
            <w:tcW w:type="dxa" w:w="336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In-product thumbs-up / post-session survey</w:t>
            </w:r>
          </w:p>
        </w:tc>
      </w:tr>
      <w:tr>
        <w:tc>
          <w:tcPr>
            <w:tcW w:type="dxa" w:w="28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Day-7 retention</w:t>
            </w:r>
          </w:p>
        </w:tc>
        <w:tc>
          <w:tcPr>
            <w:tcW w:type="dxa" w:w="32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Product stickiness — especially for students</w:t>
            </w:r>
          </w:p>
        </w:tc>
        <w:tc>
          <w:tcPr>
            <w:tcW w:type="dxa" w:w="336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Benchmark against industry norms</w:t>
            </w:r>
          </w:p>
        </w:tc>
      </w:tr>
      <w:tr>
        <w:tc>
          <w:tcPr>
            <w:tcW w:type="dxa" w:w="28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Cost per refreshed active job</w:t>
            </w:r>
          </w:p>
        </w:tc>
        <w:tc>
          <w:tcPr>
            <w:tcW w:type="dxa" w:w="32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Operational efficiency</w:t>
            </w:r>
          </w:p>
        </w:tc>
        <w:tc>
          <w:tcPr>
            <w:tcW w:type="dxa" w:w="336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Must trend downward over time</w:t>
            </w:r>
          </w:p>
        </w:tc>
      </w:tr>
      <w:tr>
        <w:tc>
          <w:tcPr>
            <w:tcW w:type="dxa" w:w="28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Verification pass rate</w:t>
            </w:r>
          </w:p>
        </w:tc>
        <w:tc>
          <w:tcPr>
            <w:tcW w:type="dxa" w:w="32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Data quality health</w:t>
            </w:r>
          </w:p>
        </w:tc>
        <w:tc>
          <w:tcPr>
            <w:tcW w:type="dxa" w:w="336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High and stable</w:t>
            </w:r>
          </w:p>
        </w:tc>
      </w:tr>
      <w:tr>
        <w:tc>
          <w:tcPr>
            <w:tcW w:type="dxa" w:w="28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Duplicate merge precision</w:t>
            </w:r>
          </w:p>
        </w:tc>
        <w:tc>
          <w:tcPr>
            <w:tcW w:type="dxa" w:w="32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Corpus cleanliness</w:t>
            </w:r>
          </w:p>
        </w:tc>
        <w:tc>
          <w:tcPr>
            <w:tcW w:type="dxa" w:w="336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High precision more important than recall</w:t>
            </w:r>
          </w:p>
        </w:tc>
      </w:tr>
    </w:tbl>
    <w:p>
      <w:pPr>
        <w:spacing w:after="60" w:before="60"/>
      </w:pPr>
    </w:p>
    <w:p>
      <w:pPr>
        <w:pStyle w:val="Heading2"/>
        <w:spacing w:after="160" w:before="280"/>
      </w:pPr>
      <w:r>
        <w:rPr>
          <w:rFonts w:ascii="Arial" w:cs="Arial" w:eastAsia="Arial" w:hAnsi="Arial"/>
          <w:b/>
          <w:bCs/>
          <w:color w:val="1E5FA8"/>
          <w:sz w:val="28"/>
          <w:szCs w:val="28"/>
        </w:rPr>
        <w:t xml:space="preserve">8.5  Cost Estimates (Scenario-Based)</w:t>
      </w:r>
    </w:p>
    <w:p>
      <w:pPr>
        <w:spacing w:after="140" w:before="80"/>
      </w:pPr>
      <w:r>
        <w:rPr>
          <w:rFonts w:ascii="Arial" w:cs="Arial" w:eastAsia="Arial" w:hAnsi="Arial"/>
          <w:sz w:val="22"/>
          <w:szCs w:val="22"/>
        </w:rPr>
        <w:t xml:space="preserve">Because there is no specific traffic constraint, costs are presented as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AABCD0" w:sz="1"/>
              <w:left w:val="single" w:color="AABCD0" w:sz="1"/>
              <w:bottom w:val="single" w:color="AABCD0" w:sz="1"/>
              <w:right w:val="single" w:color="AABCD0" w:sz="1"/>
            </w:tcBorders>
            <w:shd w:fill="E8F0FB" w:val="clear"/>
            <w:tcMar>
              <w:top w:type="dxa" w:w="100"/>
              <w:left w:type="dxa" w:w="140"/>
              <w:bottom w:type="dxa" w:w="100"/>
              <w:right w:type="dxa" w:w="140"/>
            </w:tcMar>
            <w:vAlign w:val="center"/>
          </w:tcPr>
          <w:p>
            <w:r>
              <w:rPr>
                <w:rFonts w:ascii="Arial" w:cs="Arial" w:eastAsia="Arial" w:hAnsi="Arial"/>
                <w:b/>
                <w:bCs/>
                <w:color w:val="0D2B55"/>
                <w:sz w:val="20"/>
                <w:szCs w:val="20"/>
              </w:rPr>
              <w:t xml:space="preserve">Stage</w:t>
            </w:r>
          </w:p>
        </w:tc>
        <w:tc>
          <w:tcPr>
            <w:tcW w:type="dxa" w:w="2800"/>
            <w:tcBorders>
              <w:top w:val="single" w:color="AABCD0" w:sz="1"/>
              <w:left w:val="single" w:color="AABCD0" w:sz="1"/>
              <w:bottom w:val="single" w:color="AABCD0" w:sz="1"/>
              <w:right w:val="single" w:color="AABCD0" w:sz="1"/>
            </w:tcBorders>
            <w:shd w:fill="E8F0FB" w:val="clear"/>
            <w:tcMar>
              <w:top w:type="dxa" w:w="100"/>
              <w:left w:type="dxa" w:w="140"/>
              <w:bottom w:type="dxa" w:w="100"/>
              <w:right w:type="dxa" w:w="140"/>
            </w:tcMar>
            <w:vAlign w:val="center"/>
          </w:tcPr>
          <w:p>
            <w:r>
              <w:rPr>
                <w:rFonts w:ascii="Arial" w:cs="Arial" w:eastAsia="Arial" w:hAnsi="Arial"/>
                <w:b/>
                <w:bCs/>
                <w:color w:val="0D2B55"/>
                <w:sz w:val="20"/>
                <w:szCs w:val="20"/>
              </w:rPr>
              <w:t xml:space="preserve">Estimated Monthly Range</w:t>
            </w:r>
          </w:p>
        </w:tc>
        <w:tc>
          <w:tcPr>
            <w:tcW w:type="dxa" w:w="4160"/>
            <w:tcBorders>
              <w:top w:val="single" w:color="AABCD0" w:sz="1"/>
              <w:left w:val="single" w:color="AABCD0" w:sz="1"/>
              <w:bottom w:val="single" w:color="AABCD0" w:sz="1"/>
              <w:right w:val="single" w:color="AABCD0" w:sz="1"/>
            </w:tcBorders>
            <w:shd w:fill="E8F0FB" w:val="clear"/>
            <w:tcMar>
              <w:top w:type="dxa" w:w="100"/>
              <w:left w:type="dxa" w:w="140"/>
              <w:bottom w:type="dxa" w:w="100"/>
              <w:right w:type="dxa" w:w="140"/>
            </w:tcMar>
            <w:vAlign w:val="center"/>
          </w:tcPr>
          <w:p>
            <w:r>
              <w:rPr>
                <w:rFonts w:ascii="Arial" w:cs="Arial" w:eastAsia="Arial" w:hAnsi="Arial"/>
                <w:b/>
                <w:bCs/>
                <w:color w:val="0D2B55"/>
                <w:sz w:val="20"/>
                <w:szCs w:val="20"/>
              </w:rPr>
              <w:t xml:space="preserve">Main Cost Drivers</w:t>
            </w:r>
          </w:p>
        </w:tc>
      </w:tr>
      <w:tr>
        <w:tc>
          <w:tcPr>
            <w:tcW w:type="dxa" w:w="24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MVP / Professor Demo</w:t>
            </w:r>
          </w:p>
        </w:tc>
        <w:tc>
          <w:tcPr>
            <w:tcW w:type="dxa" w:w="28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$200 – $800 / month</w:t>
            </w:r>
          </w:p>
        </w:tc>
        <w:tc>
          <w:tcPr>
            <w:tcW w:type="dxa" w:w="416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Hosting, DB/auth, low queue usage, modest embeddings and prep generation</w:t>
            </w:r>
          </w:p>
        </w:tc>
      </w:tr>
      <w:tr>
        <w:tc>
          <w:tcPr>
            <w:tcW w:type="dxa" w:w="24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Startup Beta</w:t>
            </w:r>
          </w:p>
        </w:tc>
        <w:tc>
          <w:tcPr>
            <w:tcW w:type="dxa" w:w="28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$1,500 – $6,000 / month</w:t>
            </w:r>
          </w:p>
        </w:tc>
        <w:tc>
          <w:tcPr>
            <w:tcW w:type="dxa" w:w="416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More connectors, more refresh jobs, more embeddings, geocoding, alerts</w:t>
            </w:r>
          </w:p>
        </w:tc>
      </w:tr>
      <w:tr>
        <w:tc>
          <w:tcPr>
            <w:tcW w:type="dxa" w:w="24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Scale</w:t>
            </w:r>
          </w:p>
        </w:tc>
        <w:tc>
          <w:tcPr>
            <w:tcW w:type="dxa" w:w="28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$10,000 – $60,000+ / month</w:t>
            </w:r>
          </w:p>
        </w:tc>
        <w:tc>
          <w:tcPr>
            <w:tcW w:type="dxa" w:w="416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Large job corpus, frequent verification, high LLM volume, monitoring, enterprise infra</w:t>
            </w:r>
          </w:p>
        </w:tc>
      </w:tr>
    </w:tbl>
    <w:p>
      <w:pPr>
        <w:pBdr>
          <w:left w:val="single" w:color="1E5FA8" w:sz="12" w:space="8"/>
        </w:pBdr>
        <w:spacing w:after="120" w:before="120"/>
        <w:ind w:left="360"/>
      </w:pPr>
      <w:r>
        <w:rPr>
          <w:rFonts w:ascii="Arial" w:cs="Arial" w:eastAsia="Arial" w:hAnsi="Arial"/>
          <w:b/>
          <w:bCs/>
          <w:color w:val="1E5FA8"/>
          <w:sz w:val="22"/>
          <w:szCs w:val="22"/>
        </w:rPr>
        <w:t xml:space="preserve">CEO Framing: </w:t>
      </w:r>
      <w:r>
        <w:rPr>
          <w:rFonts w:ascii="Arial" w:cs="Arial" w:eastAsia="Arial" w:hAnsi="Arial"/>
          <w:sz w:val="22"/>
          <w:szCs w:val="22"/>
        </w:rPr>
        <w:t xml:space="preserve">The globe is not the expensive part. The expensive parts are freshness, matching, and AI-assisted prep at scale. Aggressively cache embeddings, batch offline enrichment, use event-driven updates, and reserve premium LLM calls for high-intent moments such as job detail opens, résumé tailoring, or interview prep.</w:t>
      </w:r>
    </w:p>
    <w:p>
      <w:pPr>
        <w:spacing w:after="60" w:before="60"/>
      </w:pPr>
    </w:p>
    <w:p>
      <w:pPr>
        <w:pStyle w:val="Heading2"/>
        <w:spacing w:after="160" w:before="280"/>
      </w:pPr>
      <w:r>
        <w:rPr>
          <w:rFonts w:ascii="Arial" w:cs="Arial" w:eastAsia="Arial" w:hAnsi="Arial"/>
          <w:b/>
          <w:bCs/>
          <w:color w:val="1E5FA8"/>
          <w:sz w:val="28"/>
          <w:szCs w:val="28"/>
        </w:rPr>
        <w:t xml:space="preserve">8.6  Monetisation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AABCD0" w:sz="1"/>
              <w:left w:val="single" w:color="AABCD0" w:sz="1"/>
              <w:bottom w:val="single" w:color="AABCD0" w:sz="1"/>
              <w:right w:val="single" w:color="AABCD0" w:sz="1"/>
            </w:tcBorders>
            <w:shd w:fill="E8F0FB" w:val="clear"/>
            <w:tcMar>
              <w:top w:type="dxa" w:w="100"/>
              <w:left w:type="dxa" w:w="140"/>
              <w:bottom w:type="dxa" w:w="100"/>
              <w:right w:type="dxa" w:w="140"/>
            </w:tcMar>
            <w:vAlign w:val="center"/>
          </w:tcPr>
          <w:p>
            <w:r>
              <w:rPr>
                <w:rFonts w:ascii="Arial" w:cs="Arial" w:eastAsia="Arial" w:hAnsi="Arial"/>
                <w:b/>
                <w:bCs/>
                <w:color w:val="0D2B55"/>
                <w:sz w:val="20"/>
                <w:szCs w:val="20"/>
              </w:rPr>
              <w:t xml:space="preserve">Tier</w:t>
            </w:r>
          </w:p>
        </w:tc>
        <w:tc>
          <w:tcPr>
            <w:tcW w:type="dxa" w:w="3400"/>
            <w:tcBorders>
              <w:top w:val="single" w:color="AABCD0" w:sz="1"/>
              <w:left w:val="single" w:color="AABCD0" w:sz="1"/>
              <w:bottom w:val="single" w:color="AABCD0" w:sz="1"/>
              <w:right w:val="single" w:color="AABCD0" w:sz="1"/>
            </w:tcBorders>
            <w:shd w:fill="E8F0FB" w:val="clear"/>
            <w:tcMar>
              <w:top w:type="dxa" w:w="100"/>
              <w:left w:type="dxa" w:w="140"/>
              <w:bottom w:type="dxa" w:w="100"/>
              <w:right w:type="dxa" w:w="140"/>
            </w:tcMar>
            <w:vAlign w:val="center"/>
          </w:tcPr>
          <w:p>
            <w:r>
              <w:rPr>
                <w:rFonts w:ascii="Arial" w:cs="Arial" w:eastAsia="Arial" w:hAnsi="Arial"/>
                <w:b/>
                <w:bCs/>
                <w:color w:val="0D2B55"/>
                <w:sz w:val="20"/>
                <w:szCs w:val="20"/>
              </w:rPr>
              <w:t xml:space="preserve">Offering</w:t>
            </w:r>
          </w:p>
        </w:tc>
        <w:tc>
          <w:tcPr>
            <w:tcW w:type="dxa" w:w="3960"/>
            <w:tcBorders>
              <w:top w:val="single" w:color="AABCD0" w:sz="1"/>
              <w:left w:val="single" w:color="AABCD0" w:sz="1"/>
              <w:bottom w:val="single" w:color="AABCD0" w:sz="1"/>
              <w:right w:val="single" w:color="AABCD0" w:sz="1"/>
            </w:tcBorders>
            <w:shd w:fill="E8F0FB" w:val="clear"/>
            <w:tcMar>
              <w:top w:type="dxa" w:w="100"/>
              <w:left w:type="dxa" w:w="140"/>
              <w:bottom w:type="dxa" w:w="100"/>
              <w:right w:type="dxa" w:w="140"/>
            </w:tcMar>
            <w:vAlign w:val="center"/>
          </w:tcPr>
          <w:p>
            <w:r>
              <w:rPr>
                <w:rFonts w:ascii="Arial" w:cs="Arial" w:eastAsia="Arial" w:hAnsi="Arial"/>
                <w:b/>
                <w:bCs/>
                <w:color w:val="0D2B55"/>
                <w:sz w:val="20"/>
                <w:szCs w:val="20"/>
              </w:rPr>
              <w:t xml:space="preserve">Revenue Model</w:t>
            </w:r>
          </w:p>
        </w:tc>
      </w:tr>
      <w:tr>
        <w:tc>
          <w:tcPr>
            <w:tcW w:type="dxa" w:w="20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Freemium User</w:t>
            </w:r>
          </w:p>
        </w:tc>
        <w:tc>
          <w:tcPr>
            <w:tcW w:type="dxa" w:w="34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Globe exploration, limited saves/alerts, basic match explanation</w:t>
            </w:r>
          </w:p>
        </w:tc>
        <w:tc>
          <w:tcPr>
            <w:tcW w:type="dxa" w:w="396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Acquire and convert to Pro</w:t>
            </w:r>
          </w:p>
        </w:tc>
      </w:tr>
      <w:tr>
        <w:tc>
          <w:tcPr>
            <w:tcW w:type="dxa" w:w="20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Pro User</w:t>
            </w:r>
          </w:p>
        </w:tc>
        <w:tc>
          <w:tcPr>
            <w:tcW w:type="dxa" w:w="34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Unlimited saves/alerts, stronger match analytics, résumé tailoring, interview prep</w:t>
            </w:r>
          </w:p>
        </w:tc>
        <w:tc>
          <w:tcPr>
            <w:tcW w:type="dxa" w:w="396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Monthly / annual subscription</w:t>
            </w:r>
          </w:p>
        </w:tc>
      </w:tr>
      <w:tr>
        <w:tc>
          <w:tcPr>
            <w:tcW w:type="dxa" w:w="20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Recruiter / Employer</w:t>
            </w:r>
          </w:p>
        </w:tc>
        <w:tc>
          <w:tcPr>
            <w:tcW w:type="dxa" w:w="34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Enhanced company bubble visibility, analytics, branded cards, funnel insights</w:t>
            </w:r>
          </w:p>
        </w:tc>
        <w:tc>
          <w:tcPr>
            <w:tcW w:type="dxa" w:w="396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Per-seat SaaS or performance fee</w:t>
            </w:r>
          </w:p>
        </w:tc>
      </w:tr>
      <w:tr>
        <w:tc>
          <w:tcPr>
            <w:tcW w:type="dxa" w:w="20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Enterprise / University</w:t>
            </w:r>
          </w:p>
        </w:tc>
        <w:tc>
          <w:tcPr>
            <w:tcW w:type="dxa" w:w="34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White-label deployment, admin dashboards, custom taxonomies, cohort analytics</w:t>
            </w:r>
          </w:p>
        </w:tc>
        <w:tc>
          <w:tcPr>
            <w:tcW w:type="dxa" w:w="396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Annual enterprise contract</w:t>
            </w:r>
          </w:p>
        </w:tc>
      </w:tr>
      <w:tr>
        <w:tc>
          <w:tcPr>
            <w:tcW w:type="dxa" w:w="20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Partnerships</w:t>
            </w:r>
          </w:p>
        </w:tc>
        <w:tc>
          <w:tcPr>
            <w:tcW w:type="dxa" w:w="34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Universities, bootcamps, workforce programs, career centres, labour-market data partners</w:t>
            </w:r>
          </w:p>
        </w:tc>
        <w:tc>
          <w:tcPr>
            <w:tcW w:type="dxa" w:w="396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Revenue share / integration fees</w:t>
            </w:r>
          </w:p>
        </w:tc>
      </w:tr>
    </w:tbl>
    <w:p>
      <w:r>
        <w:br w:type="page"/>
      </w:r>
    </w:p>
    <w:p>
      <w:pPr>
        <w:pStyle w:val="Heading1"/>
        <w:pBdr>
          <w:bottom w:val="single" w:color="0D2B55" w:sz="4" w:space="6"/>
        </w:pBdr>
        <w:spacing w:after="200" w:before="360"/>
      </w:pPr>
      <w:r>
        <w:rPr>
          <w:rFonts w:ascii="Arial" w:cs="Arial" w:eastAsia="Arial" w:hAnsi="Arial"/>
          <w:b/>
          <w:bCs/>
          <w:color w:val="0D2B55"/>
          <w:sz w:val="36"/>
          <w:szCs w:val="36"/>
        </w:rPr>
        <w:t xml:space="preserve">9.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AABCD0" w:sz="1"/>
              <w:left w:val="single" w:color="AABCD0" w:sz="1"/>
              <w:bottom w:val="single" w:color="AABCD0" w:sz="1"/>
              <w:right w:val="single" w:color="AABCD0" w:sz="1"/>
            </w:tcBorders>
            <w:shd w:fill="E8F0FB" w:val="clear"/>
            <w:tcMar>
              <w:top w:type="dxa" w:w="100"/>
              <w:left w:type="dxa" w:w="140"/>
              <w:bottom w:type="dxa" w:w="100"/>
              <w:right w:type="dxa" w:w="140"/>
            </w:tcMar>
            <w:vAlign w:val="center"/>
          </w:tcPr>
          <w:p>
            <w:r>
              <w:rPr>
                <w:rFonts w:ascii="Arial" w:cs="Arial" w:eastAsia="Arial" w:hAnsi="Arial"/>
                <w:b/>
                <w:bCs/>
                <w:color w:val="0D2B55"/>
                <w:sz w:val="20"/>
                <w:szCs w:val="20"/>
              </w:rPr>
              <w:t xml:space="preserve">Risk</w:t>
            </w:r>
          </w:p>
        </w:tc>
        <w:tc>
          <w:tcPr>
            <w:tcW w:type="dxa" w:w="2800"/>
            <w:tcBorders>
              <w:top w:val="single" w:color="AABCD0" w:sz="1"/>
              <w:left w:val="single" w:color="AABCD0" w:sz="1"/>
              <w:bottom w:val="single" w:color="AABCD0" w:sz="1"/>
              <w:right w:val="single" w:color="AABCD0" w:sz="1"/>
            </w:tcBorders>
            <w:shd w:fill="E8F0FB" w:val="clear"/>
            <w:tcMar>
              <w:top w:type="dxa" w:w="100"/>
              <w:left w:type="dxa" w:w="140"/>
              <w:bottom w:type="dxa" w:w="100"/>
              <w:right w:type="dxa" w:w="140"/>
            </w:tcMar>
            <w:vAlign w:val="center"/>
          </w:tcPr>
          <w:p>
            <w:r>
              <w:rPr>
                <w:rFonts w:ascii="Arial" w:cs="Arial" w:eastAsia="Arial" w:hAnsi="Arial"/>
                <w:b/>
                <w:bCs/>
                <w:color w:val="0D2B55"/>
                <w:sz w:val="20"/>
                <w:szCs w:val="20"/>
              </w:rPr>
              <w:t xml:space="preserve">Why It Matters</w:t>
            </w:r>
          </w:p>
        </w:tc>
        <w:tc>
          <w:tcPr>
            <w:tcW w:type="dxa" w:w="4160"/>
            <w:tcBorders>
              <w:top w:val="single" w:color="AABCD0" w:sz="1"/>
              <w:left w:val="single" w:color="AABCD0" w:sz="1"/>
              <w:bottom w:val="single" w:color="AABCD0" w:sz="1"/>
              <w:right w:val="single" w:color="AABCD0" w:sz="1"/>
            </w:tcBorders>
            <w:shd w:fill="E8F0FB" w:val="clear"/>
            <w:tcMar>
              <w:top w:type="dxa" w:w="100"/>
              <w:left w:type="dxa" w:w="140"/>
              <w:bottom w:type="dxa" w:w="100"/>
              <w:right w:type="dxa" w:w="140"/>
            </w:tcMar>
            <w:vAlign w:val="center"/>
          </w:tcPr>
          <w:p>
            <w:r>
              <w:rPr>
                <w:rFonts w:ascii="Arial" w:cs="Arial" w:eastAsia="Arial" w:hAnsi="Arial"/>
                <w:b/>
                <w:bCs/>
                <w:color w:val="0D2B55"/>
                <w:sz w:val="20"/>
                <w:szCs w:val="20"/>
              </w:rPr>
              <w:t xml:space="preserve">Mitigation</w:t>
            </w:r>
          </w:p>
        </w:tc>
      </w:tr>
      <w:tr>
        <w:tc>
          <w:tcPr>
            <w:tcW w:type="dxa" w:w="24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Legal overreach on sourcing</w:t>
            </w:r>
          </w:p>
        </w:tc>
        <w:tc>
          <w:tcPr>
            <w:tcW w:type="dxa" w:w="28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Can block launch or kill partnerships</w:t>
            </w:r>
          </w:p>
        </w:tc>
        <w:tc>
          <w:tcPr>
            <w:tcW w:type="dxa" w:w="416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API-first policy, counsel review, source registry with permission flags</w:t>
            </w:r>
          </w:p>
        </w:tc>
      </w:tr>
      <w:tr>
        <w:tc>
          <w:tcPr>
            <w:tcW w:type="dxa" w:w="24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'AI but wrong' perception</w:t>
            </w:r>
          </w:p>
        </w:tc>
        <w:tc>
          <w:tcPr>
            <w:tcW w:type="dxa" w:w="28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One bad explanation collapses user trust</w:t>
            </w:r>
          </w:p>
        </w:tc>
        <w:tc>
          <w:tcPr>
            <w:tcW w:type="dxa" w:w="416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Explainability, confidence labels, conservative scoring, user feedback loops</w:t>
            </w:r>
          </w:p>
        </w:tc>
      </w:tr>
      <w:tr>
        <w:tc>
          <w:tcPr>
            <w:tcW w:type="dxa" w:w="24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UX over-stylisation</w:t>
            </w:r>
          </w:p>
        </w:tc>
        <w:tc>
          <w:tcPr>
            <w:tcW w:type="dxa" w:w="28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Cinematic intro reduces utility for returning users</w:t>
            </w:r>
          </w:p>
        </w:tc>
        <w:tc>
          <w:tcPr>
            <w:tcW w:type="dxa" w:w="416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Silent-by-default intro, fast enter path, demo mode separated from daily mode</w:t>
            </w:r>
          </w:p>
        </w:tc>
      </w:tr>
      <w:tr>
        <w:tc>
          <w:tcPr>
            <w:tcW w:type="dxa" w:w="24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Source dependency</w:t>
            </w:r>
          </w:p>
        </w:tc>
        <w:tc>
          <w:tcPr>
            <w:tcW w:type="dxa" w:w="28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A single ATS or aggregator policy change hurts coverage</w:t>
            </w:r>
          </w:p>
        </w:tc>
        <w:tc>
          <w:tcPr>
            <w:tcW w:type="dxa" w:w="416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Multi-source strategy, canonical schema, connector abstraction layer</w:t>
            </w:r>
          </w:p>
        </w:tc>
      </w:tr>
      <w:tr>
        <w:tc>
          <w:tcPr>
            <w:tcW w:type="dxa" w:w="24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Résumé privacy concerns</w:t>
            </w:r>
          </w:p>
        </w:tc>
        <w:tc>
          <w:tcPr>
            <w:tcW w:type="dxa" w:w="28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Students may hesitate to upload sensitive data</w:t>
            </w:r>
          </w:p>
        </w:tc>
        <w:tc>
          <w:tcPr>
            <w:tcW w:type="dxa" w:w="416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Guest exploration mode, granular consent, visible deletion and export controls</w:t>
            </w:r>
          </w:p>
        </w:tc>
      </w:tr>
      <w:tr>
        <w:tc>
          <w:tcPr>
            <w:tcW w:type="dxa" w:w="24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LLM cost blowout</w:t>
            </w:r>
          </w:p>
        </w:tc>
        <w:tc>
          <w:tcPr>
            <w:tcW w:type="dxa" w:w="28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Margins disappear at scale if every action calls a premium model</w:t>
            </w:r>
          </w:p>
        </w:tc>
        <w:tc>
          <w:tcPr>
            <w:tcW w:type="dxa" w:w="416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Batch enrichment, cached embeddings, premium models only in high-intent flows</w:t>
            </w:r>
          </w:p>
        </w:tc>
      </w:tr>
      <w:tr>
        <w:tc>
          <w:tcPr>
            <w:tcW w:type="dxa" w:w="24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Weak mobile performance</w:t>
            </w:r>
          </w:p>
        </w:tc>
        <w:tc>
          <w:tcPr>
            <w:tcW w:type="dxa" w:w="28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3D scenes can fail on real student devices</w:t>
            </w:r>
          </w:p>
        </w:tc>
        <w:tc>
          <w:tcPr>
            <w:tcW w:type="dxa" w:w="416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2D fallback, reduced-motion mode, server-side feature flags</w:t>
            </w:r>
          </w:p>
        </w:tc>
      </w:tr>
      <w:tr>
        <w:tc>
          <w:tcPr>
            <w:tcW w:type="dxa" w:w="24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Auto-apply misuse</w:t>
            </w:r>
          </w:p>
        </w:tc>
        <w:tc>
          <w:tcPr>
            <w:tcW w:type="dxa" w:w="28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Can create spam and reputational harm</w:t>
            </w:r>
          </w:p>
        </w:tc>
        <w:tc>
          <w:tcPr>
            <w:tcW w:type="dxa" w:w="416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Redirect-first default, explicit per-job consent, source allowlist only</w:t>
            </w:r>
          </w:p>
        </w:tc>
      </w:tr>
    </w:tbl>
    <w:p>
      <w:r>
        <w:br w:type="page"/>
      </w:r>
    </w:p>
    <w:p>
      <w:pPr>
        <w:pStyle w:val="Heading1"/>
        <w:pBdr>
          <w:bottom w:val="single" w:color="0D2B55" w:sz="4" w:space="6"/>
        </w:pBdr>
        <w:spacing w:after="200" w:before="360"/>
      </w:pPr>
      <w:r>
        <w:rPr>
          <w:rFonts w:ascii="Arial" w:cs="Arial" w:eastAsia="Arial" w:hAnsi="Arial"/>
          <w:b/>
          <w:bCs/>
          <w:color w:val="0D2B55"/>
          <w:sz w:val="36"/>
          <w:szCs w:val="36"/>
        </w:rPr>
        <w:t xml:space="preserve">10. Appendix — Recommended APIs, Libraries &amp;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AABCD0" w:sz="1"/>
              <w:left w:val="single" w:color="AABCD0" w:sz="1"/>
              <w:bottom w:val="single" w:color="AABCD0" w:sz="1"/>
              <w:right w:val="single" w:color="AABCD0" w:sz="1"/>
            </w:tcBorders>
            <w:shd w:fill="E8F0FB" w:val="clear"/>
            <w:tcMar>
              <w:top w:type="dxa" w:w="100"/>
              <w:left w:type="dxa" w:w="140"/>
              <w:bottom w:type="dxa" w:w="100"/>
              <w:right w:type="dxa" w:w="140"/>
            </w:tcMar>
            <w:vAlign w:val="center"/>
          </w:tcPr>
          <w:p>
            <w:r>
              <w:rPr>
                <w:rFonts w:ascii="Arial" w:cs="Arial" w:eastAsia="Arial" w:hAnsi="Arial"/>
                <w:b/>
                <w:bCs/>
                <w:color w:val="0D2B55"/>
                <w:sz w:val="20"/>
                <w:szCs w:val="20"/>
              </w:rPr>
              <w:t xml:space="preserve">Category</w:t>
            </w:r>
          </w:p>
        </w:tc>
        <w:tc>
          <w:tcPr>
            <w:tcW w:type="dxa" w:w="2800"/>
            <w:tcBorders>
              <w:top w:val="single" w:color="AABCD0" w:sz="1"/>
              <w:left w:val="single" w:color="AABCD0" w:sz="1"/>
              <w:bottom w:val="single" w:color="AABCD0" w:sz="1"/>
              <w:right w:val="single" w:color="AABCD0" w:sz="1"/>
            </w:tcBorders>
            <w:shd w:fill="E8F0FB" w:val="clear"/>
            <w:tcMar>
              <w:top w:type="dxa" w:w="100"/>
              <w:left w:type="dxa" w:w="140"/>
              <w:bottom w:type="dxa" w:w="100"/>
              <w:right w:type="dxa" w:w="140"/>
            </w:tcMar>
            <w:vAlign w:val="center"/>
          </w:tcPr>
          <w:p>
            <w:r>
              <w:rPr>
                <w:rFonts w:ascii="Arial" w:cs="Arial" w:eastAsia="Arial" w:hAnsi="Arial"/>
                <w:b/>
                <w:bCs/>
                <w:color w:val="0D2B55"/>
                <w:sz w:val="20"/>
                <w:szCs w:val="20"/>
              </w:rPr>
              <w:t xml:space="preserve">Recommended Option</w:t>
            </w:r>
          </w:p>
        </w:tc>
        <w:tc>
          <w:tcPr>
            <w:tcW w:type="dxa" w:w="4360"/>
            <w:tcBorders>
              <w:top w:val="single" w:color="AABCD0" w:sz="1"/>
              <w:left w:val="single" w:color="AABCD0" w:sz="1"/>
              <w:bottom w:val="single" w:color="AABCD0" w:sz="1"/>
              <w:right w:val="single" w:color="AABCD0" w:sz="1"/>
            </w:tcBorders>
            <w:shd w:fill="E8F0FB" w:val="clear"/>
            <w:tcMar>
              <w:top w:type="dxa" w:w="100"/>
              <w:left w:type="dxa" w:w="140"/>
              <w:bottom w:type="dxa" w:w="100"/>
              <w:right w:type="dxa" w:w="140"/>
            </w:tcMar>
            <w:vAlign w:val="center"/>
          </w:tcPr>
          <w:p>
            <w:r>
              <w:rPr>
                <w:rFonts w:ascii="Arial" w:cs="Arial" w:eastAsia="Arial" w:hAnsi="Arial"/>
                <w:b/>
                <w:bCs/>
                <w:color w:val="0D2B55"/>
                <w:sz w:val="20"/>
                <w:szCs w:val="20"/>
              </w:rPr>
              <w:t xml:space="preserve">Why It Fits</w:t>
            </w:r>
          </w:p>
        </w:tc>
      </w:tr>
      <w:tr>
        <w:tc>
          <w:tcPr>
            <w:tcW w:type="dxa" w:w="22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ATS / Job Source</w:t>
            </w:r>
          </w:p>
        </w:tc>
        <w:tc>
          <w:tcPr>
            <w:tcW w:type="dxa" w:w="28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Greenhouse (Job Board API)</w:t>
            </w:r>
          </w:p>
        </w:tc>
        <w:tc>
          <w:tcPr>
            <w:tcW w:type="dxa" w:w="436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Public job and application posting endpoint; recruiting webhooks available</w:t>
            </w:r>
          </w:p>
        </w:tc>
      </w:tr>
      <w:tr>
        <w:tc>
          <w:tcPr>
            <w:tcW w:type="dxa" w:w="22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ATS / Job Source</w:t>
            </w:r>
          </w:p>
        </w:tc>
        <w:tc>
          <w:tcPr>
            <w:tcW w:type="dxa" w:w="28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Lever (Postings API + XML feed)</w:t>
            </w:r>
          </w:p>
        </w:tc>
        <w:tc>
          <w:tcPr>
            <w:tcW w:type="dxa" w:w="436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Public postings API, XML feed support, documented rate limits, webhook support</w:t>
            </w:r>
          </w:p>
        </w:tc>
      </w:tr>
      <w:tr>
        <w:tc>
          <w:tcPr>
            <w:tcW w:type="dxa" w:w="22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ATS / Job Source</w:t>
            </w:r>
          </w:p>
        </w:tc>
        <w:tc>
          <w:tcPr>
            <w:tcW w:type="dxa" w:w="28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SmartRecruiters (Posting API)</w:t>
            </w:r>
          </w:p>
        </w:tc>
        <w:tc>
          <w:tcPr>
            <w:tcW w:type="dxa" w:w="436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Public postings/search, application API, documented rate and concurrency rules</w:t>
            </w:r>
          </w:p>
        </w:tc>
      </w:tr>
      <w:tr>
        <w:tc>
          <w:tcPr>
            <w:tcW w:type="dxa" w:w="22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ATS / Job Source</w:t>
            </w:r>
          </w:p>
        </w:tc>
        <w:tc>
          <w:tcPr>
            <w:tcW w:type="dxa" w:w="28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Workable (Jobs API)</w:t>
            </w:r>
          </w:p>
        </w:tc>
        <w:tc>
          <w:tcPr>
            <w:tcW w:type="dxa" w:w="436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Jobs API plus public company endpoints; good redirect-first integration path</w:t>
            </w:r>
          </w:p>
        </w:tc>
      </w:tr>
      <w:tr>
        <w:tc>
          <w:tcPr>
            <w:tcW w:type="dxa" w:w="22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Public Sector</w:t>
            </w:r>
          </w:p>
        </w:tc>
        <w:tc>
          <w:tcPr>
            <w:tcW w:type="dxa" w:w="28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USAJOBS (Search API)</w:t>
            </w:r>
          </w:p>
        </w:tc>
        <w:tc>
          <w:tcPr>
            <w:tcW w:type="dxa" w:w="436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Official search API for currently open US federal announcements</w:t>
            </w:r>
          </w:p>
        </w:tc>
      </w:tr>
      <w:tr>
        <w:tc>
          <w:tcPr>
            <w:tcW w:type="dxa" w:w="22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Regional Public</w:t>
            </w:r>
          </w:p>
        </w:tc>
        <w:tc>
          <w:tcPr>
            <w:tcW w:type="dxa" w:w="28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EURES (EU Jobs Network)</w:t>
            </w:r>
          </w:p>
        </w:tc>
        <w:tc>
          <w:tcPr>
            <w:tcW w:type="dxa" w:w="436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Strong Europe coverage; vacancy database updated daily</w:t>
            </w:r>
          </w:p>
        </w:tc>
      </w:tr>
      <w:tr>
        <w:tc>
          <w:tcPr>
            <w:tcW w:type="dxa" w:w="22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Aggregator / Enrichment</w:t>
            </w:r>
          </w:p>
        </w:tc>
        <w:tc>
          <w:tcPr>
            <w:tcW w:type="dxa" w:w="28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Adzuna API</w:t>
            </w:r>
          </w:p>
        </w:tc>
        <w:tc>
          <w:tcPr>
            <w:tcW w:type="dxa" w:w="436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Search, categories, regional vacancy counts, and top-company endpoints</w:t>
            </w:r>
          </w:p>
        </w:tc>
      </w:tr>
      <w:tr>
        <w:tc>
          <w:tcPr>
            <w:tcW w:type="dxa" w:w="22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LLM / Embeddings</w:t>
            </w:r>
          </w:p>
        </w:tc>
        <w:tc>
          <w:tcPr>
            <w:tcW w:type="dxa" w:w="28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OpenAI Responses API + Embeddings</w:t>
            </w:r>
          </w:p>
        </w:tc>
        <w:tc>
          <w:tcPr>
            <w:tcW w:type="dxa" w:w="436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Agent orchestration, embeddings, evals, and batch processing</w:t>
            </w:r>
          </w:p>
        </w:tc>
      </w:tr>
      <w:tr>
        <w:tc>
          <w:tcPr>
            <w:tcW w:type="dxa" w:w="22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Hosting</w:t>
            </w:r>
          </w:p>
        </w:tc>
        <w:tc>
          <w:tcPr>
            <w:tcW w:type="dxa" w:w="28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Vercel</w:t>
            </w:r>
          </w:p>
        </w:tc>
        <w:tc>
          <w:tcPr>
            <w:tcW w:type="dxa" w:w="436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Fast deployment path for Next.js; low Pro entry point</w:t>
            </w:r>
          </w:p>
        </w:tc>
      </w:tr>
      <w:tr>
        <w:tc>
          <w:tcPr>
            <w:tcW w:type="dxa" w:w="22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Database / Auth</w:t>
            </w:r>
          </w:p>
        </w:tc>
        <w:tc>
          <w:tcPr>
            <w:tcW w:type="dxa" w:w="28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Supabase (PostgreSQL + Auth)</w:t>
            </w:r>
          </w:p>
        </w:tc>
        <w:tc>
          <w:tcPr>
            <w:tcW w:type="dxa" w:w="436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Postgres with built-in auth; straightforward Pro pricing</w:t>
            </w:r>
          </w:p>
        </w:tc>
      </w:tr>
      <w:tr>
        <w:tc>
          <w:tcPr>
            <w:tcW w:type="dxa" w:w="22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Queue / Cache</w:t>
            </w:r>
          </w:p>
        </w:tc>
        <w:tc>
          <w:tcPr>
            <w:tcW w:type="dxa" w:w="28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Upstash (Redis-compatible)</w:t>
            </w:r>
          </w:p>
        </w:tc>
        <w:tc>
          <w:tcPr>
            <w:tcW w:type="dxa" w:w="436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Serverless pricing; works well for prototypes and low-ops startups</w:t>
            </w:r>
          </w:p>
        </w:tc>
      </w:tr>
      <w:tr>
        <w:tc>
          <w:tcPr>
            <w:tcW w:type="dxa" w:w="22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Geocoding</w:t>
            </w:r>
          </w:p>
        </w:tc>
        <w:tc>
          <w:tcPr>
            <w:tcW w:type="dxa" w:w="28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Mapbox Geocoding API</w:t>
            </w:r>
          </w:p>
        </w:tc>
        <w:tc>
          <w:tcPr>
            <w:tcW w:type="dxa" w:w="436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Production-grade; meaningful free tier; attribution-compliant</w:t>
            </w:r>
          </w:p>
        </w:tc>
      </w:tr>
      <w:tr>
        <w:tc>
          <w:tcPr>
            <w:tcW w:type="dxa" w:w="22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3D Globe Component</w:t>
            </w:r>
          </w:p>
        </w:tc>
        <w:tc>
          <w:tcPr>
            <w:tcW w:type="dxa" w:w="28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Globe.GL / react-globe.gl</w:t>
            </w:r>
          </w:p>
        </w:tc>
        <w:tc>
          <w:tcPr>
            <w:tcW w:type="dxa" w:w="436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Open-source globe with heatmaps, labels, hex bins, animated init</w:t>
            </w:r>
          </w:p>
        </w:tc>
      </w:tr>
      <w:tr>
        <w:tc>
          <w:tcPr>
            <w:tcW w:type="dxa" w:w="22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Geospatial Overlays</w:t>
            </w:r>
          </w:p>
        </w:tc>
        <w:tc>
          <w:tcPr>
            <w:tcW w:type="dxa" w:w="28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deck.gl</w:t>
            </w:r>
          </w:p>
        </w:tc>
        <w:tc>
          <w:tcPr>
            <w:tcW w:type="dxa" w:w="436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Mature layers: HeatmapLayer, GridLayer, HexagonLayer</w:t>
            </w:r>
          </w:p>
        </w:tc>
      </w:tr>
      <w:tr>
        <w:tc>
          <w:tcPr>
            <w:tcW w:type="dxa" w:w="22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Résumé Ingestion</w:t>
            </w:r>
          </w:p>
        </w:tc>
        <w:tc>
          <w:tcPr>
            <w:tcW w:type="dxa" w:w="28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Unstructured + PyMuPDF + PyMuPDF4LLM</w:t>
            </w:r>
          </w:p>
        </w:tc>
        <w:tc>
          <w:tcPr>
            <w:tcW w:type="dxa" w:w="436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Layout-aware extraction; OCR only when needed</w:t>
            </w:r>
          </w:p>
        </w:tc>
      </w:tr>
      <w:tr>
        <w:tc>
          <w:tcPr>
            <w:tcW w:type="dxa" w:w="22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Résumé Schema</w:t>
            </w:r>
          </w:p>
        </w:tc>
        <w:tc>
          <w:tcPr>
            <w:tcW w:type="dxa" w:w="280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JSON Resume (extended)</w:t>
            </w:r>
          </w:p>
        </w:tc>
        <w:tc>
          <w:tcPr>
            <w:tcW w:type="dxa" w:w="4360"/>
            <w:tcBorders>
              <w:top w:val="single" w:color="AABCD0" w:sz="1"/>
              <w:left w:val="single" w:color="AABCD0" w:sz="1"/>
              <w:bottom w:val="single" w:color="AABCD0" w:sz="1"/>
              <w:right w:val="single" w:color="AABCD0" w:sz="1"/>
            </w:tcBorders>
            <w:shd w:fill="D0E4F7" w:val="clear"/>
            <w:tcMar>
              <w:top w:type="dxa" w:w="80"/>
              <w:left w:type="dxa" w:w="140"/>
              <w:bottom w:type="dxa" w:w="80"/>
              <w:right w:type="dxa" w:w="140"/>
            </w:tcMar>
          </w:tcPr>
          <w:p>
            <w:r>
              <w:rPr>
                <w:rFonts w:ascii="Arial" w:cs="Arial" w:eastAsia="Arial" w:hAnsi="Arial"/>
                <w:sz w:val="18"/>
                <w:szCs w:val="18"/>
              </w:rPr>
              <w:t xml:space="preserve">Useful baseline for canonicalising résumé structure</w:t>
            </w:r>
          </w:p>
        </w:tc>
      </w:tr>
      <w:tr>
        <w:tc>
          <w:tcPr>
            <w:tcW w:type="dxa" w:w="22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Campus/Cluster Inspiration</w:t>
            </w:r>
          </w:p>
        </w:tc>
        <w:tc>
          <w:tcPr>
            <w:tcW w:type="dxa" w:w="280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MIT Campus Map</w:t>
            </w:r>
          </w:p>
        </w:tc>
        <w:tc>
          <w:tcPr>
            <w:tcW w:type="dxa" w:w="4360"/>
            <w:tcBorders>
              <w:top w:val="single" w:color="AABCD0" w:sz="1"/>
              <w:left w:val="single" w:color="AABCD0" w:sz="1"/>
              <w:bottom w:val="single" w:color="AABCD0" w:sz="1"/>
              <w:right w:val="single" w:color="AABCD0" w:sz="1"/>
            </w:tcBorders>
            <w:shd w:fill="FFFFFF" w:val="clear"/>
            <w:tcMar>
              <w:top w:type="dxa" w:w="80"/>
              <w:left w:type="dxa" w:w="140"/>
              <w:bottom w:type="dxa" w:w="80"/>
              <w:right w:type="dxa" w:w="140"/>
            </w:tcMar>
          </w:tcPr>
          <w:p>
            <w:r>
              <w:rPr>
                <w:rFonts w:ascii="Arial" w:cs="Arial" w:eastAsia="Arial" w:hAnsi="Arial"/>
                <w:sz w:val="18"/>
                <w:szCs w:val="18"/>
              </w:rPr>
              <w:t xml:space="preserve">Reference for searchable, zoomable neighbourhood exploration</w:t>
            </w:r>
          </w:p>
        </w:tc>
      </w:tr>
    </w:tbl>
    <w:p>
      <w:pPr>
        <w:spacing w:after="60" w:before="60"/>
      </w:pPr>
    </w:p>
    <w:p>
      <w:pPr>
        <w:pStyle w:val="Heading2"/>
        <w:spacing w:after="160" w:before="280"/>
      </w:pPr>
      <w:r>
        <w:rPr>
          <w:rFonts w:ascii="Arial" w:cs="Arial" w:eastAsia="Arial" w:hAnsi="Arial"/>
          <w:b/>
          <w:bCs/>
          <w:color w:val="1E5FA8"/>
          <w:sz w:val="28"/>
          <w:szCs w:val="28"/>
        </w:rPr>
        <w:t xml:space="preserve">Sample Outreach Email</w:t>
      </w:r>
    </w:p>
    <w:p>
      <w:pPr>
        <w:spacing w:after="140" w:before="80"/>
      </w:pPr>
      <w:r>
        <w:rPr>
          <w:rFonts w:ascii="Arial" w:cs="Arial" w:eastAsia="Arial" w:hAnsi="Arial"/>
          <w:b/>
          <w:bCs/>
          <w:sz w:val="22"/>
          <w:szCs w:val="22"/>
        </w:rPr>
        <w:t xml:space="preserve">Subject: A new way to discover jobs globally with AI and geospatial UX</w:t>
      </w:r>
    </w:p>
    <w:p>
      <w:pPr>
        <w:spacing w:after="60" w:before="60"/>
      </w:pPr>
    </w:p>
    <w:p>
      <w:pPr>
        <w:spacing w:after="140" w:before="80"/>
      </w:pPr>
      <w:r>
        <w:rPr>
          <w:rFonts w:ascii="Arial" w:cs="Arial" w:eastAsia="Arial" w:hAnsi="Arial"/>
          <w:sz w:val="22"/>
          <w:szCs w:val="22"/>
        </w:rPr>
        <w:t xml:space="preserve">Hi [CEO Name],</w:t>
      </w:r>
    </w:p>
    <w:p>
      <w:pPr>
        <w:spacing w:after="60" w:before="60"/>
      </w:pPr>
    </w:p>
    <w:p>
      <w:pPr>
        <w:spacing w:after="140" w:before="80"/>
      </w:pPr>
      <w:r>
        <w:rPr>
          <w:rFonts w:ascii="Arial" w:cs="Arial" w:eastAsia="Arial" w:hAnsi="Arial"/>
          <w:sz w:val="22"/>
          <w:szCs w:val="22"/>
        </w:rPr>
        <w:t xml:space="preserve">I'm building Jarvis Job Globe, an agentic AI-powered job discovery product that turns fragmented job listings into a zoomable global interface.</w:t>
      </w:r>
    </w:p>
    <w:p>
      <w:pPr>
        <w:spacing w:after="60" w:before="60"/>
      </w:pPr>
    </w:p>
    <w:p>
      <w:pPr>
        <w:spacing w:after="140" w:before="80"/>
      </w:pPr>
      <w:r>
        <w:rPr>
          <w:rFonts w:ascii="Arial" w:cs="Arial" w:eastAsia="Arial" w:hAnsi="Arial"/>
          <w:sz w:val="22"/>
          <w:szCs w:val="22"/>
        </w:rPr>
        <w:t xml:space="preserve">Instead of a flat search page, users begin on a world heatmap, zoom from globe to country to city to neighbourhood, see which companies are hiring, open a right-side panel for verified roles, and apply through the official portal. Users can also upload a résumé, answer a short onboarding flow, and receive an explainable match score with skill-gap and interview-prep support.</w:t>
      </w:r>
    </w:p>
    <w:p>
      <w:pPr>
        <w:spacing w:after="60" w:before="60"/>
      </w:pPr>
    </w:p>
    <w:p>
      <w:pPr>
        <w:spacing w:after="140" w:before="80"/>
      </w:pPr>
      <w:r>
        <w:rPr>
          <w:rFonts w:ascii="Arial" w:cs="Arial" w:eastAsia="Arial" w:hAnsi="Arial"/>
          <w:sz w:val="22"/>
          <w:szCs w:val="22"/>
        </w:rPr>
        <w:t xml:space="preserve">What I think makes this interesting is that it combines geospatial discovery, official source verification, explainable AI matching, and trusted redirect-first applications.</w:t>
      </w:r>
    </w:p>
    <w:p>
      <w:pPr>
        <w:spacing w:after="60" w:before="60"/>
      </w:pPr>
    </w:p>
    <w:p>
      <w:pPr>
        <w:spacing w:after="140" w:before="80"/>
      </w:pPr>
      <w:r>
        <w:rPr>
          <w:rFonts w:ascii="Arial" w:cs="Arial" w:eastAsia="Arial" w:hAnsi="Arial"/>
          <w:sz w:val="22"/>
          <w:szCs w:val="22"/>
        </w:rPr>
        <w:t xml:space="preserve">I'm sharing the concept because I believe it could be relevant to the future of job search, student career discovery, and employer visibility. If useful, I'd love to send you a short demo deck or prototype walkthrough.</w:t>
      </w:r>
    </w:p>
    <w:p>
      <w:pPr>
        <w:spacing w:after="60" w:before="60"/>
      </w:pPr>
    </w:p>
    <w:p>
      <w:pPr>
        <w:spacing w:after="140" w:before="80"/>
      </w:pPr>
      <w:r>
        <w:rPr>
          <w:rFonts w:ascii="Arial" w:cs="Arial" w:eastAsia="Arial" w:hAnsi="Arial"/>
          <w:sz w:val="22"/>
          <w:szCs w:val="22"/>
        </w:rPr>
        <w:t xml:space="preserve">Best,</w:t>
      </w:r>
    </w:p>
    <w:p>
      <w:pPr>
        <w:spacing w:after="140" w:before="80"/>
      </w:pPr>
      <w:r>
        <w:rPr>
          <w:rFonts w:ascii="Arial" w:cs="Arial" w:eastAsia="Arial" w:hAnsi="Arial"/>
          <w:sz w:val="22"/>
          <w:szCs w:val="22"/>
        </w:rPr>
        <w:t xml:space="preserve">[Your Name]  ·  [University / Lab / Team]  ·  [Email]  ·  [LinkedIn or Portfolio]</w:t>
      </w:r>
    </w:p>
    <w:p>
      <w:pPr>
        <w:spacing w:after="60" w:before="60"/>
      </w:pPr>
    </w:p>
    <w:p>
      <w:pPr>
        <w:pStyle w:val="Heading2"/>
        <w:spacing w:after="160" w:before="280"/>
      </w:pPr>
      <w:r>
        <w:rPr>
          <w:rFonts w:ascii="Arial" w:cs="Arial" w:eastAsia="Arial" w:hAnsi="Arial"/>
          <w:b/>
          <w:bCs/>
          <w:color w:val="1E5FA8"/>
          <w:sz w:val="28"/>
          <w:szCs w:val="28"/>
        </w:rPr>
        <w:t xml:space="preserve">Demo Pitch Script</w:t>
      </w:r>
    </w:p>
    <w:p>
      <w:pPr>
        <w:pBdr>
          <w:left w:val="single" w:color="1E5FA8" w:sz="12" w:space="8"/>
        </w:pBdr>
        <w:spacing w:after="120" w:before="120"/>
        <w:ind w:left="360"/>
      </w:pPr>
      <w:r>
        <w:rPr>
          <w:rFonts w:ascii="Arial" w:cs="Arial" w:eastAsia="Arial" w:hAnsi="Arial"/>
          <w:b/>
          <w:bCs/>
          <w:color w:val="1E5FA8"/>
          <w:sz w:val="22"/>
          <w:szCs w:val="22"/>
        </w:rPr>
        <w:t xml:space="preserve">Opening: </w:t>
      </w:r>
      <w:r>
        <w:rPr>
          <w:rFonts w:ascii="Arial" w:cs="Arial" w:eastAsia="Arial" w:hAnsi="Arial"/>
          <w:sz w:val="22"/>
          <w:szCs w:val="22"/>
        </w:rPr>
        <w:t xml:space="preserve">Imagine opening a jobs product and, instead of typing into a blank form, you see the world itself as the interface. Hiring demand pulses on the globe. You zoom into a country, then a city, then an innovation district. At city level, the biggest hiring companies rise to the surface. On the right, every role opens with a verified path to the official portal.</w:t>
      </w:r>
    </w:p>
    <w:p>
      <w:pPr>
        <w:spacing w:after="60" w:before="60"/>
      </w:pPr>
    </w:p>
    <w:p>
      <w:pPr>
        <w:pBdr>
          <w:left w:val="single" w:color="1E5FA8" w:sz="12" w:space="8"/>
        </w:pBdr>
        <w:spacing w:after="120" w:before="120"/>
        <w:ind w:left="360"/>
      </w:pPr>
      <w:r>
        <w:rPr>
          <w:rFonts w:ascii="Arial" w:cs="Arial" w:eastAsia="Arial" w:hAnsi="Arial"/>
          <w:b/>
          <w:bCs/>
          <w:color w:val="1E5FA8"/>
          <w:sz w:val="22"/>
          <w:szCs w:val="22"/>
        </w:rPr>
        <w:t xml:space="preserve">Personalised Mode: </w:t>
      </w:r>
      <w:r>
        <w:rPr>
          <w:rFonts w:ascii="Arial" w:cs="Arial" w:eastAsia="Arial" w:hAnsi="Arial"/>
          <w:sz w:val="22"/>
          <w:szCs w:val="22"/>
        </w:rPr>
        <w:t xml:space="preserve">Now switch to personalised mode. I upload my résumé, answer six onboarding questions, and the system shows me not just a match score, but why: these are the skills I already have, these are the gaps, these are the closest roles nearby, and these are three interview questions I should prepare for before I click apply.</w:t>
      </w:r>
    </w:p>
    <w:p>
      <w:pPr>
        <w:spacing w:after="60" w:before="60"/>
      </w:pPr>
    </w:p>
    <w:p>
      <w:pPr>
        <w:pBdr>
          <w:left w:val="single" w:color="1E5FA8" w:sz="12" w:space="8"/>
        </w:pBdr>
        <w:spacing w:after="120" w:before="120"/>
        <w:ind w:left="360"/>
      </w:pPr>
      <w:r>
        <w:rPr>
          <w:rFonts w:ascii="Arial" w:cs="Arial" w:eastAsia="Arial" w:hAnsi="Arial"/>
          <w:b/>
          <w:bCs/>
          <w:color w:val="1E5FA8"/>
          <w:sz w:val="22"/>
          <w:szCs w:val="22"/>
        </w:rPr>
        <w:t xml:space="preserve">Closing: </w:t>
      </w:r>
      <w:r>
        <w:rPr>
          <w:rFonts w:ascii="Arial" w:cs="Arial" w:eastAsia="Arial" w:hAnsi="Arial"/>
          <w:sz w:val="22"/>
          <w:szCs w:val="22"/>
        </w:rPr>
        <w:t xml:space="preserve">Jarvis Job Globe is not trying to replace official applications. It is trying to become the intelligent navigation layer on top of the global job market.</w:t>
      </w:r>
    </w:p>
    <w:sectPr>
      <w:headerReference w:type="default" r:id="rId7"/>
      <w:footerReference w:type="default" r:id="rId8"/>
      <w:pgSz w:w="12240" w:h="15840" w:orient="portrait"/>
      <w:pgMar w:top="144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BCD0" w:sz="4" w:space="6"/>
      </w:pBdr>
      <w:tabs>
        <w:tab w:val="right" w:pos="9026"/>
      </w:tabs>
      <w:spacing w:before="120"/>
    </w:pPr>
    <w:r>
      <w:rPr>
        <w:rFonts w:ascii="Arial" w:cs="Arial" w:eastAsia="Arial" w:hAnsi="Arial"/>
        <w:color w:val="888888"/>
        <w:sz w:val="16"/>
        <w:szCs w:val="16"/>
      </w:rPr>
      <w:t xml:space="preserve">Jarvis Job Globe  ·  Confidential</w:t>
    </w:r>
    <w:r>
      <w:rPr>
        <w:rFonts w:ascii="Arial" w:cs="Arial" w:eastAsia="Arial" w:hAnsi="Arial"/>
        <w:sz w:val="16"/>
        <w:szCs w:val="16"/>
      </w:rPr>
      <w:t xml:space="preserve">	</w:t>
    </w:r>
    <w:r>
      <w:rPr>
        <w:rFonts w:ascii="Arial" w:cs="Arial" w:eastAsia="Arial" w:hAnsi="Arial"/>
        <w:color w:val="888888"/>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BCD0" w:sz="4" w:space="6"/>
      </w:pBdr>
      <w:spacing w:after="120"/>
    </w:pPr>
    <w:r>
      <w:rPr>
        <w:rFonts w:ascii="Arial" w:cs="Arial" w:eastAsia="Arial" w:hAnsi="Arial"/>
        <w:b/>
        <w:bCs/>
        <w:color w:val="0D2B55"/>
        <w:sz w:val="18"/>
        <w:szCs w:val="18"/>
      </w:rPr>
      <w:t xml:space="preserve">JARVIS JOB GLOBE</w:t>
    </w:r>
    <w:r>
      <w:rPr>
        <w:rFonts w:ascii="Arial" w:cs="Arial" w:eastAsia="Arial" w:hAnsi="Arial"/>
        <w:color w:val="777777"/>
        <w:sz w:val="18"/>
        <w:szCs w:val="18"/>
      </w:rPr>
      <w:t xml:space="preserve">  ·  Full Product &amp;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D2B55"/>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E5FA8"/>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2D6A9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2026-04-25T20:14:10.443Z</dcterms:created>
  <dcterms:modified xsi:type="dcterms:W3CDTF">2026-04-25T20:14:10.444Z</dcterms:modified>
</cp:coreProperties>
</file>

<file path=docProps/custom.xml><?xml version="1.0" encoding="utf-8"?>
<Properties xmlns="http://schemas.openxmlformats.org/officeDocument/2006/custom-properties" xmlns:vt="http://schemas.openxmlformats.org/officeDocument/2006/docPropsVTypes"/>
</file>