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Proposed Solution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06 March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SWTID-2026-4872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SpendWise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Proposed Solution Template:</w:t>
      </w: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S.No.</w:t>
            </w:r>
          </w:p>
        </w:tc>
        <w:tc>
          <w:tcPr/>
          <w:p w:rsidR="00000000" w:rsidDel="00000000" w:rsidP="00000000" w:rsidRDefault="00000000" w:rsidRPr="00000000" w14:paraId="0000000F">
            <w:pPr>
              <w:rPr>
                <w:b w:val="1"/>
              </w:rPr>
            </w:pPr>
            <w:r w:rsidDel="00000000" w:rsidR="00000000" w:rsidRPr="00000000">
              <w:rPr>
                <w:b w:val="1"/>
                <w:rtl w:val="0"/>
              </w:rPr>
              <w:t xml:space="preserve">Parameter</w:t>
            </w:r>
          </w:p>
        </w:tc>
        <w:tc>
          <w:tcPr/>
          <w:p w:rsidR="00000000" w:rsidDel="00000000" w:rsidP="00000000" w:rsidRDefault="00000000" w:rsidRPr="00000000" w14:paraId="00000010">
            <w:pPr>
              <w:rPr>
                <w:b w:val="1"/>
              </w:rPr>
            </w:pPr>
            <w:r w:rsidDel="00000000" w:rsidR="00000000" w:rsidRPr="00000000">
              <w:rPr>
                <w:b w:val="1"/>
                <w:rtl w:val="0"/>
              </w:rPr>
              <w:t xml:space="preserve">Description</w:t>
            </w:r>
          </w:p>
        </w:tc>
      </w:tr>
      <w:tr>
        <w:trPr>
          <w:cantSplit w:val="0"/>
          <w:trHeight w:val="817" w:hRule="atLeast"/>
          <w:tblHeader w:val="0"/>
        </w:trPr>
        <w:tc>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Many beginners find it difficult to understand backend development because examples are either too simple or too complex. They struggle to connect concepts like API creation, JWT authentication, and MongoDB integration into one complete working project.</w:t>
            </w:r>
          </w:p>
        </w:tc>
      </w:tr>
      <w:tr>
        <w:trPr>
          <w:cantSplit w:val="0"/>
          <w:trHeight w:val="817" w:hRule="atLeast"/>
          <w:tblHeader w:val="0"/>
        </w:trPr>
        <w:tc>
          <w:tcPr/>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cantSplit w:val="0"/>
          <w:trHeight w:val="787" w:hRule="atLeast"/>
          <w:tblHeader w:val="0"/>
        </w:trPr>
        <w:tc>
          <w:tcPr/>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cantSplit w:val="0"/>
          <w:trHeight w:val="817" w:hRule="atLeast"/>
          <w:tblHeader w:val="0"/>
        </w:trPr>
        <w:tc>
          <w:tcPr/>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SpendWise helps beginners gain practical backend skills, improving their understanding of web development and employability. It provides an accessible learning resource without paid tools and encourages hands-on practice with modern backend technologies.</w:t>
            </w:r>
          </w:p>
        </w:tc>
      </w:tr>
    </w:tbl>
    <w:p w:rsidR="00000000" w:rsidDel="00000000" w:rsidP="00000000" w:rsidRDefault="00000000" w:rsidRPr="00000000" w14:paraId="0000001D">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644" w:hanging="358.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