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7F7B3E3E"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___Parag Poddar________________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70DA8369"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Poddar____________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76932AFC" w:rsidR="00056F38" w:rsidRPr="00DB41E3" w:rsidRDefault="00056F38">
      <w:pPr>
        <w:rPr>
          <w:rFonts w:ascii="Times New Roman" w:eastAsia="Times New Roman" w:hAnsi="Times New Roman" w:cs="Times New Roman"/>
          <w:b/>
          <w:lang w:val="en-AU" w:eastAsia="en-GB"/>
        </w:rPr>
      </w:pPr>
      <w:r>
        <w:t>Date: ________18-04-2023____________</w:t>
      </w:r>
    </w:p>
    <w:p w14:paraId="690A6A89" w14:textId="51AE25CA" w:rsidR="00E764AF" w:rsidRPr="00DB41E3" w:rsidRDefault="00056F38">
      <w:pPr>
        <w:rPr>
          <w:rFonts w:ascii="Times New Roman" w:eastAsia="Times New Roman" w:hAnsi="Times New Roman" w:cs="Times New Roman"/>
          <w:b/>
          <w:lang w:val="en-AU" w:eastAsia="en-GB"/>
        </w:rPr>
      </w:pPr>
      <w:r>
        <w:t>Place: ___Hyderabad_________________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 xml:space="preserve">Mr. </w:t>
            </w:r>
            <w:proofErr w:type="spellStart"/>
            <w:r w:rsidRPr="00CC18FA">
              <w:rPr>
                <w:rFonts w:ascii="Times New Roman" w:hAnsi="Times New Roman" w:cs="Times New Roman"/>
                <w:b/>
                <w:color w:val="0D0D0D" w:themeColor="text1" w:themeTint="F2"/>
              </w:rPr>
              <w:t>Atul</w:t>
            </w:r>
            <w:proofErr w:type="spellEnd"/>
            <w:r w:rsidRPr="00CC18FA">
              <w:rPr>
                <w:rFonts w:ascii="Times New Roman" w:hAnsi="Times New Roman" w:cs="Times New Roman"/>
                <w:b/>
                <w:color w:val="0D0D0D" w:themeColor="text1" w:themeTint="F2"/>
              </w:rPr>
              <w:t xml:space="preserve">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 xml:space="preserve">702 </w:t>
            </w:r>
            <w:proofErr w:type="spellStart"/>
            <w:r w:rsidR="00D11001" w:rsidRPr="000736AD">
              <w:rPr>
                <w:rFonts w:ascii="Times New Roman" w:hAnsi="Times New Roman"/>
                <w:bCs/>
                <w:iCs/>
                <w:color w:val="0D0D0D" w:themeColor="text1" w:themeTint="F2"/>
              </w:rPr>
              <w:t>Arihant</w:t>
            </w:r>
            <w:proofErr w:type="spellEnd"/>
            <w:r w:rsidR="00D11001" w:rsidRPr="000736AD">
              <w:rPr>
                <w:rFonts w:ascii="Times New Roman" w:hAnsi="Times New Roman"/>
                <w:bCs/>
                <w:iCs/>
                <w:color w:val="0D0D0D" w:themeColor="text1" w:themeTint="F2"/>
              </w:rPr>
              <w: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w:t>
            </w:r>
            <w:proofErr w:type="spellStart"/>
            <w:r w:rsidR="00D11001" w:rsidRPr="000736AD">
              <w:rPr>
                <w:rFonts w:ascii="Times New Roman" w:hAnsi="Times New Roman"/>
                <w:bCs/>
                <w:iCs/>
                <w:color w:val="0D0D0D" w:themeColor="text1" w:themeTint="F2"/>
              </w:rPr>
              <w:t>Khar</w:t>
            </w:r>
            <w:proofErr w:type="spellEnd"/>
            <w:r w:rsidR="00D11001" w:rsidRPr="000736AD">
              <w:rPr>
                <w:rFonts w:ascii="Times New Roman" w:hAnsi="Times New Roman"/>
                <w:bCs/>
                <w:iCs/>
                <w:color w:val="0D0D0D" w:themeColor="text1" w:themeTint="F2"/>
              </w:rPr>
              <w:t xml:space="preserve"> </w:t>
            </w:r>
            <w:proofErr w:type="spellStart"/>
            <w:r w:rsidR="00D11001" w:rsidRPr="000736AD">
              <w:rPr>
                <w:rFonts w:ascii="Times New Roman" w:hAnsi="Times New Roman"/>
                <w:bCs/>
                <w:iCs/>
                <w:color w:val="0D0D0D" w:themeColor="text1" w:themeTint="F2"/>
              </w:rPr>
              <w:t>Gulnaz</w:t>
            </w:r>
            <w:proofErr w:type="spellEnd"/>
            <w:r w:rsidR="00D11001" w:rsidRPr="000736AD">
              <w:rPr>
                <w:rFonts w:ascii="Times New Roman" w:hAnsi="Times New Roman"/>
                <w:bCs/>
                <w:iCs/>
                <w:color w:val="0D0D0D" w:themeColor="text1" w:themeTint="F2"/>
              </w:rPr>
              <w:t xml:space="preserve"> CHS Ltd., Plot 613 B, </w:t>
            </w:r>
            <w:proofErr w:type="spellStart"/>
            <w:r w:rsidR="00D11001" w:rsidRPr="000736AD">
              <w:rPr>
                <w:rFonts w:ascii="Times New Roman" w:hAnsi="Times New Roman"/>
                <w:bCs/>
                <w:iCs/>
                <w:color w:val="0D0D0D" w:themeColor="text1" w:themeTint="F2"/>
              </w:rPr>
              <w:t>Bandra</w:t>
            </w:r>
            <w:proofErr w:type="spellEnd"/>
            <w:r w:rsidR="00D11001" w:rsidRPr="000736AD">
              <w:rPr>
                <w:rFonts w:ascii="Times New Roman" w:hAnsi="Times New Roman"/>
                <w:bCs/>
                <w:iCs/>
                <w:color w:val="0D0D0D" w:themeColor="text1" w:themeTint="F2"/>
              </w:rPr>
              <w:t xml:space="preserve">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w:t>
            </w:r>
            <w:proofErr w:type="spellStart"/>
            <w:r w:rsidRPr="00DB41E3">
              <w:rPr>
                <w:rFonts w:ascii="Times New Roman" w:hAnsi="Times New Roman" w:cs="Times New Roman"/>
              </w:rPr>
              <w:t>Comme</w:t>
            </w:r>
            <w:r w:rsidR="00DE452E" w:rsidRPr="00DB41E3">
              <w:rPr>
                <w:rFonts w:ascii="Times New Roman" w:hAnsi="Times New Roman" w:cs="Times New Roman"/>
              </w:rPr>
              <w:t>r</w:t>
            </w:r>
            <w:r w:rsidRPr="00DB41E3">
              <w:rPr>
                <w:rFonts w:ascii="Times New Roman" w:hAnsi="Times New Roman" w:cs="Times New Roman"/>
              </w:rPr>
              <w:t>cia</w:t>
            </w:r>
            <w:proofErr w:type="spellEnd"/>
            <w:r w:rsidRPr="00DB41E3">
              <w:rPr>
                <w:rFonts w:ascii="Times New Roman" w:hAnsi="Times New Roman" w:cs="Times New Roman"/>
              </w:rPr>
              <w:t xml:space="preserve">, Off Andheri </w:t>
            </w:r>
            <w:proofErr w:type="spellStart"/>
            <w:r w:rsidRPr="00DB41E3">
              <w:rPr>
                <w:rFonts w:ascii="Times New Roman" w:hAnsi="Times New Roman" w:cs="Times New Roman"/>
              </w:rPr>
              <w:t>Kurla</w:t>
            </w:r>
            <w:proofErr w:type="spellEnd"/>
            <w:r w:rsidRPr="00DB41E3">
              <w:rPr>
                <w:rFonts w:ascii="Times New Roman" w:hAnsi="Times New Roman" w:cs="Times New Roman"/>
              </w:rPr>
              <w:t xml:space="preserve">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 xml:space="preserve">Office No. 203/204, B Wing, Mittal </w:t>
            </w:r>
            <w:proofErr w:type="spellStart"/>
            <w:r w:rsidR="00E75759" w:rsidRPr="00DB41E3">
              <w:rPr>
                <w:rFonts w:ascii="Times New Roman" w:hAnsi="Times New Roman" w:cs="Times New Roman"/>
              </w:rPr>
              <w:t>Comme</w:t>
            </w:r>
            <w:r w:rsidR="00DE452E" w:rsidRPr="00DB41E3">
              <w:rPr>
                <w:rFonts w:ascii="Times New Roman" w:hAnsi="Times New Roman" w:cs="Times New Roman"/>
              </w:rPr>
              <w:t>r</w:t>
            </w:r>
            <w:r w:rsidR="00E75759" w:rsidRPr="00DB41E3">
              <w:rPr>
                <w:rFonts w:ascii="Times New Roman" w:hAnsi="Times New Roman" w:cs="Times New Roman"/>
              </w:rPr>
              <w:t>cia</w:t>
            </w:r>
            <w:proofErr w:type="spellEnd"/>
            <w:r w:rsidR="00E75759" w:rsidRPr="00DB41E3">
              <w:rPr>
                <w:rFonts w:ascii="Times New Roman" w:hAnsi="Times New Roman" w:cs="Times New Roman"/>
              </w:rPr>
              <w:t xml:space="preserve">, Off Andheri </w:t>
            </w:r>
            <w:proofErr w:type="spellStart"/>
            <w:r w:rsidR="00E75759" w:rsidRPr="00DB41E3">
              <w:rPr>
                <w:rFonts w:ascii="Times New Roman" w:hAnsi="Times New Roman" w:cs="Times New Roman"/>
              </w:rPr>
              <w:t>Kurla</w:t>
            </w:r>
            <w:proofErr w:type="spellEnd"/>
            <w:r w:rsidR="00E75759" w:rsidRPr="00DB41E3">
              <w:rPr>
                <w:rFonts w:ascii="Times New Roman" w:hAnsi="Times New Roman" w:cs="Times New Roman"/>
              </w:rPr>
              <w:t xml:space="preserve">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xml:space="preserve">: 4C &amp; D </w:t>
            </w:r>
            <w:proofErr w:type="spellStart"/>
            <w:r w:rsidRPr="00DB41E3">
              <w:rPr>
                <w:rFonts w:ascii="Times New Roman" w:hAnsi="Times New Roman" w:cs="Times New Roman"/>
                <w:color w:val="0D0D0D" w:themeColor="text1" w:themeTint="F2"/>
              </w:rPr>
              <w:t>Siddhivinayak</w:t>
            </w:r>
            <w:proofErr w:type="spellEnd"/>
            <w:r w:rsidRPr="00DB41E3">
              <w:rPr>
                <w:rFonts w:ascii="Times New Roman" w:hAnsi="Times New Roman" w:cs="Times New Roman"/>
                <w:color w:val="0D0D0D" w:themeColor="text1" w:themeTint="F2"/>
              </w:rPr>
              <w:t xml:space="preserve"> Chambers, Gandhi Nagar, Opposite MIG Cricket Club, </w:t>
            </w:r>
            <w:proofErr w:type="spellStart"/>
            <w:r w:rsidRPr="00DB41E3">
              <w:rPr>
                <w:rFonts w:ascii="Times New Roman" w:hAnsi="Times New Roman" w:cs="Times New Roman"/>
                <w:color w:val="0D0D0D" w:themeColor="text1" w:themeTint="F2"/>
              </w:rPr>
              <w:t>Bandra</w:t>
            </w:r>
            <w:proofErr w:type="spellEnd"/>
            <w:r w:rsidRPr="00DB41E3">
              <w:rPr>
                <w:rFonts w:ascii="Times New Roman" w:hAnsi="Times New Roman" w:cs="Times New Roman"/>
                <w:color w:val="0D0D0D" w:themeColor="text1" w:themeTint="F2"/>
              </w:rPr>
              <w:t xml:space="preserve">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 xml:space="preserve">209, </w:t>
            </w:r>
            <w:proofErr w:type="spellStart"/>
            <w:r w:rsidR="00EE5BB3" w:rsidRPr="00DB41E3">
              <w:rPr>
                <w:rFonts w:ascii="Times New Roman" w:hAnsi="Times New Roman"/>
              </w:rPr>
              <w:t>Hubtown</w:t>
            </w:r>
            <w:proofErr w:type="spellEnd"/>
            <w:r w:rsidR="00EE5BB3" w:rsidRPr="00DB41E3">
              <w:rPr>
                <w:rFonts w:ascii="Times New Roman" w:hAnsi="Times New Roman"/>
              </w:rPr>
              <w:t xml:space="preserve"> Solaris</w:t>
            </w:r>
            <w:r w:rsidRPr="00DB41E3">
              <w:rPr>
                <w:rFonts w:ascii="Times New Roman" w:hAnsi="Times New Roman"/>
              </w:rPr>
              <w:t xml:space="preserve">, </w:t>
            </w:r>
            <w:r w:rsidR="00EE5BB3" w:rsidRPr="00DB41E3">
              <w:rPr>
                <w:rFonts w:ascii="Times New Roman" w:hAnsi="Times New Roman"/>
              </w:rPr>
              <w:t xml:space="preserve">Prof. N.S. </w:t>
            </w:r>
            <w:proofErr w:type="spellStart"/>
            <w:r w:rsidR="00EE5BB3" w:rsidRPr="00DB41E3">
              <w:rPr>
                <w:rFonts w:ascii="Times New Roman" w:hAnsi="Times New Roman"/>
              </w:rPr>
              <w:t>Phadke</w:t>
            </w:r>
            <w:proofErr w:type="spellEnd"/>
            <w:r w:rsidR="00EE5BB3" w:rsidRPr="00DB41E3">
              <w:rPr>
                <w:rFonts w:ascii="Times New Roman" w:hAnsi="Times New Roman"/>
              </w:rPr>
              <w:t xml:space="preserv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 xml:space="preserve">Price Waterhouse &amp; Co LLP, </w:t>
            </w:r>
            <w:proofErr w:type="spellStart"/>
            <w:r w:rsidR="004D5840" w:rsidRPr="00DB41E3">
              <w:rPr>
                <w:rFonts w:ascii="Times New Roman" w:hAnsi="Times New Roman" w:cs="Times New Roman"/>
                <w:lang w:val="en-IN"/>
              </w:rPr>
              <w:t>Sucheta</w:t>
            </w:r>
            <w:proofErr w:type="spellEnd"/>
            <w:r w:rsidR="004D5840" w:rsidRPr="00DB41E3">
              <w:rPr>
                <w:rFonts w:ascii="Times New Roman" w:hAnsi="Times New Roman" w:cs="Times New Roman"/>
                <w:lang w:val="en-IN"/>
              </w:rPr>
              <w:t xml:space="preserve"> </w:t>
            </w:r>
            <w:proofErr w:type="spellStart"/>
            <w:r w:rsidR="004D5840" w:rsidRPr="00DB41E3">
              <w:rPr>
                <w:rFonts w:ascii="Times New Roman" w:hAnsi="Times New Roman" w:cs="Times New Roman"/>
                <w:lang w:val="en-IN"/>
              </w:rPr>
              <w:t>Bhawan</w:t>
            </w:r>
            <w:proofErr w:type="spellEnd"/>
            <w:r w:rsidR="004D5840" w:rsidRPr="00DB41E3">
              <w:rPr>
                <w:rFonts w:ascii="Times New Roman" w:hAnsi="Times New Roman" w:cs="Times New Roman"/>
                <w:lang w:val="en-IN"/>
              </w:rPr>
              <w:t xml:space="preserve">, 11-A, Vishnu </w:t>
            </w:r>
            <w:proofErr w:type="spellStart"/>
            <w:r w:rsidR="004D5840" w:rsidRPr="00DB41E3">
              <w:rPr>
                <w:rFonts w:ascii="Times New Roman" w:hAnsi="Times New Roman" w:cs="Times New Roman"/>
                <w:lang w:val="en-IN"/>
              </w:rPr>
              <w:t>Digambar</w:t>
            </w:r>
            <w:proofErr w:type="spellEnd"/>
            <w:r w:rsidR="004D5840" w:rsidRPr="00DB41E3">
              <w:rPr>
                <w:rFonts w:ascii="Times New Roman" w:hAnsi="Times New Roman" w:cs="Times New Roman"/>
                <w:lang w:val="en-IN"/>
              </w:rPr>
              <w:t xml:space="preserve">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proofErr w:type="spellStart"/>
            <w:r w:rsidRPr="00DB41E3">
              <w:rPr>
                <w:rFonts w:ascii="Times New Roman" w:hAnsi="Times New Roman" w:cs="Times New Roman"/>
                <w:b/>
                <w:lang w:val="en-IN"/>
              </w:rPr>
              <w:t>Fedex</w:t>
            </w:r>
            <w:proofErr w:type="spellEnd"/>
            <w:r w:rsidRPr="00DB41E3">
              <w:rPr>
                <w:rFonts w:ascii="Times New Roman" w:hAnsi="Times New Roman" w:cs="Times New Roman"/>
                <w:b/>
                <w:lang w:val="en-IN"/>
              </w:rPr>
              <w:t xml:space="preserve">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 xml:space="preserve">B7 Wing, Jay Chambers, </w:t>
            </w:r>
            <w:proofErr w:type="spellStart"/>
            <w:r w:rsidR="00305A09" w:rsidRPr="00DB41E3">
              <w:rPr>
                <w:rFonts w:ascii="Times New Roman" w:hAnsi="Times New Roman" w:cs="Times New Roman"/>
                <w:lang w:val="en-IN"/>
              </w:rPr>
              <w:t>Dayaldas</w:t>
            </w:r>
            <w:proofErr w:type="spellEnd"/>
            <w:r w:rsidR="00305A09" w:rsidRPr="00DB41E3">
              <w:rPr>
                <w:rFonts w:ascii="Times New Roman" w:hAnsi="Times New Roman" w:cs="Times New Roman"/>
                <w:lang w:val="en-IN"/>
              </w:rPr>
              <w:t xml:space="preserve"> Road, Ville </w:t>
            </w:r>
            <w:proofErr w:type="spellStart"/>
            <w:r w:rsidR="00305A09" w:rsidRPr="00DB41E3">
              <w:rPr>
                <w:rFonts w:ascii="Times New Roman" w:hAnsi="Times New Roman" w:cs="Times New Roman"/>
                <w:lang w:val="en-IN"/>
              </w:rPr>
              <w:t>Parle</w:t>
            </w:r>
            <w:proofErr w:type="spellEnd"/>
            <w:r w:rsidR="00305A09" w:rsidRPr="00DB41E3">
              <w:rPr>
                <w:rFonts w:ascii="Times New Roman" w:hAnsi="Times New Roman" w:cs="Times New Roman"/>
                <w:lang w:val="en-IN"/>
              </w:rPr>
              <w:t xml:space="preserv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BA39D5">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 xml:space="preserve">Mr. </w:t>
            </w:r>
            <w:proofErr w:type="spellStart"/>
            <w:r w:rsidRPr="00DB41E3">
              <w:rPr>
                <w:rFonts w:ascii="Times New Roman" w:hAnsi="Times New Roman" w:cs="Times New Roman"/>
                <w:b/>
                <w:color w:val="0D0D0D" w:themeColor="text1" w:themeTint="F2"/>
              </w:rPr>
              <w:t>Atul</w:t>
            </w:r>
            <w:proofErr w:type="spellEnd"/>
            <w:r w:rsidRPr="00DB41E3">
              <w:rPr>
                <w:rFonts w:ascii="Times New Roman" w:hAnsi="Times New Roman" w:cs="Times New Roman"/>
                <w:b/>
                <w:color w:val="0D0D0D" w:themeColor="text1" w:themeTint="F2"/>
              </w:rPr>
              <w:t xml:space="preserve">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proofErr w:type="spellStart"/>
            <w:r w:rsidR="002F697B" w:rsidRPr="00DB41E3">
              <w:rPr>
                <w:rFonts w:ascii="Times New Roman" w:hAnsi="Times New Roman" w:cs="Times New Roman"/>
                <w:lang w:val="en-IN"/>
              </w:rPr>
              <w:t>Rs</w:t>
            </w:r>
            <w:proofErr w:type="spellEnd"/>
            <w:r w:rsidR="002F697B" w:rsidRPr="00DB41E3">
              <w:rPr>
                <w:rFonts w:ascii="Times New Roman" w:hAnsi="Times New Roman" w:cs="Times New Roman"/>
                <w:lang w:val="en-IN"/>
              </w:rPr>
              <w:t xml:space="preserve">.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eastAsia="Times New Roman" w:hAnsi="Times New Roman" w:cs="Times New Roman"/>
                <w:lang w:val="en-IN"/>
              </w:rPr>
              <w:t>lass</w:t>
            </w:r>
            <w:proofErr w:type="spellEnd"/>
            <w:r w:rsidRPr="00DB41E3">
              <w:rPr>
                <w:rFonts w:ascii="Times New Roman" w:eastAsia="Times New Roman" w:hAnsi="Times New Roman" w:cs="Times New Roman"/>
                <w:lang w:val="en-IN"/>
              </w:rPr>
              <w:t xml:space="preserve">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5,00,00,000 (Indian Rupees Five Crores), whichever is lower</w:t>
                  </w:r>
                  <w:r w:rsidR="009C22CF" w:rsidRPr="00DB41E3">
                    <w:rPr>
                      <w:sz w:val="22"/>
                      <w:szCs w:val="22"/>
                      <w:lang w:val="en-IN"/>
                    </w:rPr>
                    <w:t xml:space="preserve"> or </w:t>
                  </w:r>
                  <w:proofErr w:type="spellStart"/>
                  <w:r w:rsidR="009C22CF" w:rsidRPr="00DB41E3">
                    <w:rPr>
                      <w:sz w:val="22"/>
                      <w:szCs w:val="22"/>
                      <w:lang w:val="en-IN"/>
                    </w:rPr>
                    <w:t>Rs</w:t>
                  </w:r>
                  <w:proofErr w:type="spellEnd"/>
                  <w:r w:rsidR="009C22CF" w:rsidRPr="00DB41E3">
                    <w:rPr>
                      <w:sz w:val="22"/>
                      <w:szCs w:val="22"/>
                      <w:lang w:val="en-IN"/>
                    </w:rPr>
                    <w:t>.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proofErr w:type="spellStart"/>
                  <w:r w:rsidRPr="00DB41E3">
                    <w:rPr>
                      <w:lang w:val="en-IN"/>
                    </w:rPr>
                    <w:t>Rs</w:t>
                  </w:r>
                  <w:proofErr w:type="spellEnd"/>
                  <w:r w:rsidRPr="00DB41E3">
                    <w:rPr>
                      <w:lang w:val="en-IN"/>
                    </w:rPr>
                    <w:t>.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w:t>
                  </w:r>
                  <w:proofErr w:type="spellStart"/>
                  <w:r w:rsidRPr="00DB41E3">
                    <w:rPr>
                      <w:sz w:val="22"/>
                      <w:szCs w:val="22"/>
                      <w:lang w:val="en-IN"/>
                    </w:rPr>
                    <w:t>Rs</w:t>
                  </w:r>
                  <w:proofErr w:type="spellEnd"/>
                  <w:r w:rsidRPr="00DB41E3">
                    <w:rPr>
                      <w:sz w:val="22"/>
                      <w:szCs w:val="22"/>
                      <w:lang w:val="en-IN"/>
                    </w:rPr>
                    <w:t xml:space="preserve">.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xml:space="preserve">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w:t>
            </w:r>
            <w:proofErr w:type="spellStart"/>
            <w:r w:rsidRPr="00DB41E3">
              <w:rPr>
                <w:rFonts w:ascii="Times New Roman" w:hAnsi="Times New Roman" w:cs="Times New Roman"/>
                <w:lang w:val="en-IN"/>
              </w:rPr>
              <w:t>Rs</w:t>
            </w:r>
            <w:proofErr w:type="spellEnd"/>
            <w:r w:rsidRPr="00DB41E3">
              <w:rPr>
                <w:rFonts w:ascii="Times New Roman" w:hAnsi="Times New Roman" w:cs="Times New Roman"/>
                <w:lang w:val="en-IN"/>
              </w:rPr>
              <w:t xml:space="preserve">.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proofErr w:type="spellStart"/>
            <w:r w:rsidR="001177AB">
              <w:rPr>
                <w:rFonts w:ascii="Times New Roman" w:hAnsi="Times New Roman" w:cs="Times New Roman"/>
                <w:lang w:val="en-IN"/>
              </w:rPr>
              <w:t>Ko</w:t>
            </w:r>
            <w:proofErr w:type="spellEnd"/>
            <w:r w:rsidR="001177AB">
              <w:rPr>
                <w:rFonts w:ascii="Times New Roman" w:hAnsi="Times New Roman" w:cs="Times New Roman"/>
                <w:lang w:val="en-IN"/>
              </w:rPr>
              <w:t xml:space="preserve">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w:t>
            </w:r>
            <w:proofErr w:type="spellStart"/>
            <w:r w:rsidR="009A5491" w:rsidRPr="00DB41E3">
              <w:rPr>
                <w:rFonts w:ascii="Times New Roman" w:hAnsi="Times New Roman" w:cs="Times New Roman"/>
                <w:lang w:val="en-IN"/>
              </w:rPr>
              <w:t>Rs</w:t>
            </w:r>
            <w:proofErr w:type="spellEnd"/>
            <w:r w:rsidR="009A5491" w:rsidRPr="00DB41E3">
              <w:rPr>
                <w:rFonts w:ascii="Times New Roman" w:hAnsi="Times New Roman" w:cs="Times New Roman"/>
                <w:lang w:val="en-IN"/>
              </w:rPr>
              <w:t xml:space="preserve">. </w:t>
            </w:r>
            <w:r w:rsidR="00F76BDD" w:rsidRPr="00DB41E3">
              <w:rPr>
                <w:rFonts w:ascii="Times New Roman" w:hAnsi="Times New Roman" w:cs="Times New Roman"/>
                <w:lang w:val="en-IN"/>
              </w:rPr>
              <w:t>20</w:t>
            </w:r>
            <w:proofErr w:type="gramStart"/>
            <w:r w:rsidR="009A5491" w:rsidRPr="00DB41E3">
              <w:rPr>
                <w:rFonts w:ascii="Times New Roman" w:hAnsi="Times New Roman" w:cs="Times New Roman"/>
                <w:lang w:val="en-IN"/>
              </w:rPr>
              <w:t>,00,00,000</w:t>
            </w:r>
            <w:proofErr w:type="gramEnd"/>
            <w:r w:rsidR="009A5491" w:rsidRPr="00DB41E3">
              <w:rPr>
                <w:rFonts w:ascii="Times New Roman" w:hAnsi="Times New Roman" w:cs="Times New Roman"/>
                <w:lang w:val="en-IN"/>
              </w:rPr>
              <w:t xml:space="preserve">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w:t>
            </w:r>
            <w:proofErr w:type="spellStart"/>
            <w:r w:rsidRPr="00DB41E3">
              <w:rPr>
                <w:rFonts w:ascii="Times New Roman" w:hAnsi="Times New Roman" w:cs="Times New Roman"/>
                <w:color w:val="000000" w:themeColor="text1"/>
                <w:lang w:val="en-IN"/>
              </w:rPr>
              <w:t>leviable</w:t>
            </w:r>
            <w:proofErr w:type="spellEnd"/>
            <w:r w:rsidRPr="00DB41E3">
              <w:rPr>
                <w:rFonts w:ascii="Times New Roman" w:hAnsi="Times New Roman" w:cs="Times New Roman"/>
                <w:color w:val="000000" w:themeColor="text1"/>
                <w:lang w:val="en-IN"/>
              </w:rPr>
              <w:t xml:space="preserv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proofErr w:type="gramStart"/>
            <w:r w:rsidR="009241A8" w:rsidRPr="00DB41E3">
              <w:rPr>
                <w:rFonts w:ascii="Times New Roman" w:hAnsi="Times New Roman" w:cs="Times New Roman"/>
                <w:iCs/>
                <w:w w:val="0"/>
                <w:sz w:val="22"/>
                <w:szCs w:val="22"/>
              </w:rPr>
              <w:t>is</w:t>
            </w:r>
            <w:proofErr w:type="gramEnd"/>
            <w:r w:rsidR="009241A8" w:rsidRPr="00DB41E3">
              <w:rPr>
                <w:rFonts w:ascii="Times New Roman" w:hAnsi="Times New Roman" w:cs="Times New Roman"/>
                <w:iCs/>
                <w:w w:val="0"/>
                <w:sz w:val="22"/>
                <w:szCs w:val="22"/>
              </w:rPr>
              <w:t xml:space="preserve">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proofErr w:type="spellStart"/>
            <w:r w:rsidRPr="00DB41E3">
              <w:rPr>
                <w:rFonts w:ascii="Times New Roman" w:hAnsi="Times New Roman" w:cs="Times New Roman"/>
                <w:sz w:val="22"/>
                <w:szCs w:val="22"/>
              </w:rPr>
              <w:lastRenderedPageBreak/>
              <w:t>Kae</w:t>
            </w:r>
            <w:proofErr w:type="spellEnd"/>
            <w:r w:rsidRPr="00DB41E3">
              <w:rPr>
                <w:rFonts w:ascii="Times New Roman" w:hAnsi="Times New Roman" w:cs="Times New Roman"/>
                <w:sz w:val="22"/>
                <w:szCs w:val="22"/>
              </w:rPr>
              <w:t xml:space="preserv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Capital, a premier VC fund. </w:t>
            </w:r>
            <w:proofErr w:type="spellStart"/>
            <w:r w:rsidRPr="00DB41E3">
              <w:rPr>
                <w:rFonts w:ascii="Times New Roman" w:hAnsi="Times New Roman" w:cs="Times New Roman"/>
              </w:rPr>
              <w:t>Navin</w:t>
            </w:r>
            <w:proofErr w:type="spellEnd"/>
            <w:r w:rsidRPr="00DB41E3">
              <w:rPr>
                <w:rFonts w:ascii="Times New Roman" w:hAnsi="Times New Roman" w:cs="Times New Roman"/>
              </w:rPr>
              <w:t xml:space="preserve"> led several investments for </w:t>
            </w:r>
            <w:proofErr w:type="spellStart"/>
            <w:r w:rsidRPr="00DB41E3">
              <w:rPr>
                <w:rFonts w:ascii="Times New Roman" w:hAnsi="Times New Roman" w:cs="Times New Roman"/>
              </w:rPr>
              <w:t>Kae</w:t>
            </w:r>
            <w:proofErr w:type="spellEnd"/>
            <w:r w:rsidRPr="00DB41E3">
              <w:rPr>
                <w:rFonts w:ascii="Times New Roman" w:hAnsi="Times New Roman" w:cs="Times New Roman"/>
              </w:rPr>
              <w:t xml:space="preserv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w:t>
            </w:r>
            <w:proofErr w:type="spellStart"/>
            <w:r w:rsidRPr="00DB41E3">
              <w:rPr>
                <w:rFonts w:ascii="Times New Roman" w:hAnsi="Times New Roman" w:cs="Times New Roman"/>
              </w:rPr>
              <w:t>Resfeber</w:t>
            </w:r>
            <w:proofErr w:type="spellEnd"/>
            <w:r w:rsidRPr="00DB41E3">
              <w:rPr>
                <w:rFonts w:ascii="Times New Roman" w:hAnsi="Times New Roman" w:cs="Times New Roman"/>
              </w:rPr>
              <w:t xml:space="preserve"> Labs, </w:t>
            </w:r>
            <w:proofErr w:type="spellStart"/>
            <w:r w:rsidRPr="00DB41E3">
              <w:rPr>
                <w:rFonts w:ascii="Times New Roman" w:hAnsi="Times New Roman" w:cs="Times New Roman"/>
              </w:rPr>
              <w:t>Loantap</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Snapmint</w:t>
            </w:r>
            <w:proofErr w:type="spellEnd"/>
            <w:r w:rsidRPr="00DB41E3">
              <w:rPr>
                <w:rFonts w:ascii="Times New Roman" w:hAnsi="Times New Roman" w:cs="Times New Roman"/>
              </w:rPr>
              <w:t xml:space="preserve">, </w:t>
            </w:r>
            <w:proofErr w:type="spellStart"/>
            <w:r w:rsidRPr="00DB41E3">
              <w:rPr>
                <w:rFonts w:ascii="Times New Roman" w:hAnsi="Times New Roman" w:cs="Times New Roman"/>
              </w:rPr>
              <w:t>Loanzen</w:t>
            </w:r>
            <w:proofErr w:type="spellEnd"/>
            <w:r w:rsidRPr="00DB41E3">
              <w:rPr>
                <w:rFonts w:ascii="Times New Roman" w:hAnsi="Times New Roman" w:cs="Times New Roman"/>
              </w:rPr>
              <w:t>,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led an investment in </w:t>
            </w:r>
            <w:proofErr w:type="spellStart"/>
            <w:r w:rsidRPr="00DB41E3">
              <w:rPr>
                <w:rFonts w:ascii="Times New Roman" w:hAnsi="Times New Roman" w:cs="Times New Roman"/>
              </w:rPr>
              <w:t>PayTM</w:t>
            </w:r>
            <w:proofErr w:type="spellEnd"/>
            <w:r w:rsidRPr="00DB41E3">
              <w:rPr>
                <w:rFonts w:ascii="Times New Roman" w:hAnsi="Times New Roman" w:cs="Times New Roman"/>
              </w:rPr>
              <w:t xml:space="preserve"> which returned over </w:t>
            </w:r>
            <w:proofErr w:type="gramStart"/>
            <w:r w:rsidRPr="00DB41E3">
              <w:rPr>
                <w:rFonts w:ascii="Times New Roman" w:hAnsi="Times New Roman" w:cs="Times New Roman"/>
              </w:rPr>
              <w:t>50x</w:t>
            </w:r>
            <w:proofErr w:type="gramEnd"/>
            <w:r w:rsidRPr="00DB41E3">
              <w:rPr>
                <w:rFonts w:ascii="Times New Roman" w:hAnsi="Times New Roman" w:cs="Times New Roman"/>
              </w:rPr>
              <w:t>.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proofErr w:type="spellStart"/>
            <w:r w:rsidRPr="00DB41E3">
              <w:rPr>
                <w:rFonts w:ascii="Times New Roman" w:hAnsi="Times New Roman" w:cs="Times New Roman"/>
                <w:color w:val="000000" w:themeColor="text1"/>
                <w:sz w:val="22"/>
                <w:szCs w:val="22"/>
              </w:rPr>
              <w:t>Darashaw</w:t>
            </w:r>
            <w:proofErr w:type="spellEnd"/>
            <w:r w:rsidRPr="00DB41E3">
              <w:rPr>
                <w:rFonts w:ascii="Times New Roman" w:hAnsi="Times New Roman" w:cs="Times New Roman"/>
                <w:color w:val="000000" w:themeColor="text1"/>
                <w:sz w:val="22"/>
                <w:szCs w:val="22"/>
              </w:rPr>
              <w:t xml:space="preserve">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 xml:space="preserve">Beams VC </w:t>
            </w:r>
            <w:proofErr w:type="spellStart"/>
            <w:r w:rsidRPr="00DB41E3">
              <w:rPr>
                <w:rFonts w:ascii="Times New Roman" w:hAnsi="Times New Roman" w:cs="Times New Roman"/>
                <w:sz w:val="22"/>
                <w:szCs w:val="22"/>
              </w:rPr>
              <w:t>Partnerz</w:t>
            </w:r>
            <w:proofErr w:type="spellEnd"/>
            <w:r w:rsidRPr="00DB41E3">
              <w:rPr>
                <w:rFonts w:ascii="Times New Roman" w:hAnsi="Times New Roman" w:cs="Times New Roman"/>
                <w:sz w:val="22"/>
                <w:szCs w:val="22"/>
              </w:rPr>
              <w:t xml:space="preserve">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As a nominee of the partner - Multimedia </w:t>
            </w:r>
            <w:proofErr w:type="spellStart"/>
            <w:r w:rsidRPr="00DB41E3">
              <w:rPr>
                <w:rFonts w:ascii="Times New Roman" w:hAnsi="Times New Roman" w:cs="Times New Roman"/>
                <w:sz w:val="22"/>
                <w:szCs w:val="22"/>
              </w:rPr>
              <w:t>Finsec</w:t>
            </w:r>
            <w:proofErr w:type="spellEnd"/>
            <w:r w:rsidRPr="00DB41E3">
              <w:rPr>
                <w:rFonts w:ascii="Times New Roman" w:hAnsi="Times New Roman" w:cs="Times New Roman"/>
                <w:sz w:val="22"/>
                <w:szCs w:val="22"/>
              </w:rPr>
              <w:t xml:space="preserve">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w:t>
            </w:r>
            <w:proofErr w:type="spellStart"/>
            <w:r w:rsidRPr="00DB41E3">
              <w:rPr>
                <w:rFonts w:ascii="Times New Roman" w:hAnsi="Times New Roman" w:cs="Times New Roman"/>
                <w:bCs/>
                <w:color w:val="000000" w:themeColor="text1"/>
                <w:sz w:val="22"/>
                <w:szCs w:val="22"/>
              </w:rPr>
              <w:t>Finsec</w:t>
            </w:r>
            <w:proofErr w:type="spellEnd"/>
            <w:r w:rsidRPr="00DB41E3">
              <w:rPr>
                <w:rFonts w:ascii="Times New Roman" w:hAnsi="Times New Roman" w:cs="Times New Roman"/>
                <w:bCs/>
                <w:color w:val="000000" w:themeColor="text1"/>
                <w:sz w:val="22"/>
                <w:szCs w:val="22"/>
              </w:rPr>
              <w:t xml:space="preserve">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proofErr w:type="spellStart"/>
            <w:r w:rsidR="00B05C02" w:rsidRPr="00DB41E3">
              <w:rPr>
                <w:color w:val="000000" w:themeColor="text1"/>
                <w:sz w:val="22"/>
                <w:szCs w:val="22"/>
              </w:rPr>
              <w:t>Navin</w:t>
            </w:r>
            <w:proofErr w:type="spellEnd"/>
            <w:r w:rsidR="00B05C02" w:rsidRPr="00DB41E3">
              <w:rPr>
                <w:color w:val="000000" w:themeColor="text1"/>
                <w:sz w:val="22"/>
                <w:szCs w:val="22"/>
              </w:rPr>
              <w:t xml:space="preserve"> </w:t>
            </w:r>
            <w:proofErr w:type="spellStart"/>
            <w:r w:rsidR="00B05C02" w:rsidRPr="00DB41E3">
              <w:rPr>
                <w:color w:val="000000" w:themeColor="text1"/>
                <w:sz w:val="22"/>
                <w:szCs w:val="22"/>
              </w:rPr>
              <w:t>Honagudi</w:t>
            </w:r>
            <w:proofErr w:type="spellEnd"/>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 xml:space="preserve">Mr. Anuj </w:t>
            </w:r>
            <w:proofErr w:type="spellStart"/>
            <w:r w:rsidRPr="00DB41E3">
              <w:rPr>
                <w:sz w:val="22"/>
                <w:szCs w:val="22"/>
              </w:rPr>
              <w:t>Golecha</w:t>
            </w:r>
            <w:proofErr w:type="spellEnd"/>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proofErr w:type="spellStart"/>
            <w:r w:rsidRPr="00DB41E3">
              <w:rPr>
                <w:color w:val="000000"/>
                <w:sz w:val="22"/>
                <w:szCs w:val="22"/>
                <w:bdr w:val="none" w:sz="0" w:space="0" w:color="auto" w:frame="1"/>
                <w:lang w:val="en-IN"/>
              </w:rPr>
              <w:t>Kae</w:t>
            </w:r>
            <w:proofErr w:type="spellEnd"/>
            <w:r w:rsidRPr="00DB41E3">
              <w:rPr>
                <w:color w:val="000000"/>
                <w:sz w:val="22"/>
                <w:szCs w:val="22"/>
                <w:bdr w:val="none" w:sz="0" w:space="0" w:color="auto" w:frame="1"/>
                <w:lang w:val="en-IN"/>
              </w:rPr>
              <w:t xml:space="preserv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 xml:space="preserve">Mr. </w:t>
            </w:r>
            <w:proofErr w:type="spellStart"/>
            <w:r w:rsidRPr="00DB41E3">
              <w:rPr>
                <w:bCs/>
                <w:sz w:val="22"/>
                <w:szCs w:val="22"/>
              </w:rPr>
              <w:t>Navin</w:t>
            </w:r>
            <w:proofErr w:type="spellEnd"/>
            <w:r w:rsidRPr="00DB41E3">
              <w:rPr>
                <w:bCs/>
                <w:sz w:val="22"/>
                <w:szCs w:val="22"/>
              </w:rPr>
              <w:t xml:space="preserve"> </w:t>
            </w:r>
            <w:proofErr w:type="spellStart"/>
            <w:r w:rsidRPr="00DB41E3">
              <w:rPr>
                <w:bCs/>
                <w:sz w:val="22"/>
                <w:szCs w:val="22"/>
              </w:rPr>
              <w:t>Honagudi</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 xml:space="preserve">Mr. Anuj </w:t>
            </w:r>
            <w:proofErr w:type="spellStart"/>
            <w:r w:rsidRPr="00DB41E3">
              <w:rPr>
                <w:sz w:val="22"/>
                <w:szCs w:val="22"/>
              </w:rPr>
              <w:t>Golecha</w:t>
            </w:r>
            <w:proofErr w:type="spellEnd"/>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w:t>
            </w:r>
            <w:proofErr w:type="spellStart"/>
            <w:r w:rsidRPr="00DB41E3">
              <w:rPr>
                <w:szCs w:val="22"/>
                <w:lang w:val="en-IN"/>
              </w:rPr>
              <w:t>Rs</w:t>
            </w:r>
            <w:proofErr w:type="spellEnd"/>
            <w:r w:rsidRPr="00DB41E3">
              <w:rPr>
                <w:szCs w:val="22"/>
                <w:lang w:val="en-IN"/>
              </w:rPr>
              <w:t xml:space="preserve">.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w:t>
            </w:r>
            <w:proofErr w:type="spellStart"/>
            <w:r w:rsidRPr="00DB41E3">
              <w:rPr>
                <w:szCs w:val="22"/>
                <w:lang w:val="en-IN"/>
              </w:rPr>
              <w:t>Rs</w:t>
            </w:r>
            <w:proofErr w:type="spellEnd"/>
            <w:r w:rsidRPr="00DB41E3">
              <w:rPr>
                <w:szCs w:val="22"/>
                <w:lang w:val="en-IN"/>
              </w:rPr>
              <w:t xml:space="preserve">.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proofErr w:type="spellStart"/>
            <w:r w:rsidRPr="00DB41E3">
              <w:rPr>
                <w:szCs w:val="22"/>
                <w:lang w:val="en-IN"/>
              </w:rPr>
              <w:t>Rs</w:t>
            </w:r>
            <w:proofErr w:type="spellEnd"/>
            <w:r w:rsidRPr="00DB41E3">
              <w:rPr>
                <w:szCs w:val="22"/>
                <w:lang w:val="en-IN"/>
              </w:rPr>
              <w:t xml:space="preserve">. </w:t>
            </w:r>
            <w:r w:rsidR="00C00557">
              <w:rPr>
                <w:szCs w:val="22"/>
                <w:lang w:val="en-IN"/>
              </w:rPr>
              <w:t>1</w:t>
            </w:r>
            <w:proofErr w:type="gramStart"/>
            <w:r w:rsidR="00C00557">
              <w:rPr>
                <w:szCs w:val="22"/>
                <w:lang w:val="en-IN"/>
              </w:rPr>
              <w:t>,6</w:t>
            </w:r>
            <w:r w:rsidR="00BA78DF">
              <w:rPr>
                <w:szCs w:val="22"/>
                <w:lang w:val="en-IN"/>
              </w:rPr>
              <w:t>2</w:t>
            </w:r>
            <w:r w:rsidR="00C00557">
              <w:rPr>
                <w:szCs w:val="22"/>
                <w:lang w:val="en-IN"/>
              </w:rPr>
              <w:t>0</w:t>
            </w:r>
            <w:r w:rsidR="0018173D" w:rsidRPr="00DB41E3">
              <w:rPr>
                <w:szCs w:val="22"/>
                <w:lang w:val="en-IN"/>
              </w:rPr>
              <w:t>,00,00,000</w:t>
            </w:r>
            <w:proofErr w:type="gramEnd"/>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 xml:space="preserve">Target Investors of the Fund are institutional investors, family offices, </w:t>
            </w:r>
            <w:proofErr w:type="gramStart"/>
            <w:r w:rsidRPr="00DB41E3">
              <w:rPr>
                <w:color w:val="000000" w:themeColor="text1"/>
                <w:spacing w:val="-2"/>
                <w:szCs w:val="22"/>
                <w:lang w:val="en-IN"/>
              </w:rPr>
              <w:t>high</w:t>
            </w:r>
            <w:proofErr w:type="gramEnd"/>
            <w:r w:rsidRPr="00DB41E3">
              <w:rPr>
                <w:color w:val="000000" w:themeColor="text1"/>
                <w:spacing w:val="-2"/>
                <w:szCs w:val="22"/>
                <w:lang w:val="en-IN"/>
              </w:rPr>
              <w:t xml:space="preserve">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proofErr w:type="spellStart"/>
            <w:r w:rsidRPr="00DB41E3">
              <w:rPr>
                <w:rFonts w:ascii="Times New Roman" w:hAnsi="Times New Roman" w:cs="Times New Roman"/>
                <w:lang w:val="en-IN"/>
              </w:rPr>
              <w:t>lass</w:t>
            </w:r>
            <w:proofErr w:type="spellEnd"/>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 xml:space="preserve">To Eligible Persons who are strategically </w:t>
                  </w:r>
                  <w:proofErr w:type="gramStart"/>
                  <w:r w:rsidRPr="00DB41E3">
                    <w:rPr>
                      <w:rFonts w:eastAsia="Calibri"/>
                      <w:sz w:val="22"/>
                      <w:szCs w:val="22"/>
                    </w:rPr>
                    <w:t>important/valuable</w:t>
                  </w:r>
                  <w:proofErr w:type="gramEnd"/>
                  <w:r w:rsidRPr="00DB41E3">
                    <w:rPr>
                      <w:rFonts w:eastAsia="Calibri"/>
                      <w:sz w:val="22"/>
                      <w:szCs w:val="22"/>
                    </w:rPr>
                    <w:t xml:space="preserv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Subject to the Regulations, the Investment Manager may at its sole discretion issue additional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and/or Subclass/</w:t>
            </w:r>
            <w:proofErr w:type="spellStart"/>
            <w:r w:rsidRPr="00DB41E3">
              <w:rPr>
                <w:rStyle w:val="PageNumber"/>
                <w:rFonts w:ascii="Times New Roman" w:hAnsi="Times New Roman" w:cs="Times New Roman"/>
                <w:color w:val="000000" w:themeColor="text1"/>
              </w:rPr>
              <w:t>es</w:t>
            </w:r>
            <w:proofErr w:type="spellEnd"/>
            <w:r w:rsidRPr="00DB41E3">
              <w:rPr>
                <w:rStyle w:val="PageNumber"/>
                <w:rFonts w:ascii="Times New Roman" w:hAnsi="Times New Roman" w:cs="Times New Roman"/>
                <w:color w:val="000000" w:themeColor="text1"/>
              </w:rPr>
              <w:t xml:space="preserve">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The economic and special rights attached to the Class/</w:t>
            </w:r>
            <w:proofErr w:type="spellStart"/>
            <w:r w:rsidRPr="00DB41E3">
              <w:rPr>
                <w:szCs w:val="22"/>
              </w:rPr>
              <w:t>es</w:t>
            </w:r>
            <w:proofErr w:type="spellEnd"/>
            <w:r w:rsidRPr="00DB41E3">
              <w:rPr>
                <w:szCs w:val="22"/>
              </w:rPr>
              <w:t xml:space="preserve">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 xml:space="preserve">2.5% (two and a half percent) of the Corpus or </w:t>
                  </w:r>
                  <w:proofErr w:type="spellStart"/>
                  <w:r w:rsidRPr="00DB41E3">
                    <w:rPr>
                      <w:sz w:val="22"/>
                      <w:szCs w:val="22"/>
                      <w:lang w:val="en-IN"/>
                    </w:rPr>
                    <w:t>Rs</w:t>
                  </w:r>
                  <w:proofErr w:type="spellEnd"/>
                  <w:r w:rsidRPr="00DB41E3">
                    <w:rPr>
                      <w:sz w:val="22"/>
                      <w:szCs w:val="22"/>
                      <w:lang w:val="en-IN"/>
                    </w:rPr>
                    <w:t>. 5</w:t>
                  </w:r>
                  <w:proofErr w:type="gramStart"/>
                  <w:r w:rsidRPr="00DB41E3">
                    <w:rPr>
                      <w:sz w:val="22"/>
                      <w:szCs w:val="22"/>
                      <w:lang w:val="en-IN"/>
                    </w:rPr>
                    <w:t>,00,00,000</w:t>
                  </w:r>
                  <w:proofErr w:type="gramEnd"/>
                  <w:r w:rsidRPr="00DB41E3">
                    <w:rPr>
                      <w:sz w:val="22"/>
                      <w:szCs w:val="22"/>
                      <w:lang w:val="en-IN"/>
                    </w:rPr>
                    <w:t xml:space="preserve"> (Indian Rupees Five Crores), whichever is lower or </w:t>
                  </w:r>
                  <w:proofErr w:type="spellStart"/>
                  <w:r w:rsidRPr="00DB41E3">
                    <w:rPr>
                      <w:sz w:val="22"/>
                      <w:szCs w:val="22"/>
                      <w:lang w:val="en-IN"/>
                    </w:rPr>
                    <w:t>Rs</w:t>
                  </w:r>
                  <w:proofErr w:type="spellEnd"/>
                  <w:r w:rsidRPr="00DB41E3">
                    <w:rPr>
                      <w:sz w:val="22"/>
                      <w:szCs w:val="22"/>
                      <w:lang w:val="en-IN"/>
                    </w:rPr>
                    <w:t>.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25</w:t>
                  </w:r>
                  <w:proofErr w:type="gramStart"/>
                  <w:r w:rsidRPr="00DB41E3">
                    <w:rPr>
                      <w:sz w:val="22"/>
                      <w:szCs w:val="22"/>
                      <w:lang w:val="en-IN"/>
                    </w:rPr>
                    <w:t>,00,000</w:t>
                  </w:r>
                  <w:proofErr w:type="gramEnd"/>
                  <w:r w:rsidRPr="00DB41E3">
                    <w:rPr>
                      <w:sz w:val="22"/>
                      <w:szCs w:val="22"/>
                      <w:lang w:val="en-IN"/>
                    </w:rPr>
                    <w:t xml:space="preserve">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w:t>
                  </w:r>
                  <w:proofErr w:type="spellStart"/>
                  <w:r w:rsidRPr="00DB41E3">
                    <w:rPr>
                      <w:sz w:val="22"/>
                      <w:szCs w:val="22"/>
                      <w:lang w:val="en-IN"/>
                    </w:rPr>
                    <w:t>Rs</w:t>
                  </w:r>
                  <w:proofErr w:type="spellEnd"/>
                  <w:r w:rsidRPr="00DB41E3">
                    <w:rPr>
                      <w:sz w:val="22"/>
                      <w:szCs w:val="22"/>
                      <w:lang w:val="en-IN"/>
                    </w:rPr>
                    <w:t xml:space="preserve">.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w:t>
                  </w:r>
                  <w:proofErr w:type="spellStart"/>
                  <w:r w:rsidRPr="00DB41E3">
                    <w:rPr>
                      <w:sz w:val="22"/>
                      <w:szCs w:val="22"/>
                      <w:lang w:val="en-IN"/>
                    </w:rPr>
                    <w:t>Rs</w:t>
                  </w:r>
                  <w:proofErr w:type="spellEnd"/>
                  <w:r w:rsidRPr="00DB41E3">
                    <w:rPr>
                      <w:sz w:val="22"/>
                      <w:szCs w:val="22"/>
                      <w:lang w:val="en-IN"/>
                    </w:rPr>
                    <w:t xml:space="preserve">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proofErr w:type="spellStart"/>
                  <w:r w:rsidRPr="00DB41E3">
                    <w:rPr>
                      <w:sz w:val="22"/>
                      <w:szCs w:val="22"/>
                      <w:lang w:val="en-IN"/>
                    </w:rPr>
                    <w:t>Rs</w:t>
                  </w:r>
                  <w:proofErr w:type="spellEnd"/>
                  <w:r w:rsidRPr="00DB41E3">
                    <w:rPr>
                      <w:sz w:val="22"/>
                      <w:szCs w:val="22"/>
                      <w:lang w:val="en-IN"/>
                    </w:rPr>
                    <w:t>.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xml:space="preserve">.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w:t>
            </w:r>
            <w:proofErr w:type="gramStart"/>
            <w:r w:rsidRPr="00DB41E3">
              <w:rPr>
                <w:color w:val="000000" w:themeColor="text1"/>
                <w:szCs w:val="22"/>
              </w:rPr>
              <w:t>a</w:t>
            </w:r>
            <w:proofErr w:type="gramEnd"/>
            <w:r w:rsidRPr="00DB41E3">
              <w:rPr>
                <w:color w:val="000000" w:themeColor="text1"/>
                <w:szCs w:val="22"/>
              </w:rPr>
              <w:t xml:space="preserve">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in case of any other Investors acting as joint Investors, for every Investor, the minimum investment of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proofErr w:type="gramStart"/>
            <w:r w:rsidRPr="00DB41E3">
              <w:rPr>
                <w:szCs w:val="22"/>
                <w:lang w:val="en-IN"/>
              </w:rPr>
              <w:t>any</w:t>
            </w:r>
            <w:proofErr w:type="gramEnd"/>
            <w:r w:rsidRPr="00DB41E3">
              <w:rPr>
                <w:szCs w:val="22"/>
                <w:lang w:val="en-IN"/>
              </w:rPr>
              <w:t xml:space="preserve">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w:t>
            </w:r>
            <w:proofErr w:type="gramStart"/>
            <w:r w:rsidRPr="00DB41E3">
              <w:rPr>
                <w:rFonts w:ascii="Times New Roman" w:hAnsi="Times New Roman" w:cs="Times New Roman"/>
                <w:color w:val="000000" w:themeColor="text1"/>
              </w:rPr>
              <w:t>make</w:t>
            </w:r>
            <w:proofErr w:type="gramEnd"/>
            <w:r w:rsidRPr="00DB41E3">
              <w:rPr>
                <w:rFonts w:ascii="Times New Roman" w:hAnsi="Times New Roman" w:cs="Times New Roman"/>
                <w:color w:val="000000" w:themeColor="text1"/>
              </w:rPr>
              <w:t xml:space="preserv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xml:space="preserve">, subject to the receipt of aggregate Capital Commitments of at least </w:t>
            </w:r>
            <w:proofErr w:type="spellStart"/>
            <w:r w:rsidRPr="00DB41E3">
              <w:rPr>
                <w:rFonts w:ascii="Times New Roman" w:hAnsi="Times New Roman" w:cs="Times New Roman"/>
                <w:color w:val="000000" w:themeColor="text1"/>
              </w:rPr>
              <w:t>Rs</w:t>
            </w:r>
            <w:proofErr w:type="spellEnd"/>
            <w:r w:rsidRPr="00DB41E3">
              <w:rPr>
                <w:rFonts w:ascii="Times New Roman" w:hAnsi="Times New Roman" w:cs="Times New Roman"/>
                <w:color w:val="000000" w:themeColor="text1"/>
              </w:rPr>
              <w:t>. 20</w:t>
            </w:r>
            <w:proofErr w:type="gramStart"/>
            <w:r w:rsidRPr="00DB41E3">
              <w:rPr>
                <w:rFonts w:ascii="Times New Roman" w:hAnsi="Times New Roman" w:cs="Times New Roman"/>
                <w:color w:val="000000" w:themeColor="text1"/>
              </w:rPr>
              <w:t>,00,00,000</w:t>
            </w:r>
            <w:proofErr w:type="gramEnd"/>
            <w:r w:rsidRPr="00DB41E3">
              <w:rPr>
                <w:rFonts w:ascii="Times New Roman" w:hAnsi="Times New Roman" w:cs="Times New Roman"/>
                <w:color w:val="000000" w:themeColor="text1"/>
              </w:rPr>
              <w:t xml:space="preserve">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The Investment Manager has the discretion to hold one or more other Closing(s) subsequent to the First Closing but not later than the Final Closing, i.e., the Subsequent Closings. For the terms on which the Investor shall be </w:t>
            </w:r>
            <w:proofErr w:type="spellStart"/>
            <w:r w:rsidRPr="00DB41E3">
              <w:rPr>
                <w:rFonts w:ascii="Times New Roman" w:hAnsi="Times New Roman" w:cs="Times New Roman"/>
              </w:rPr>
              <w:t>onboarded</w:t>
            </w:r>
            <w:proofErr w:type="spellEnd"/>
            <w:r w:rsidRPr="00DB41E3">
              <w:rPr>
                <w:rFonts w:ascii="Times New Roman" w:hAnsi="Times New Roman" w:cs="Times New Roman"/>
              </w:rPr>
              <w:t xml:space="preserve">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 xml:space="preserve">at the rate of </w:t>
            </w:r>
            <w:proofErr w:type="spellStart"/>
            <w:r w:rsidR="002C4273" w:rsidRPr="00DB41E3">
              <w:rPr>
                <w:rFonts w:ascii="Times New Roman" w:hAnsi="Times New Roman" w:cs="Times New Roman"/>
                <w:color w:val="000000" w:themeColor="text1"/>
                <w:lang w:val="en-IN"/>
              </w:rPr>
              <w:t>upto</w:t>
            </w:r>
            <w:proofErr w:type="spellEnd"/>
            <w:r w:rsidR="002C4273" w:rsidRPr="00DB41E3">
              <w:rPr>
                <w:rFonts w:ascii="Times New Roman" w:hAnsi="Times New Roman" w:cs="Times New Roman"/>
                <w:color w:val="000000" w:themeColor="text1"/>
                <w:lang w:val="en-IN"/>
              </w:rPr>
              <w:t xml:space="preserve">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Compensatory Contribution applicable to such incoming Contributor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xml:space="preserve">’ below, the Investment Manager shall issue Drawdown Notice/s to the Contributors towards payment of Capital Contribution to be </w:t>
            </w:r>
            <w:proofErr w:type="spellStart"/>
            <w:r w:rsidRPr="00DB41E3">
              <w:rPr>
                <w:rFonts w:ascii="Times New Roman" w:hAnsi="Times New Roman" w:cs="Times New Roman"/>
                <w:color w:val="000000" w:themeColor="text1"/>
              </w:rPr>
              <w:t>utilised</w:t>
            </w:r>
            <w:proofErr w:type="spellEnd"/>
            <w:r w:rsidRPr="00DB41E3">
              <w:rPr>
                <w:rFonts w:ascii="Times New Roman" w:hAnsi="Times New Roman" w:cs="Times New Roman"/>
                <w:color w:val="000000" w:themeColor="text1"/>
              </w:rPr>
              <w:t xml:space="preserve">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w:t>
            </w:r>
            <w:proofErr w:type="gramStart"/>
            <w:r w:rsidRPr="00DB41E3">
              <w:rPr>
                <w:rFonts w:ascii="Times New Roman" w:hAnsi="Times New Roman" w:cs="Times New Roman"/>
                <w:color w:val="000000" w:themeColor="text1"/>
              </w:rPr>
              <w:t>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w:t>
            </w:r>
            <w:proofErr w:type="gramEnd"/>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the event that one or more Contributors are excluded from participating in an investment, the Investment Manager may, either </w:t>
            </w:r>
            <w:proofErr w:type="gramStart"/>
            <w:r w:rsidRPr="00DB41E3">
              <w:rPr>
                <w:rFonts w:ascii="Times New Roman" w:hAnsi="Times New Roman" w:cs="Times New Roman"/>
                <w:color w:val="000000" w:themeColor="text1"/>
              </w:rPr>
              <w:t>elect</w:t>
            </w:r>
            <w:proofErr w:type="gramEnd"/>
            <w:r w:rsidRPr="00DB41E3">
              <w:rPr>
                <w:rFonts w:ascii="Times New Roman" w:hAnsi="Times New Roman" w:cs="Times New Roman"/>
                <w:color w:val="000000" w:themeColor="text1"/>
              </w:rPr>
              <w:t xml:space="preserve">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suspend</w:t>
            </w:r>
            <w:proofErr w:type="gramEnd"/>
            <w:r w:rsidRPr="00DB41E3">
              <w:rPr>
                <w:szCs w:val="22"/>
                <w:lang w:val="en-IN"/>
              </w:rPr>
              <w:t xml:space="preserve">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forfeit</w:t>
            </w:r>
            <w:proofErr w:type="gramEnd"/>
            <w:r w:rsidRPr="00DB41E3">
              <w:rPr>
                <w:szCs w:val="22"/>
                <w:lang w:val="en-IN"/>
              </w:rPr>
              <w: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proofErr w:type="gramStart"/>
            <w:r w:rsidRPr="00DB41E3">
              <w:rPr>
                <w:szCs w:val="22"/>
                <w:lang w:val="en-IN"/>
              </w:rPr>
              <w:t>sell</w:t>
            </w:r>
            <w:proofErr w:type="gramEnd"/>
            <w:r w:rsidRPr="00DB41E3">
              <w:rPr>
                <w:szCs w:val="22"/>
                <w:lang w:val="en-IN"/>
              </w:rPr>
              <w:t xml:space="preserve">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 xml:space="preserve">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w:t>
            </w:r>
            <w:proofErr w:type="gramStart"/>
            <w:r w:rsidRPr="00DB41E3">
              <w:rPr>
                <w:rFonts w:ascii="Times New Roman" w:hAnsi="Times New Roman" w:cs="Times New Roman"/>
              </w:rPr>
              <w:t>effected</w:t>
            </w:r>
            <w:proofErr w:type="gramEnd"/>
            <w:r w:rsidRPr="00DB41E3">
              <w:rPr>
                <w:rFonts w:ascii="Times New Roman" w:hAnsi="Times New Roman" w:cs="Times New Roman"/>
              </w:rPr>
              <w:t>,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proofErr w:type="gramStart"/>
            <w:r w:rsidRPr="00DB41E3">
              <w:rPr>
                <w:szCs w:val="22"/>
                <w:lang w:val="en-IN"/>
              </w:rPr>
              <w:t>any</w:t>
            </w:r>
            <w:proofErr w:type="gramEnd"/>
            <w:r w:rsidRPr="00DB41E3">
              <w:rPr>
                <w:szCs w:val="22"/>
                <w:lang w:val="en-IN"/>
              </w:rPr>
              <w:t xml:space="preserve">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w:t>
            </w:r>
            <w:proofErr w:type="spellStart"/>
            <w:r w:rsidRPr="00DB41E3">
              <w:rPr>
                <w:rFonts w:ascii="Times New Roman" w:hAnsi="Times New Roman" w:cs="Times New Roman"/>
              </w:rPr>
              <w:t>endeavour</w:t>
            </w:r>
            <w:proofErr w:type="spellEnd"/>
            <w:r w:rsidRPr="00DB41E3">
              <w:rPr>
                <w:rFonts w:ascii="Times New Roman" w:hAnsi="Times New Roman" w:cs="Times New Roman"/>
              </w:rPr>
              <w:t xml:space="preserve">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 xml:space="preserve">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w:t>
            </w:r>
            <w:proofErr w:type="spellStart"/>
            <w:r w:rsidRPr="00DB41E3">
              <w:rPr>
                <w:rFonts w:ascii="Times New Roman" w:hAnsi="Times New Roman" w:cs="Times New Roman"/>
              </w:rPr>
              <w:t>honour</w:t>
            </w:r>
            <w:proofErr w:type="spellEnd"/>
            <w:r w:rsidRPr="00DB41E3">
              <w:rPr>
                <w:rFonts w:ascii="Times New Roman" w:hAnsi="Times New Roman" w:cs="Times New Roman"/>
              </w:rPr>
              <w:t xml:space="preserve">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Further, it is hereby clarified that any actions by the Investment Manager as stated above on death of a </w:t>
            </w:r>
            <w:proofErr w:type="gramStart"/>
            <w:r w:rsidRPr="00DB41E3">
              <w:rPr>
                <w:rFonts w:ascii="Times New Roman" w:hAnsi="Times New Roman" w:cs="Times New Roman"/>
                <w:color w:val="000000" w:themeColor="text1"/>
              </w:rPr>
              <w:t>Contributor,</w:t>
            </w:r>
            <w:proofErr w:type="gramEnd"/>
            <w:r w:rsidRPr="00DB41E3">
              <w:rPr>
                <w:rFonts w:ascii="Times New Roman" w:hAnsi="Times New Roman" w:cs="Times New Roman"/>
                <w:color w:val="000000" w:themeColor="text1"/>
              </w:rPr>
              <w:t xml:space="preserve">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For acting as the Trustee of the Trust and the Fund, and discharging its functions and responsibilities as the Trustee, the Trustee shall be entitled to receive from Fund: (</w:t>
            </w:r>
            <w:proofErr w:type="spellStart"/>
            <w:r w:rsidRPr="00DB41E3">
              <w:rPr>
                <w:rFonts w:ascii="Times New Roman" w:hAnsi="Times New Roman" w:cs="Times New Roman"/>
                <w:color w:val="000000"/>
              </w:rPr>
              <w:t>i</w:t>
            </w:r>
            <w:proofErr w:type="spellEnd"/>
            <w:r w:rsidRPr="00DB41E3">
              <w:rPr>
                <w:rFonts w:ascii="Times New Roman" w:hAnsi="Times New Roman" w:cs="Times New Roman"/>
                <w:color w:val="000000"/>
              </w:rPr>
              <w:t xml:space="preserve">)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xml:space="preserve">.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w:t>
            </w:r>
            <w:proofErr w:type="spellStart"/>
            <w:r w:rsidRPr="00DB41E3">
              <w:rPr>
                <w:rFonts w:ascii="Times New Roman" w:hAnsi="Times New Roman" w:cs="Times New Roman"/>
                <w:color w:val="000000"/>
              </w:rPr>
              <w:t>Rs</w:t>
            </w:r>
            <w:proofErr w:type="spellEnd"/>
            <w:r w:rsidRPr="00DB41E3">
              <w:rPr>
                <w:rFonts w:ascii="Times New Roman" w:hAnsi="Times New Roman" w:cs="Times New Roman"/>
                <w:color w:val="000000"/>
              </w:rPr>
              <w:t>.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xml:space="preserve">,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under Applicable Laws) and levies, if any, </w:t>
            </w:r>
            <w:proofErr w:type="spellStart"/>
            <w:r w:rsidRPr="00DB41E3">
              <w:rPr>
                <w:rFonts w:ascii="Times New Roman" w:hAnsi="Times New Roman" w:cs="Times New Roman"/>
                <w:color w:val="000000"/>
              </w:rPr>
              <w:t>leviable</w:t>
            </w:r>
            <w:proofErr w:type="spellEnd"/>
            <w:r w:rsidRPr="00DB41E3">
              <w:rPr>
                <w:rFonts w:ascii="Times New Roman" w:hAnsi="Times New Roman" w:cs="Times New Roman"/>
                <w:color w:val="000000"/>
              </w:rPr>
              <w:t xml:space="preserv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Operating Expenses shall be exclusive of all applicable Taxes 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proofErr w:type="gramStart"/>
            <w:r w:rsidRPr="00DB41E3">
              <w:rPr>
                <w:rFonts w:ascii="Times New Roman" w:hAnsi="Times New Roman" w:cs="Times New Roman"/>
              </w:rPr>
              <w:t>travel</w:t>
            </w:r>
            <w:proofErr w:type="gramEnd"/>
            <w:r w:rsidRPr="00DB41E3">
              <w:rPr>
                <w:rFonts w:ascii="Times New Roman" w:hAnsi="Times New Roman" w:cs="Times New Roman"/>
              </w:rPr>
              <w:t xml:space="preserve">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w:t>
            </w:r>
            <w:proofErr w:type="spellStart"/>
            <w:r w:rsidRPr="00DB41E3">
              <w:rPr>
                <w:rFonts w:ascii="Times New Roman" w:hAnsi="Times New Roman" w:cs="Times New Roman"/>
                <w:color w:val="000000" w:themeColor="text1"/>
              </w:rPr>
              <w:t>leviable</w:t>
            </w:r>
            <w:proofErr w:type="spellEnd"/>
            <w:r w:rsidRPr="00DB41E3">
              <w:rPr>
                <w:rFonts w:ascii="Times New Roman" w:hAnsi="Times New Roman" w:cs="Times New Roman"/>
                <w:color w:val="000000" w:themeColor="text1"/>
              </w:rPr>
              <w:t xml:space="preserv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which is, or may become, </w:t>
            </w:r>
            <w:proofErr w:type="spellStart"/>
            <w:r w:rsidRPr="00DB41E3">
              <w:rPr>
                <w:rFonts w:ascii="Times New Roman" w:eastAsia="Times New Roman" w:hAnsi="Times New Roman" w:cs="Times New Roman"/>
                <w:lang w:val="en-AU" w:eastAsia="en-GB"/>
              </w:rPr>
              <w:t>leviable</w:t>
            </w:r>
            <w:proofErr w:type="spellEnd"/>
            <w:r w:rsidRPr="00DB41E3">
              <w:rPr>
                <w:rFonts w:ascii="Times New Roman" w:eastAsia="Times New Roman" w:hAnsi="Times New Roman" w:cs="Times New Roman"/>
                <w:lang w:val="en-AU" w:eastAsia="en-GB"/>
              </w:rPr>
              <w:t xml:space="preserv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w:t>
                  </w:r>
                  <w:r w:rsidRPr="00DB41E3">
                    <w:rPr>
                      <w:sz w:val="22"/>
                      <w:szCs w:val="22"/>
                      <w:lang w:val="en-IN"/>
                    </w:rPr>
                    <w:t xml:space="preserve">: </w:t>
                  </w:r>
                  <w:proofErr w:type="spellStart"/>
                  <w:r w:rsidR="00644AA7" w:rsidRPr="00DB41E3">
                    <w:rPr>
                      <w:sz w:val="22"/>
                      <w:szCs w:val="22"/>
                      <w:lang w:val="en-IN"/>
                    </w:rPr>
                    <w:t>upto</w:t>
                  </w:r>
                  <w:proofErr w:type="spellEnd"/>
                  <w:r w:rsidR="00644AA7" w:rsidRPr="00DB41E3">
                    <w:rPr>
                      <w:sz w:val="22"/>
                      <w:szCs w:val="22"/>
                      <w:lang w:val="en-IN"/>
                    </w:rPr>
                    <w:t xml:space="preserve">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proofErr w:type="spellStart"/>
                  <w:r w:rsidR="00644AA7" w:rsidRPr="00DB41E3">
                    <w:rPr>
                      <w:sz w:val="22"/>
                      <w:szCs w:val="22"/>
                      <w:lang w:val="en-IN"/>
                    </w:rPr>
                    <w:t>atleast</w:t>
                  </w:r>
                  <w:proofErr w:type="spellEnd"/>
                  <w:r w:rsidR="00644AA7" w:rsidRPr="00DB41E3">
                    <w:rPr>
                      <w:sz w:val="22"/>
                      <w:szCs w:val="22"/>
                      <w:lang w:val="en-IN"/>
                    </w:rPr>
                    <w:t xml:space="preserve">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and such other Class/</w:t>
                  </w:r>
                  <w:proofErr w:type="spellStart"/>
                  <w:r w:rsidRPr="00DB41E3">
                    <w:rPr>
                      <w:sz w:val="22"/>
                      <w:szCs w:val="22"/>
                      <w:lang w:val="en-GB"/>
                    </w:rPr>
                    <w:t>es</w:t>
                  </w:r>
                  <w:proofErr w:type="spellEnd"/>
                  <w:r w:rsidRPr="00DB41E3">
                    <w:rPr>
                      <w:sz w:val="22"/>
                      <w:szCs w:val="22"/>
                      <w:lang w:val="en-GB"/>
                    </w:rPr>
                    <w:t xml:space="preserve">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w:t>
            </w:r>
            <w:proofErr w:type="spellStart"/>
            <w:r w:rsidR="00E96249" w:rsidRPr="00DB41E3">
              <w:rPr>
                <w:bCs/>
                <w:color w:val="000000" w:themeColor="text1"/>
                <w:szCs w:val="22"/>
                <w:lang w:val="en-GB"/>
              </w:rPr>
              <w:t>i</w:t>
            </w:r>
            <w:proofErr w:type="spellEnd"/>
            <w:r w:rsidR="00E96249" w:rsidRPr="00DB41E3">
              <w:rPr>
                <w:bCs/>
                <w:color w:val="000000" w:themeColor="text1"/>
                <w:szCs w:val="22"/>
                <w:lang w:val="en-GB"/>
              </w:rPr>
              <w:t>)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w:t>
            </w:r>
            <w:proofErr w:type="spellStart"/>
            <w:r w:rsidR="00BD7460" w:rsidRPr="00DB41E3">
              <w:rPr>
                <w:b/>
                <w:color w:val="000000" w:themeColor="text1"/>
                <w:szCs w:val="22"/>
                <w:lang w:val="en-GB"/>
              </w:rPr>
              <w:t>upto</w:t>
            </w:r>
            <w:proofErr w:type="spellEnd"/>
            <w:r w:rsidR="00BD7460" w:rsidRPr="00DB41E3">
              <w:rPr>
                <w:b/>
                <w:color w:val="000000" w:themeColor="text1"/>
                <w:szCs w:val="22"/>
                <w:lang w:val="en-GB"/>
              </w:rPr>
              <w:t xml:space="preserve">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A2 Distribution Proceeds will be distributed to the holders of Class A2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Thereafter, 100% (one hundred percent) of the Class D1 Distribution Proceeds will be distributed to the holders of Class D1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D2 Distribution Proceeds will be distributed to the holders of Class D2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of the Class F Distribution Proceeds will be distributed to the holders of Class F Units, until a cumulative amount equal to Hurdle Rate of Return on the amounts described in clause (</w:t>
            </w:r>
            <w:proofErr w:type="spellStart"/>
            <w:r w:rsidRPr="00DB41E3">
              <w:rPr>
                <w:bCs/>
                <w:color w:val="000000" w:themeColor="text1"/>
                <w:szCs w:val="22"/>
                <w:lang w:val="en-GB"/>
              </w:rPr>
              <w:t>i</w:t>
            </w:r>
            <w:proofErr w:type="spellEnd"/>
            <w:r w:rsidRPr="00DB41E3">
              <w:rPr>
                <w:bCs/>
                <w:color w:val="000000" w:themeColor="text1"/>
                <w:szCs w:val="22"/>
                <w:lang w:val="en-GB"/>
              </w:rPr>
              <w:t xml:space="preserve">)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w:t>
            </w:r>
            <w:proofErr w:type="spellStart"/>
            <w:r w:rsidR="004637EB" w:rsidRPr="00DB41E3">
              <w:rPr>
                <w:b/>
                <w:color w:val="000000" w:themeColor="text1"/>
                <w:szCs w:val="22"/>
                <w:lang w:val="en-GB"/>
              </w:rPr>
              <w:t>upto</w:t>
            </w:r>
            <w:proofErr w:type="spellEnd"/>
            <w:r w:rsidR="004637EB" w:rsidRPr="00DB41E3">
              <w:rPr>
                <w:b/>
                <w:color w:val="000000" w:themeColor="text1"/>
                <w:szCs w:val="22"/>
                <w:lang w:val="en-GB"/>
              </w:rPr>
              <w:t xml:space="preserve">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w:t>
            </w:r>
            <w:proofErr w:type="spellStart"/>
            <w:r w:rsidRPr="00DB41E3">
              <w:rPr>
                <w:rFonts w:ascii="Times New Roman" w:hAnsi="Times New Roman" w:cs="Times New Roman"/>
              </w:rPr>
              <w:t>Appliable</w:t>
            </w:r>
            <w:proofErr w:type="spellEnd"/>
            <w:r w:rsidRPr="00DB41E3">
              <w:rPr>
                <w:rFonts w:ascii="Times New Roman" w:hAnsi="Times New Roman" w:cs="Times New Roman"/>
              </w:rPr>
              <w:t xml:space="preserv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w:t>
            </w:r>
            <w:proofErr w:type="spellStart"/>
            <w:r w:rsidRPr="00DB41E3">
              <w:rPr>
                <w:rFonts w:ascii="Times New Roman" w:hAnsi="Times New Roman" w:cs="Times New Roman"/>
                <w:color w:val="000000" w:themeColor="text1"/>
                <w:lang w:val="en-GB"/>
              </w:rPr>
              <w:t>i</w:t>
            </w:r>
            <w:proofErr w:type="spellEnd"/>
            <w:r w:rsidRPr="00DB41E3">
              <w:rPr>
                <w:rFonts w:ascii="Times New Roman" w:hAnsi="Times New Roman" w:cs="Times New Roman"/>
                <w:color w:val="000000" w:themeColor="text1"/>
                <w:lang w:val="en-GB"/>
              </w:rPr>
              <w:t>)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proofErr w:type="spellStart"/>
            <w:r w:rsidRPr="00DB41E3">
              <w:rPr>
                <w:rFonts w:ascii="Times New Roman" w:hAnsi="Times New Roman" w:cs="Times New Roman"/>
                <w:b/>
                <w:smallCaps/>
                <w:color w:val="002060"/>
              </w:rPr>
              <w:t>Clawback</w:t>
            </w:r>
            <w:proofErr w:type="spellEnd"/>
            <w:r w:rsidRPr="00DB41E3">
              <w:rPr>
                <w:rFonts w:ascii="Times New Roman" w:hAnsi="Times New Roman" w:cs="Times New Roman"/>
                <w:b/>
                <w:smallCaps/>
                <w:color w:val="002060"/>
              </w:rPr>
              <w:t xml:space="preserve">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proofErr w:type="spellStart"/>
            <w:r w:rsidR="00527FBD" w:rsidRPr="00DB41E3">
              <w:rPr>
                <w:rFonts w:ascii="Times New Roman" w:hAnsi="Times New Roman" w:cs="Times New Roman"/>
                <w:color w:val="000000"/>
                <w:shd w:val="clear" w:color="auto" w:fill="FFFFFF"/>
              </w:rPr>
              <w:t>Navin</w:t>
            </w:r>
            <w:proofErr w:type="spellEnd"/>
            <w:r w:rsidR="00527FBD" w:rsidRPr="00DB41E3">
              <w:rPr>
                <w:rFonts w:ascii="Times New Roman" w:hAnsi="Times New Roman" w:cs="Times New Roman"/>
                <w:color w:val="000000"/>
                <w:shd w:val="clear" w:color="auto" w:fill="FFFFFF"/>
              </w:rPr>
              <w:t xml:space="preserve"> </w:t>
            </w:r>
            <w:proofErr w:type="spellStart"/>
            <w:r w:rsidR="00527FBD" w:rsidRPr="00DB41E3">
              <w:rPr>
                <w:rFonts w:ascii="Times New Roman" w:hAnsi="Times New Roman" w:cs="Times New Roman"/>
                <w:color w:val="000000"/>
                <w:shd w:val="clear" w:color="auto" w:fill="FFFFFF"/>
              </w:rPr>
              <w:t>Honagudi</w:t>
            </w:r>
            <w:proofErr w:type="spellEnd"/>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 xml:space="preserve">and Mr. Anuj </w:t>
            </w:r>
            <w:proofErr w:type="spellStart"/>
            <w:r w:rsidR="00527FBD" w:rsidRPr="00DB41E3">
              <w:rPr>
                <w:rFonts w:ascii="Times New Roman" w:hAnsi="Times New Roman" w:cs="Times New Roman"/>
                <w:color w:val="000000"/>
                <w:shd w:val="clear" w:color="auto" w:fill="FFFFFF"/>
              </w:rPr>
              <w:t>Golecha</w:t>
            </w:r>
            <w:proofErr w:type="spellEnd"/>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Subject to the foregoing, (</w:t>
            </w:r>
            <w:proofErr w:type="spellStart"/>
            <w:r w:rsidR="00875C2D" w:rsidRPr="00DB41E3">
              <w:rPr>
                <w:rFonts w:ascii="Times New Roman" w:hAnsi="Times New Roman" w:cs="Times New Roman"/>
                <w:lang w:val="en-GB"/>
              </w:rPr>
              <w:t>i</w:t>
            </w:r>
            <w:proofErr w:type="spellEnd"/>
            <w:r w:rsidR="00875C2D" w:rsidRPr="00DB41E3">
              <w:rPr>
                <w:rFonts w:ascii="Times New Roman" w:hAnsi="Times New Roman" w:cs="Times New Roman"/>
                <w:lang w:val="en-GB"/>
              </w:rPr>
              <w:t xml:space="preserve">)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Subject to the foregoing, (</w:t>
            </w:r>
            <w:proofErr w:type="spellStart"/>
            <w:r w:rsidRPr="00DB41E3">
              <w:rPr>
                <w:rFonts w:ascii="Times New Roman" w:hAnsi="Times New Roman" w:cs="Times New Roman"/>
                <w:color w:val="000000" w:themeColor="text1"/>
              </w:rPr>
              <w:t>i</w:t>
            </w:r>
            <w:proofErr w:type="spellEnd"/>
            <w:r w:rsidRPr="00DB41E3">
              <w:rPr>
                <w:rFonts w:ascii="Times New Roman" w:hAnsi="Times New Roman" w:cs="Times New Roman"/>
                <w:color w:val="000000" w:themeColor="text1"/>
              </w:rPr>
              <w:t xml:space="preserve">)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proofErr w:type="spellStart"/>
            <w:r w:rsidRPr="00DB41E3">
              <w:rPr>
                <w:rFonts w:ascii="Times New Roman" w:hAnsi="Times New Roman" w:cs="Times New Roman"/>
                <w:i/>
                <w:color w:val="000000" w:themeColor="text1"/>
              </w:rPr>
              <w:t>suo</w:t>
            </w:r>
            <w:proofErr w:type="spellEnd"/>
            <w:r w:rsidRPr="00DB41E3">
              <w:rPr>
                <w:rFonts w:ascii="Times New Roman" w:hAnsi="Times New Roman" w:cs="Times New Roman"/>
                <w:i/>
                <w:color w:val="000000" w:themeColor="text1"/>
              </w:rPr>
              <w:t xml:space="preserve">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in accordance with the Contribution </w:t>
            </w:r>
            <w:proofErr w:type="gramStart"/>
            <w:r w:rsidRPr="00DB41E3">
              <w:rPr>
                <w:rFonts w:ascii="Times New Roman" w:hAnsi="Times New Roman" w:cs="Times New Roman"/>
                <w:color w:val="000000" w:themeColor="text1"/>
              </w:rPr>
              <w:t>Agreements,</w:t>
            </w:r>
            <w:proofErr w:type="gramEnd"/>
            <w:r w:rsidRPr="00DB41E3">
              <w:rPr>
                <w:rFonts w:ascii="Times New Roman" w:hAnsi="Times New Roman" w:cs="Times New Roman"/>
                <w:color w:val="000000" w:themeColor="text1"/>
              </w:rPr>
              <w:t xml:space="preserve">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for valuation of assets of the Fund shall be appointed by the Fund. The valuation shall be done by such </w:t>
            </w:r>
            <w:proofErr w:type="spellStart"/>
            <w:r w:rsidRPr="00DB41E3">
              <w:rPr>
                <w:rFonts w:ascii="Times New Roman" w:hAnsi="Times New Roman" w:cs="Times New Roman"/>
                <w:color w:val="000000" w:themeColor="text1"/>
              </w:rPr>
              <w:t>valuer</w:t>
            </w:r>
            <w:proofErr w:type="spellEnd"/>
            <w:r w:rsidRPr="00DB41E3">
              <w:rPr>
                <w:rFonts w:ascii="Times New Roman" w:hAnsi="Times New Roman" w:cs="Times New Roman"/>
                <w:color w:val="000000" w:themeColor="text1"/>
              </w:rPr>
              <w:t xml:space="preserve">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w:t>
            </w:r>
            <w:proofErr w:type="spellStart"/>
            <w:r w:rsidRPr="00DB41E3">
              <w:rPr>
                <w:rFonts w:ascii="Times New Roman" w:hAnsi="Times New Roman" w:cs="Times New Roman"/>
                <w:color w:val="000000" w:themeColor="text1"/>
              </w:rPr>
              <w:t>hereinbelow</w:t>
            </w:r>
            <w:proofErr w:type="spellEnd"/>
            <w:r w:rsidRPr="00DB41E3">
              <w:rPr>
                <w:rFonts w:ascii="Times New Roman" w:hAnsi="Times New Roman" w:cs="Times New Roman"/>
                <w:color w:val="000000" w:themeColor="text1"/>
              </w:rPr>
              <w:t xml:space="preserve">.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proofErr w:type="gramStart"/>
            <w:r w:rsidRPr="00DB41E3">
              <w:rPr>
                <w:rFonts w:ascii="Times New Roman" w:hAnsi="Times New Roman" w:cs="Times New Roman"/>
                <w:color w:val="000000" w:themeColor="text1"/>
              </w:rPr>
              <w:t>any</w:t>
            </w:r>
            <w:proofErr w:type="gramEnd"/>
            <w:r w:rsidRPr="00DB41E3">
              <w:rPr>
                <w:rFonts w:ascii="Times New Roman" w:hAnsi="Times New Roman" w:cs="Times New Roman"/>
                <w:color w:val="000000" w:themeColor="text1"/>
              </w:rPr>
              <w:t xml:space="preserve">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w:t>
            </w:r>
            <w:proofErr w:type="spellStart"/>
            <w:r w:rsidRPr="00DB41E3">
              <w:rPr>
                <w:rFonts w:ascii="Times New Roman" w:hAnsi="Times New Roman" w:cs="Times New Roman"/>
                <w:color w:val="000000" w:themeColor="text1"/>
              </w:rPr>
              <w:t>favourable</w:t>
            </w:r>
            <w:proofErr w:type="spellEnd"/>
            <w:r w:rsidRPr="00DB41E3">
              <w:rPr>
                <w:rFonts w:ascii="Times New Roman" w:hAnsi="Times New Roman" w:cs="Times New Roman"/>
                <w:color w:val="000000" w:themeColor="text1"/>
              </w:rPr>
              <w:t xml:space="preserv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w:t>
            </w:r>
            <w:proofErr w:type="spellStart"/>
            <w:r w:rsidRPr="00DB41E3">
              <w:rPr>
                <w:sz w:val="22"/>
                <w:szCs w:val="22"/>
                <w:lang w:val="en-IN"/>
              </w:rPr>
              <w:t>valuer</w:t>
            </w:r>
            <w:proofErr w:type="spellEnd"/>
            <w:r w:rsidRPr="00DB41E3">
              <w:rPr>
                <w:sz w:val="22"/>
                <w:szCs w:val="22"/>
                <w:lang w:val="en-IN"/>
              </w:rPr>
              <w:t xml:space="preserve">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w:t>
            </w:r>
            <w:proofErr w:type="gramStart"/>
            <w:r w:rsidR="00A6604C" w:rsidRPr="00DB41E3">
              <w:rPr>
                <w:color w:val="000000" w:themeColor="text1"/>
                <w:sz w:val="22"/>
                <w:szCs w:val="22"/>
              </w:rPr>
              <w:t>C(</w:t>
            </w:r>
            <w:proofErr w:type="gramEnd"/>
            <w:r w:rsidR="00A6604C" w:rsidRPr="00DB41E3">
              <w:rPr>
                <w:color w:val="000000" w:themeColor="text1"/>
                <w:sz w:val="22"/>
                <w:szCs w:val="22"/>
              </w:rPr>
              <w:t xml:space="preserve">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w:t>
            </w:r>
            <w:proofErr w:type="gramStart"/>
            <w:r w:rsidR="001B1587" w:rsidRPr="00DB41E3">
              <w:rPr>
                <w:color w:val="000000" w:themeColor="text1"/>
                <w:sz w:val="22"/>
                <w:szCs w:val="22"/>
              </w:rPr>
              <w:t>J(</w:t>
            </w:r>
            <w:proofErr w:type="gramEnd"/>
            <w:r w:rsidR="001B1587" w:rsidRPr="00DB41E3">
              <w:rPr>
                <w:color w:val="000000" w:themeColor="text1"/>
                <w:sz w:val="22"/>
                <w:szCs w:val="22"/>
              </w:rPr>
              <w:t xml:space="preserve">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proofErr w:type="spellStart"/>
            <w:r w:rsidRPr="00DB41E3">
              <w:rPr>
                <w:rFonts w:ascii="Times New Roman" w:hAnsi="Times New Roman" w:cs="Times New Roman"/>
              </w:rPr>
              <w:lastRenderedPageBreak/>
              <w:t>Assessee</w:t>
            </w:r>
            <w:proofErr w:type="spellEnd"/>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w:t>
            </w:r>
            <w:proofErr w:type="spellStart"/>
            <w:r w:rsidRPr="00DB41E3">
              <w:rPr>
                <w:rFonts w:ascii="Times New Roman" w:hAnsi="Times New Roman" w:cs="Times New Roman"/>
              </w:rPr>
              <w:t>totalturnover</w:t>
            </w:r>
            <w:proofErr w:type="spellEnd"/>
            <w:r w:rsidRPr="00DB41E3">
              <w:rPr>
                <w:rFonts w:ascii="Times New Roman" w:hAnsi="Times New Roman" w:cs="Times New Roman"/>
              </w:rPr>
              <w:t xml:space="preserve">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Shares of a company (other than shares listed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on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(Refer Note </w:t>
            </w:r>
            <w:proofErr w:type="spellStart"/>
            <w:r w:rsidRPr="00DB41E3">
              <w:rPr>
                <w:rFonts w:ascii="Times New Roman" w:hAnsi="Times New Roman" w:cs="Times New Roman"/>
              </w:rPr>
              <w:t>i</w:t>
            </w:r>
            <w:proofErr w:type="spellEnd"/>
            <w:r w:rsidRPr="00DB41E3">
              <w:rPr>
                <w:rFonts w:ascii="Times New Roman" w:hAnsi="Times New Roman" w:cs="Times New Roman"/>
              </w:rPr>
              <w:t>)</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w:t>
            </w:r>
            <w:proofErr w:type="spellStart"/>
            <w:r w:rsidRPr="00DB41E3">
              <w:rPr>
                <w:rFonts w:ascii="Times New Roman" w:hAnsi="Times New Roman" w:cs="Times New Roman"/>
              </w:rPr>
              <w:t>i</w:t>
            </w:r>
            <w:proofErr w:type="spellEnd"/>
            <w:r w:rsidRPr="00DB41E3">
              <w:rPr>
                <w:rFonts w:ascii="Times New Roman" w:hAnsi="Times New Roman" w:cs="Times New Roman"/>
              </w:rPr>
              <w:t xml:space="preserve">) listed equity shares through the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purchase transaction in equity shares entered into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in equity shares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Non-delivery based sale transaction in equity shares or units of equity oriented fund entered in a </w:t>
            </w:r>
            <w:proofErr w:type="spellStart"/>
            <w:r w:rsidRPr="00DB41E3">
              <w:rPr>
                <w:rFonts w:ascii="Times New Roman" w:hAnsi="Times New Roman" w:cs="Times New Roman"/>
              </w:rPr>
              <w:t>recognised</w:t>
            </w:r>
            <w:proofErr w:type="spellEnd"/>
            <w:r w:rsidRPr="00DB41E3">
              <w:rPr>
                <w:rFonts w:ascii="Times New Roman" w:hAnsi="Times New Roman" w:cs="Times New Roman"/>
              </w:rPr>
              <w:t xml:space="preserve">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w:t>
            </w:r>
            <w:proofErr w:type="spellStart"/>
            <w:r w:rsidRPr="00BF380A">
              <w:rPr>
                <w:szCs w:val="22"/>
              </w:rPr>
              <w:t>mn</w:t>
            </w:r>
            <w:proofErr w:type="spellEnd"/>
            <w:r w:rsidRPr="00BF380A">
              <w:rPr>
                <w:szCs w:val="22"/>
              </w:rPr>
              <w:t xml:space="preserve">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lastRenderedPageBreak/>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 xml:space="preserve">Additional return Phase I (i.e. </w:t>
            </w:r>
            <w:proofErr w:type="spellStart"/>
            <w:r w:rsidRPr="00BF380A">
              <w:rPr>
                <w:szCs w:val="22"/>
              </w:rPr>
              <w:t>upto</w:t>
            </w:r>
            <w:proofErr w:type="spellEnd"/>
            <w:r w:rsidRPr="00BF380A">
              <w:rPr>
                <w:szCs w:val="22"/>
              </w:rPr>
              <w:t xml:space="preserve">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lastRenderedPageBreak/>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w:t>
            </w:r>
            <w:proofErr w:type="spellStart"/>
            <w:r w:rsidRPr="0058614F">
              <w:rPr>
                <w:rFonts w:ascii="Times New Roman" w:hAnsi="Times New Roman" w:cs="Times New Roman"/>
                <w:color w:val="000000"/>
                <w:sz w:val="16"/>
                <w:szCs w:val="16"/>
                <w:lang w:val="en-IN"/>
              </w:rPr>
              <w:t>pre tax</w:t>
            </w:r>
            <w:proofErr w:type="spellEnd"/>
            <w:r w:rsidRPr="0058614F">
              <w:rPr>
                <w:rFonts w:ascii="Times New Roman" w:hAnsi="Times New Roman" w:cs="Times New Roman"/>
                <w:color w:val="000000"/>
                <w:sz w:val="16"/>
                <w:szCs w:val="16"/>
                <w:lang w:val="en-IN"/>
              </w:rPr>
              <w:t xml:space="preserve"> IRR) for Class </w:t>
            </w:r>
            <w:r w:rsidRPr="0058614F">
              <w:rPr>
                <w:rFonts w:ascii="Times New Roman" w:hAnsi="Times New Roman" w:cs="Times New Roman"/>
                <w:color w:val="000000"/>
                <w:sz w:val="16"/>
                <w:szCs w:val="16"/>
                <w:lang w:val="en-IN"/>
              </w:rPr>
              <w:lastRenderedPageBreak/>
              <w:t>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lastRenderedPageBreak/>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proofErr w:type="gramStart"/>
            <w:r w:rsidRPr="00DB41E3">
              <w:rPr>
                <w:rStyle w:val="PageNumber"/>
                <w:color w:val="0D0D0D" w:themeColor="text1" w:themeTint="F2"/>
                <w:sz w:val="22"/>
                <w:szCs w:val="22"/>
              </w:rPr>
              <w:t>has</w:t>
            </w:r>
            <w:proofErr w:type="gramEnd"/>
            <w:r w:rsidRPr="00DB41E3">
              <w:rPr>
                <w:rStyle w:val="PageNumber"/>
                <w:color w:val="0D0D0D" w:themeColor="text1" w:themeTint="F2"/>
                <w:sz w:val="22"/>
                <w:szCs w:val="22"/>
              </w:rPr>
              <w:t xml:space="preserve">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proofErr w:type="gramStart"/>
            <w:r w:rsidRPr="00DB41E3">
              <w:rPr>
                <w:color w:val="0D0D0D" w:themeColor="text1" w:themeTint="F2"/>
                <w:sz w:val="22"/>
                <w:szCs w:val="22"/>
                <w:lang w:val="en-US"/>
              </w:rPr>
              <w:t>has</w:t>
            </w:r>
            <w:proofErr w:type="gramEnd"/>
            <w:r w:rsidRPr="00DB41E3">
              <w:rPr>
                <w:color w:val="0D0D0D" w:themeColor="text1" w:themeTint="F2"/>
                <w:sz w:val="22"/>
                <w:szCs w:val="22"/>
                <w:lang w:val="en-US"/>
              </w:rPr>
              <w:t xml:space="preserve">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xml:space="preserve">.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w:t>
            </w:r>
            <w:proofErr w:type="spellStart"/>
            <w:r w:rsidR="004E41F4" w:rsidRPr="00DB41E3">
              <w:rPr>
                <w:rStyle w:val="Doubleunderline"/>
                <w:b w:val="0"/>
                <w:bCs w:val="0"/>
                <w:color w:val="0D0D0D" w:themeColor="text1" w:themeTint="F2"/>
                <w:sz w:val="22"/>
                <w:szCs w:val="22"/>
                <w:u w:val="none"/>
              </w:rPr>
              <w:t>es</w:t>
            </w:r>
            <w:proofErr w:type="spellEnd"/>
            <w:r w:rsidR="004E41F4" w:rsidRPr="00DB41E3">
              <w:rPr>
                <w:rStyle w:val="Doubleunderline"/>
                <w:b w:val="0"/>
                <w:bCs w:val="0"/>
                <w:color w:val="0D0D0D" w:themeColor="text1" w:themeTint="F2"/>
                <w:sz w:val="22"/>
                <w:szCs w:val="22"/>
                <w:u w:val="none"/>
              </w:rPr>
              <w:t>,</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w:t>
            </w:r>
            <w:r w:rsidR="004E41F4" w:rsidRPr="00DB41E3">
              <w:rPr>
                <w:rStyle w:val="Doubleunderline"/>
                <w:b w:val="0"/>
                <w:bCs w:val="0"/>
                <w:color w:val="0D0D0D" w:themeColor="text1" w:themeTint="F2"/>
                <w:sz w:val="22"/>
                <w:szCs w:val="22"/>
                <w:u w:val="none"/>
              </w:rPr>
              <w:lastRenderedPageBreak/>
              <w:t xml:space="preserve">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00027C7E" w:rsidRPr="00DB41E3">
              <w:rPr>
                <w:rStyle w:val="Doubleunderline"/>
                <w:b w:val="0"/>
                <w:bCs w:val="0"/>
                <w:color w:val="0D0D0D" w:themeColor="text1" w:themeTint="F2"/>
                <w:sz w:val="22"/>
                <w:szCs w:val="22"/>
                <w:u w:val="none"/>
              </w:rPr>
              <w:t>Rs</w:t>
            </w:r>
            <w:proofErr w:type="spellEnd"/>
            <w:r w:rsidR="00027C7E" w:rsidRPr="00DB41E3">
              <w:rPr>
                <w:rStyle w:val="Doubleunderline"/>
                <w:b w:val="0"/>
                <w:bCs w:val="0"/>
                <w:color w:val="0D0D0D" w:themeColor="text1" w:themeTint="F2"/>
                <w:sz w:val="22"/>
                <w:szCs w:val="22"/>
                <w:u w:val="none"/>
              </w:rPr>
              <w:t>.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color w:val="0D0D0D" w:themeColor="text1" w:themeTint="F2"/>
                <w:sz w:val="22"/>
                <w:szCs w:val="22"/>
                <w:u w:val="none"/>
              </w:rPr>
              <w:t>means</w:t>
            </w:r>
            <w:proofErr w:type="gramEnd"/>
            <w:r w:rsidRPr="00DB41E3">
              <w:rPr>
                <w:rStyle w:val="Doubleunderline"/>
                <w:b w:val="0"/>
                <w:color w:val="0D0D0D" w:themeColor="text1" w:themeTint="F2"/>
                <w:sz w:val="22"/>
                <w:szCs w:val="22"/>
                <w:u w:val="none"/>
              </w:rPr>
              <w:t xml:space="preserve">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xml:space="preserve">,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 xml:space="preserve">to the Contributors resident outside </w:t>
            </w:r>
            <w:proofErr w:type="gramStart"/>
            <w:r w:rsidR="00FC0EB4" w:rsidRPr="00DB41E3">
              <w:rPr>
                <w:rFonts w:eastAsia="Calibri"/>
                <w:sz w:val="22"/>
                <w:szCs w:val="22"/>
              </w:rPr>
              <w:t>India</w:t>
            </w:r>
            <w:r w:rsidR="00D53DE3" w:rsidRPr="00DB41E3">
              <w:rPr>
                <w:rStyle w:val="Doubleunderline"/>
                <w:b w:val="0"/>
                <w:bCs w:val="0"/>
                <w:color w:val="0D0D0D" w:themeColor="text1" w:themeTint="F2"/>
                <w:sz w:val="22"/>
                <w:szCs w:val="22"/>
                <w:u w:val="none"/>
              </w:rPr>
              <w:t>(</w:t>
            </w:r>
            <w:proofErr w:type="gramEnd"/>
            <w:r w:rsidR="00D53DE3" w:rsidRPr="00DB41E3">
              <w:rPr>
                <w:rStyle w:val="Doubleunderline"/>
                <w:b w:val="0"/>
                <w:bCs w:val="0"/>
                <w:color w:val="0D0D0D" w:themeColor="text1" w:themeTint="F2"/>
                <w:sz w:val="22"/>
                <w:szCs w:val="22"/>
                <w:u w:val="none"/>
              </w:rPr>
              <w:t>including Units of Subclass/</w:t>
            </w:r>
            <w:proofErr w:type="spellStart"/>
            <w:r w:rsidR="00D53DE3" w:rsidRPr="00DB41E3">
              <w:rPr>
                <w:rStyle w:val="Doubleunderline"/>
                <w:b w:val="0"/>
                <w:bCs w:val="0"/>
                <w:color w:val="0D0D0D" w:themeColor="text1" w:themeTint="F2"/>
                <w:sz w:val="22"/>
                <w:szCs w:val="22"/>
                <w:u w:val="none"/>
              </w:rPr>
              <w:t>es</w:t>
            </w:r>
            <w:proofErr w:type="spellEnd"/>
            <w:r w:rsidR="00D53DE3" w:rsidRPr="00DB41E3">
              <w:rPr>
                <w:rStyle w:val="Doubleunderline"/>
                <w:b w:val="0"/>
                <w:bCs w:val="0"/>
                <w:color w:val="0D0D0D" w:themeColor="text1" w:themeTint="F2"/>
                <w:sz w:val="22"/>
                <w:szCs w:val="22"/>
                <w:u w:val="none"/>
              </w:rPr>
              <w:t>,</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w:t>
            </w:r>
            <w:proofErr w:type="spellStart"/>
            <w:r w:rsidR="001C0ABB" w:rsidRPr="00DB41E3">
              <w:rPr>
                <w:rStyle w:val="Doubleunderline"/>
                <w:b w:val="0"/>
                <w:bCs w:val="0"/>
                <w:color w:val="0D0D0D" w:themeColor="text1" w:themeTint="F2"/>
                <w:sz w:val="22"/>
                <w:szCs w:val="22"/>
                <w:u w:val="none"/>
              </w:rPr>
              <w:t>es</w:t>
            </w:r>
            <w:proofErr w:type="spellEnd"/>
            <w:r w:rsidR="001C0ABB" w:rsidRPr="00DB41E3">
              <w:rPr>
                <w:rStyle w:val="Doubleunderline"/>
                <w:b w:val="0"/>
                <w:bCs w:val="0"/>
                <w:color w:val="0D0D0D" w:themeColor="text1" w:themeTint="F2"/>
                <w:sz w:val="22"/>
                <w:szCs w:val="22"/>
                <w:u w:val="none"/>
              </w:rPr>
              <w:t>,</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Accredited Investors,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proofErr w:type="gramStart"/>
            <w:r w:rsidRPr="00DB41E3">
              <w:rPr>
                <w:bCs/>
                <w:iCs/>
                <w:color w:val="0D0D0D" w:themeColor="text1" w:themeTint="F2"/>
                <w:sz w:val="22"/>
                <w:szCs w:val="22"/>
              </w:rPr>
              <w:t>means</w:t>
            </w:r>
            <w:proofErr w:type="gramEnd"/>
            <w:r w:rsidRPr="00DB41E3">
              <w:rPr>
                <w:bCs/>
                <w:iCs/>
                <w:color w:val="0D0D0D" w:themeColor="text1" w:themeTint="F2"/>
                <w:sz w:val="22"/>
                <w:szCs w:val="22"/>
              </w:rPr>
              <w:t xml:space="preserve">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shall</w:t>
            </w:r>
            <w:proofErr w:type="gramEnd"/>
            <w:r w:rsidRPr="00DB41E3">
              <w:rPr>
                <w:rStyle w:val="Doubleunderline"/>
                <w:b w:val="0"/>
                <w:bCs w:val="0"/>
                <w:color w:val="0D0D0D" w:themeColor="text1" w:themeTint="F2"/>
                <w:sz w:val="22"/>
                <w:szCs w:val="22"/>
                <w:u w:val="none"/>
              </w:rPr>
              <w:t xml:space="preserve">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 Person who: (</w:t>
            </w:r>
            <w:proofErr w:type="spellStart"/>
            <w:r w:rsidRPr="00DB41E3">
              <w:rPr>
                <w:rStyle w:val="Doubleunderline"/>
                <w:b w:val="0"/>
                <w:bCs w:val="0"/>
                <w:color w:val="0D0D0D" w:themeColor="text1" w:themeTint="F2"/>
                <w:sz w:val="22"/>
                <w:szCs w:val="22"/>
                <w:u w:val="none"/>
              </w:rPr>
              <w:t>i</w:t>
            </w:r>
            <w:proofErr w:type="spellEnd"/>
            <w:r w:rsidRPr="00DB41E3">
              <w:rPr>
                <w:rStyle w:val="Doubleunderline"/>
                <w:b w:val="0"/>
                <w:bCs w:val="0"/>
                <w:color w:val="0D0D0D" w:themeColor="text1" w:themeTint="F2"/>
                <w:sz w:val="22"/>
                <w:szCs w:val="22"/>
                <w:u w:val="none"/>
              </w:rPr>
              <w:t>)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proofErr w:type="gramStart"/>
            <w:r w:rsidRPr="007043BC">
              <w:rPr>
                <w:rStyle w:val="Doubleunderline"/>
                <w:b w:val="0"/>
                <w:bCs w:val="0"/>
                <w:color w:val="0D0D0D" w:themeColor="text1" w:themeTint="F2"/>
                <w:sz w:val="22"/>
                <w:szCs w:val="22"/>
                <w:u w:val="none"/>
              </w:rPr>
              <w:t>means</w:t>
            </w:r>
            <w:proofErr w:type="gramEnd"/>
            <w:r w:rsidRPr="007043BC">
              <w:rPr>
                <w:rStyle w:val="Doubleunderline"/>
                <w:b w:val="0"/>
                <w:bCs w:val="0"/>
                <w:color w:val="0D0D0D" w:themeColor="text1" w:themeTint="F2"/>
                <w:sz w:val="22"/>
                <w:szCs w:val="22"/>
                <w:u w:val="none"/>
              </w:rPr>
              <w:t xml:space="preserve">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proofErr w:type="gramStart"/>
            <w:r w:rsidRPr="00DB41E3">
              <w:rPr>
                <w:color w:val="0D0D0D" w:themeColor="text1" w:themeTint="F2"/>
                <w:sz w:val="22"/>
                <w:szCs w:val="22"/>
                <w:lang w:val="en-US"/>
              </w:rPr>
              <w:t>with</w:t>
            </w:r>
            <w:proofErr w:type="gramEnd"/>
            <w:r w:rsidRPr="00DB41E3">
              <w:rPr>
                <w:color w:val="0D0D0D" w:themeColor="text1" w:themeTint="F2"/>
                <w:sz w:val="22"/>
                <w:szCs w:val="22"/>
                <w:lang w:val="en-US"/>
              </w:rPr>
              <w:t xml:space="preserve"> respect to a Contributor or Class (including a Subclass), shall mean aggregate amounts </w:t>
            </w:r>
            <w:proofErr w:type="spellStart"/>
            <w:r w:rsidRPr="00DB41E3">
              <w:rPr>
                <w:color w:val="0D0D0D" w:themeColor="text1" w:themeTint="F2"/>
                <w:sz w:val="22"/>
                <w:szCs w:val="22"/>
                <w:lang w:val="en-US"/>
              </w:rPr>
              <w:t>utilised</w:t>
            </w:r>
            <w:proofErr w:type="spellEnd"/>
            <w:r w:rsidRPr="00DB41E3">
              <w:rPr>
                <w:color w:val="0D0D0D" w:themeColor="text1" w:themeTint="F2"/>
                <w:sz w:val="22"/>
                <w:szCs w:val="22"/>
                <w:lang w:val="en-US"/>
              </w:rPr>
              <w:t xml:space="preserve"> from Capital Contributions of such Contributor or Class (post appropriating/adjusting the Fund Expenses/charges, as applicable) </w:t>
            </w:r>
            <w:r w:rsidRPr="00DB41E3">
              <w:rPr>
                <w:color w:val="0D0D0D" w:themeColor="text1" w:themeTint="F2"/>
                <w:sz w:val="22"/>
                <w:szCs w:val="22"/>
                <w:lang w:val="en-US"/>
              </w:rPr>
              <w:lastRenderedPageBreak/>
              <w:t>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Indian Rupees or </w:t>
            </w:r>
            <w:proofErr w:type="spellStart"/>
            <w:r w:rsidRPr="00DB41E3">
              <w:rPr>
                <w:rFonts w:ascii="Times New Roman" w:hAnsi="Times New Roman" w:cs="Times New Roman"/>
                <w:b/>
                <w:color w:val="0D0D0D" w:themeColor="text1" w:themeTint="F2"/>
              </w:rPr>
              <w:t>Rs</w:t>
            </w:r>
            <w:proofErr w:type="spellEnd"/>
            <w:r w:rsidRPr="00DB41E3">
              <w:rPr>
                <w:rFonts w:ascii="Times New Roman" w:hAnsi="Times New Roman" w:cs="Times New Roman"/>
                <w:b/>
                <w:color w:val="0D0D0D" w:themeColor="text1" w:themeTint="F2"/>
              </w:rPr>
              <w:t>.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sum of </w:t>
            </w:r>
            <w:proofErr w:type="spellStart"/>
            <w:r w:rsidRPr="00DB41E3">
              <w:rPr>
                <w:rStyle w:val="Doubleunderline"/>
                <w:b w:val="0"/>
                <w:bCs w:val="0"/>
                <w:color w:val="0D0D0D" w:themeColor="text1" w:themeTint="F2"/>
                <w:sz w:val="22"/>
                <w:szCs w:val="22"/>
                <w:u w:val="none"/>
              </w:rPr>
              <w:t>Rs</w:t>
            </w:r>
            <w:proofErr w:type="spellEnd"/>
            <w:r w:rsidRPr="00DB41E3">
              <w:rPr>
                <w:rStyle w:val="Doubleunderline"/>
                <w:b w:val="0"/>
                <w:bCs w:val="0"/>
                <w:color w:val="0D0D0D" w:themeColor="text1" w:themeTint="F2"/>
                <w:sz w:val="22"/>
                <w:szCs w:val="22"/>
                <w:u w:val="none"/>
              </w:rPr>
              <w:t>.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sz w:val="22"/>
                <w:szCs w:val="22"/>
                <w:u w:val="none"/>
                <w:lang w:val="en-IN"/>
              </w:rPr>
              <w:t>means</w:t>
            </w:r>
            <w:proofErr w:type="gramEnd"/>
            <w:r w:rsidRPr="00DB41E3">
              <w:rPr>
                <w:rStyle w:val="Doubleunderline"/>
                <w:b w:val="0"/>
                <w:sz w:val="22"/>
                <w:szCs w:val="22"/>
                <w:u w:val="none"/>
                <w:lang w:val="en-IN"/>
              </w:rPr>
              <w:t xml:space="preserve">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 xml:space="preserve">means and includes an individual, banks, insurance companies, bodies corporate, estates, family offices, non-banking finance companies, societies, </w:t>
            </w:r>
            <w:proofErr w:type="spellStart"/>
            <w:r w:rsidRPr="00DB41E3">
              <w:rPr>
                <w:rStyle w:val="Doubleunderline"/>
                <w:b w:val="0"/>
                <w:bCs w:val="0"/>
                <w:color w:val="0D0D0D" w:themeColor="text1" w:themeTint="F2"/>
                <w:sz w:val="22"/>
                <w:szCs w:val="22"/>
                <w:u w:val="none"/>
              </w:rPr>
              <w:t>hindu</w:t>
            </w:r>
            <w:proofErr w:type="spellEnd"/>
            <w:r w:rsidRPr="00DB41E3">
              <w:rPr>
                <w:rStyle w:val="Doubleunderline"/>
                <w:b w:val="0"/>
                <w:bCs w:val="0"/>
                <w:color w:val="0D0D0D" w:themeColor="text1" w:themeTint="F2"/>
                <w:sz w:val="22"/>
                <w:szCs w:val="22"/>
                <w:u w:val="none"/>
              </w:rPr>
              <w:t xml:space="preserve">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w:t>
            </w:r>
            <w:r w:rsidRPr="00DB41E3">
              <w:rPr>
                <w:rStyle w:val="Doubleunderline"/>
                <w:b w:val="0"/>
                <w:bCs w:val="0"/>
                <w:color w:val="0D0D0D" w:themeColor="text1" w:themeTint="F2"/>
                <w:sz w:val="22"/>
                <w:szCs w:val="22"/>
                <w:u w:val="none"/>
              </w:rPr>
              <w:lastRenderedPageBreak/>
              <w:t>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color w:val="0D0D0D" w:themeColor="text1" w:themeTint="F2"/>
                <w:sz w:val="22"/>
                <w:szCs w:val="22"/>
              </w:rPr>
              <w:t>means</w:t>
            </w:r>
            <w:proofErr w:type="gramEnd"/>
            <w:r w:rsidRPr="00DB41E3">
              <w:rPr>
                <w:color w:val="0D0D0D" w:themeColor="text1" w:themeTint="F2"/>
                <w:sz w:val="22"/>
                <w:szCs w:val="22"/>
              </w:rPr>
              <w:t xml:space="preserve">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Mr. </w:t>
            </w:r>
            <w:proofErr w:type="spellStart"/>
            <w:r w:rsidRPr="00DB41E3">
              <w:rPr>
                <w:bCs/>
                <w:iCs/>
                <w:color w:val="0D0D0D" w:themeColor="text1" w:themeTint="F2"/>
                <w:sz w:val="22"/>
                <w:szCs w:val="22"/>
              </w:rPr>
              <w:t>Mehul</w:t>
            </w:r>
            <w:proofErr w:type="spellEnd"/>
            <w:r w:rsidRPr="00DB41E3">
              <w:rPr>
                <w:bCs/>
                <w:iCs/>
                <w:color w:val="0D0D0D" w:themeColor="text1" w:themeTint="F2"/>
                <w:sz w:val="22"/>
                <w:szCs w:val="22"/>
              </w:rPr>
              <w:t xml:space="preserve"> </w:t>
            </w:r>
            <w:proofErr w:type="spellStart"/>
            <w:r w:rsidRPr="00DB41E3">
              <w:rPr>
                <w:bCs/>
                <w:iCs/>
                <w:color w:val="0D0D0D" w:themeColor="text1" w:themeTint="F2"/>
                <w:sz w:val="22"/>
                <w:szCs w:val="22"/>
              </w:rPr>
              <w:t>Sohanraj</w:t>
            </w:r>
            <w:proofErr w:type="spellEnd"/>
            <w:r w:rsidRPr="00DB41E3">
              <w:rPr>
                <w:bCs/>
                <w:iCs/>
                <w:color w:val="0D0D0D" w:themeColor="text1" w:themeTint="F2"/>
                <w:sz w:val="22"/>
                <w:szCs w:val="22"/>
              </w:rPr>
              <w:t xml:space="preserve">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proofErr w:type="gramStart"/>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s</w:t>
            </w:r>
            <w:proofErr w:type="gramEnd"/>
            <w:r w:rsidRPr="00DB41E3">
              <w:rPr>
                <w:color w:val="0D0D0D" w:themeColor="text1" w:themeTint="F2"/>
                <w:sz w:val="22"/>
                <w:szCs w:val="22"/>
                <w:lang w:val="en-IN"/>
              </w:rPr>
              <w:t xml:space="preserve"> </w:t>
            </w:r>
            <w:r w:rsidR="000C767C" w:rsidRPr="00DB41E3">
              <w:rPr>
                <w:b/>
                <w:bCs/>
                <w:color w:val="0D0D0D" w:themeColor="text1" w:themeTint="F2"/>
                <w:sz w:val="22"/>
                <w:szCs w:val="22"/>
                <w:lang w:val="en-IN"/>
              </w:rPr>
              <w:t xml:space="preserve">Mr. </w:t>
            </w:r>
            <w:proofErr w:type="spellStart"/>
            <w:r w:rsidR="000C767C" w:rsidRPr="00DB41E3">
              <w:rPr>
                <w:b/>
                <w:bCs/>
                <w:color w:val="0D0D0D" w:themeColor="text1" w:themeTint="F2"/>
                <w:sz w:val="22"/>
                <w:szCs w:val="22"/>
                <w:lang w:val="en-IN"/>
              </w:rPr>
              <w:t>Atul</w:t>
            </w:r>
            <w:proofErr w:type="spellEnd"/>
            <w:r w:rsidR="000C767C" w:rsidRPr="00DB41E3">
              <w:rPr>
                <w:b/>
                <w:bCs/>
                <w:color w:val="0D0D0D" w:themeColor="text1" w:themeTint="F2"/>
                <w:sz w:val="22"/>
                <w:szCs w:val="22"/>
                <w:lang w:val="en-IN"/>
              </w:rPr>
              <w:t xml:space="preserve">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with</w:t>
            </w:r>
            <w:proofErr w:type="gramEnd"/>
            <w:r w:rsidRPr="00DB41E3">
              <w:rPr>
                <w:rStyle w:val="Doubleunderline"/>
                <w:b w:val="0"/>
                <w:bCs w:val="0"/>
                <w:color w:val="0D0D0D" w:themeColor="text1" w:themeTint="F2"/>
                <w:sz w:val="22"/>
                <w:szCs w:val="22"/>
                <w:u w:val="none"/>
              </w:rPr>
              <w:t xml:space="preserve">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in</w:t>
            </w:r>
            <w:proofErr w:type="gramEnd"/>
            <w:r w:rsidRPr="00DB41E3">
              <w:rPr>
                <w:rStyle w:val="Doubleunderline"/>
                <w:b w:val="0"/>
                <w:bCs w:val="0"/>
                <w:color w:val="0D0D0D" w:themeColor="text1" w:themeTint="F2"/>
                <w:sz w:val="22"/>
                <w:szCs w:val="22"/>
                <w:u w:val="none"/>
              </w:rPr>
              <w:t xml:space="preserve">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all forms of tax, levy, duty, fee, surcharge, cess, impost, withholding tax, equalisation levy, tax collected at source including income tax, goods &amp; services tax, tax payable in a representative </w:t>
            </w:r>
            <w:proofErr w:type="spellStart"/>
            <w:r w:rsidRPr="00DB41E3">
              <w:rPr>
                <w:rStyle w:val="Doubleunderline"/>
                <w:b w:val="0"/>
                <w:bCs w:val="0"/>
                <w:color w:val="0D0D0D" w:themeColor="text1" w:themeTint="F2"/>
                <w:sz w:val="22"/>
                <w:szCs w:val="22"/>
                <w:u w:val="none"/>
              </w:rPr>
              <w:t>assessee</w:t>
            </w:r>
            <w:proofErr w:type="spellEnd"/>
            <w:r w:rsidRPr="00DB41E3">
              <w:rPr>
                <w:rStyle w:val="Doubleunderline"/>
                <w:b w:val="0"/>
                <w:bCs w:val="0"/>
                <w:color w:val="0D0D0D" w:themeColor="text1" w:themeTint="F2"/>
                <w:sz w:val="22"/>
                <w:szCs w:val="22"/>
                <w:u w:val="none"/>
              </w:rPr>
              <w:t xml:space="preserv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proofErr w:type="gramStart"/>
            <w:r w:rsidRPr="00DB41E3">
              <w:rPr>
                <w:rStyle w:val="Doubleunderline"/>
                <w:b w:val="0"/>
                <w:bCs w:val="0"/>
                <w:color w:val="0D0D0D" w:themeColor="text1" w:themeTint="F2"/>
                <w:sz w:val="22"/>
                <w:szCs w:val="22"/>
                <w:u w:val="none"/>
              </w:rPr>
              <w:t>all</w:t>
            </w:r>
            <w:proofErr w:type="gramEnd"/>
            <w:r w:rsidRPr="00DB41E3">
              <w:rPr>
                <w:rStyle w:val="Doubleunderline"/>
                <w:b w:val="0"/>
                <w:bCs w:val="0"/>
                <w:color w:val="0D0D0D" w:themeColor="text1" w:themeTint="F2"/>
                <w:sz w:val="22"/>
                <w:szCs w:val="22"/>
                <w:u w:val="none"/>
              </w:rPr>
              <w:t xml:space="preserve">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means</w:t>
            </w:r>
            <w:proofErr w:type="gramEnd"/>
            <w:r w:rsidRPr="00DB41E3">
              <w:rPr>
                <w:rStyle w:val="Doubleunderline"/>
                <w:b w:val="0"/>
                <w:bCs w:val="0"/>
                <w:color w:val="0D0D0D" w:themeColor="text1" w:themeTint="F2"/>
                <w:sz w:val="22"/>
                <w:szCs w:val="22"/>
                <w:u w:val="none"/>
              </w:rPr>
              <w:t xml:space="preserve">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lastRenderedPageBreak/>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proofErr w:type="gramStart"/>
            <w:r w:rsidRPr="00DB41E3">
              <w:rPr>
                <w:rFonts w:ascii="Times New Roman" w:hAnsi="Times New Roman" w:cs="Times New Roman"/>
                <w:color w:val="0D0D0D" w:themeColor="text1" w:themeTint="F2"/>
              </w:rPr>
              <w:t>means</w:t>
            </w:r>
            <w:proofErr w:type="gramEnd"/>
            <w:r w:rsidRPr="00DB41E3">
              <w:rPr>
                <w:rFonts w:ascii="Times New Roman" w:hAnsi="Times New Roman" w:cs="Times New Roman"/>
                <w:color w:val="0D0D0D" w:themeColor="text1" w:themeTint="F2"/>
              </w:rPr>
              <w:t xml:space="preserve">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roofErr w:type="gramStart"/>
            <w:r w:rsidRPr="00DB41E3">
              <w:rPr>
                <w:rStyle w:val="Doubleunderline"/>
                <w:b w:val="0"/>
                <w:bCs w:val="0"/>
                <w:color w:val="0D0D0D" w:themeColor="text1" w:themeTint="F2"/>
                <w:sz w:val="22"/>
                <w:szCs w:val="22"/>
                <w:u w:val="none"/>
              </w:rPr>
              <w:t>has</w:t>
            </w:r>
            <w:proofErr w:type="gramEnd"/>
            <w:r w:rsidRPr="00DB41E3">
              <w:rPr>
                <w:rStyle w:val="Doubleunderline"/>
                <w:b w:val="0"/>
                <w:bCs w:val="0"/>
                <w:color w:val="0D0D0D" w:themeColor="text1" w:themeTint="F2"/>
                <w:sz w:val="22"/>
                <w:szCs w:val="22"/>
                <w:u w:val="none"/>
              </w:rPr>
              <w:t xml:space="preserve">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lastRenderedPageBreak/>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proofErr w:type="spellStart"/>
            <w:r w:rsidRPr="00DB41E3">
              <w:rPr>
                <w:sz w:val="22"/>
                <w:szCs w:val="22"/>
              </w:rPr>
              <w:t>i</w:t>
            </w:r>
            <w:proofErr w:type="spellEnd"/>
            <w:r w:rsidRPr="00DB41E3">
              <w:rPr>
                <w:sz w:val="22"/>
                <w:szCs w:val="22"/>
              </w:rPr>
              <w:t>.</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9DF10" w14:textId="77777777" w:rsidR="00BA39D5" w:rsidRDefault="00BA39D5" w:rsidP="003D5A4D">
      <w:pPr>
        <w:spacing w:after="0" w:line="240" w:lineRule="auto"/>
      </w:pPr>
      <w:r>
        <w:separator/>
      </w:r>
    </w:p>
  </w:endnote>
  <w:endnote w:type="continuationSeparator" w:id="0">
    <w:p w14:paraId="37D2983C" w14:textId="77777777" w:rsidR="00BA39D5" w:rsidRDefault="00BA39D5" w:rsidP="003D5A4D">
      <w:pPr>
        <w:spacing w:after="0" w:line="240" w:lineRule="auto"/>
      </w:pPr>
      <w:r>
        <w:continuationSeparator/>
      </w:r>
    </w:p>
  </w:endnote>
  <w:endnote w:type="continuationNotice" w:id="1">
    <w:p w14:paraId="63793573" w14:textId="77777777" w:rsidR="00BA39D5" w:rsidRDefault="00BA39D5"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D633EA">
          <w:rPr>
            <w:noProof/>
            <w:sz w:val="18"/>
            <w:szCs w:val="18"/>
          </w:rPr>
          <w:t>2</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D633EA">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D633EA">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AB2" w14:textId="77777777" w:rsidR="00BA39D5" w:rsidRDefault="00BA39D5" w:rsidP="003D5A4D">
      <w:pPr>
        <w:spacing w:after="0" w:line="240" w:lineRule="auto"/>
      </w:pPr>
      <w:r>
        <w:separator/>
      </w:r>
    </w:p>
  </w:footnote>
  <w:footnote w:type="continuationSeparator" w:id="0">
    <w:p w14:paraId="057E5BAD" w14:textId="77777777" w:rsidR="00BA39D5" w:rsidRDefault="00BA39D5" w:rsidP="003D5A4D">
      <w:pPr>
        <w:spacing w:after="0" w:line="240" w:lineRule="auto"/>
      </w:pPr>
      <w:r>
        <w:continuationSeparator/>
      </w:r>
    </w:p>
  </w:footnote>
  <w:footnote w:type="continuationNotice" w:id="1">
    <w:p w14:paraId="34DDD6F3" w14:textId="77777777" w:rsidR="00BA39D5" w:rsidRDefault="00BA39D5"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 xml:space="preserve">SEBI seeking an approval for the change in Sponsor 1, i.e., from Mr. </w:t>
      </w:r>
      <w:proofErr w:type="spellStart"/>
      <w:r w:rsidRPr="00CC18FA">
        <w:rPr>
          <w:sz w:val="16"/>
          <w:szCs w:val="16"/>
          <w:lang w:val="en-IN"/>
        </w:rPr>
        <w:t>Atul</w:t>
      </w:r>
      <w:proofErr w:type="spellEnd"/>
      <w:r w:rsidRPr="00CC18FA">
        <w:rPr>
          <w:sz w:val="16"/>
          <w:szCs w:val="16"/>
          <w:lang w:val="en-IN"/>
        </w:rPr>
        <w:t xml:space="preserve">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 xml:space="preserve">HS </w:t>
      </w:r>
      <w:proofErr w:type="spellStart"/>
      <w:r w:rsidRPr="009C1923">
        <w:rPr>
          <w:lang w:val="en-IN"/>
        </w:rPr>
        <w:t>Markit</w:t>
      </w:r>
      <w:proofErr w:type="spellEnd"/>
      <w:r w:rsidRPr="009C1923">
        <w:rPr>
          <w:lang w:val="en-IN"/>
        </w:rPr>
        <w:t xml:space="preserve">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proofErr w:type="spellStart"/>
      <w:r w:rsidRPr="009C1923">
        <w:rPr>
          <w:lang w:val="en-IN"/>
        </w:rPr>
        <w:t>Dr.</w:t>
      </w:r>
      <w:proofErr w:type="spellEnd"/>
      <w:r w:rsidRPr="009C1923">
        <w:rPr>
          <w:lang w:val="en-IN"/>
        </w:rPr>
        <w:t xml:space="preserve"> </w:t>
      </w:r>
      <w:proofErr w:type="spellStart"/>
      <w:r w:rsidRPr="009C1923">
        <w:rPr>
          <w:lang w:val="en-IN"/>
        </w:rPr>
        <w:t>Rumki</w:t>
      </w:r>
      <w:proofErr w:type="spellEnd"/>
      <w:r w:rsidRPr="009C1923">
        <w:rPr>
          <w:lang w:val="en-IN"/>
        </w:rPr>
        <w:t xml:space="preserve"> </w:t>
      </w:r>
      <w:proofErr w:type="spellStart"/>
      <w:r w:rsidRPr="009C1923">
        <w:rPr>
          <w:lang w:val="en-IN"/>
        </w:rPr>
        <w:t>Majumdar</w:t>
      </w:r>
      <w:proofErr w:type="spellEnd"/>
      <w:r w:rsidRPr="009C1923">
        <w:rPr>
          <w:lang w:val="en-IN"/>
        </w:rPr>
        <w:t xml:space="preserve">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6">
    <w:p w14:paraId="39C432C8" w14:textId="059B8340" w:rsidR="00862E13" w:rsidRDefault="00862E13">
      <w:pPr>
        <w:pStyle w:val="FootnoteText"/>
      </w:pPr>
      <w:r>
        <w:rPr>
          <w:rStyle w:val="FootnoteReference"/>
        </w:rPr>
        <w:footnoteRef/>
      </w:r>
      <w:r>
        <w:t xml:space="preserve"> </w:t>
      </w:r>
      <w:r w:rsidRPr="009C1923">
        <w:rPr>
          <w:lang w:val="en-IN"/>
        </w:rPr>
        <w:t xml:space="preserve">Ram </w:t>
      </w:r>
      <w:proofErr w:type="spellStart"/>
      <w:r w:rsidRPr="009C1923">
        <w:rPr>
          <w:lang w:val="en-IN"/>
        </w:rPr>
        <w:t>Sewak</w:t>
      </w:r>
      <w:proofErr w:type="spellEnd"/>
      <w:r w:rsidRPr="009C1923">
        <w:rPr>
          <w:lang w:val="en-IN"/>
        </w:rPr>
        <w:t xml:space="preserve">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proofErr w:type="gramStart"/>
      <w:r w:rsidRPr="009C1923">
        <w:rPr>
          <w:lang w:val="en-IN"/>
        </w:rPr>
        <w:t xml:space="preserve">Charles Wolf, Jr., Siddhartha </w:t>
      </w:r>
      <w:proofErr w:type="spellStart"/>
      <w:r w:rsidRPr="009C1923">
        <w:rPr>
          <w:lang w:val="en-IN"/>
        </w:rPr>
        <w:t>Dalal</w:t>
      </w:r>
      <w:proofErr w:type="spellEnd"/>
      <w:r w:rsidRPr="009C1923">
        <w:rPr>
          <w:lang w:val="en-IN"/>
        </w:rPr>
        <w:t xml:space="preserve">, et al (2020), ‘China and India 2025’, The National </w:t>
      </w:r>
      <w:proofErr w:type="spellStart"/>
      <w:r w:rsidRPr="009C1923">
        <w:rPr>
          <w:lang w:val="en-IN"/>
        </w:rPr>
        <w:t>Defense</w:t>
      </w:r>
      <w:proofErr w:type="spellEnd"/>
      <w:r w:rsidRPr="009C1923">
        <w:rPr>
          <w:lang w:val="en-IN"/>
        </w:rPr>
        <w:t xml:space="preserve"> Research Institute.</w:t>
      </w:r>
      <w:proofErr w:type="gramEnd"/>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 xml:space="preserve">Other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w:t>
      </w:r>
      <w:proofErr w:type="spellStart"/>
      <w:r w:rsidRPr="004B22B4">
        <w:rPr>
          <w:rFonts w:ascii="Times New Roman" w:hAnsi="Times New Roman" w:cs="Times New Roman"/>
          <w:sz w:val="18"/>
          <w:szCs w:val="18"/>
        </w:rPr>
        <w:t>assessees</w:t>
      </w:r>
      <w:proofErr w:type="spellEnd"/>
      <w:r w:rsidRPr="004B22B4">
        <w:rPr>
          <w:rFonts w:ascii="Times New Roman" w:hAnsi="Times New Roman" w:cs="Times New Roman"/>
          <w:sz w:val="18"/>
          <w:szCs w:val="18"/>
        </w:rPr>
        <w:t xml:space="preserve">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 xml:space="preserve">Health and Education </w:t>
      </w:r>
      <w:proofErr w:type="spellStart"/>
      <w:r w:rsidRPr="004B22B4">
        <w:t>Cess</w:t>
      </w:r>
      <w:proofErr w:type="spellEnd"/>
      <w:r w:rsidRPr="004B22B4">
        <w:t xml:space="preserve"> (‘</w:t>
      </w:r>
      <w:proofErr w:type="spellStart"/>
      <w:r w:rsidRPr="004B22B4">
        <w:t>cess</w:t>
      </w:r>
      <w:proofErr w:type="spellEnd"/>
      <w:r w:rsidRPr="004B22B4">
        <w:t xml:space="preserve">’) at the rate of 4% (irrespective of the level of income) is </w:t>
      </w:r>
      <w:proofErr w:type="spellStart"/>
      <w:r w:rsidRPr="004B22B4">
        <w:t>leviable</w:t>
      </w:r>
      <w:proofErr w:type="spellEnd"/>
      <w:r w:rsidRPr="004B22B4">
        <w:t xml:space="preserv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proofErr w:type="spellStart"/>
      <w:r w:rsidRPr="003D3770">
        <w:t>F.No</w:t>
      </w:r>
      <w:proofErr w:type="spellEnd"/>
      <w:r w:rsidRPr="003D3770">
        <w:t>.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w:t>
      </w:r>
      <w:proofErr w:type="gramStart"/>
      <w:r w:rsidRPr="00AE5E9C">
        <w:rPr>
          <w:rFonts w:ascii="Times New Roman" w:hAnsi="Times New Roman" w:cs="Times New Roman"/>
          <w:sz w:val="18"/>
          <w:szCs w:val="18"/>
        </w:rPr>
        <w:t>Circular No.</w:t>
      </w:r>
      <w:proofErr w:type="gramEnd"/>
      <w:r w:rsidRPr="00AE5E9C">
        <w:rPr>
          <w:rFonts w:ascii="Times New Roman" w:hAnsi="Times New Roman" w:cs="Times New Roman"/>
          <w:sz w:val="18"/>
          <w:szCs w:val="18"/>
        </w:rPr>
        <w:t xml:space="preserve">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w:t>
      </w:r>
      <w:proofErr w:type="spellStart"/>
      <w:r w:rsidRPr="00C64896">
        <w:rPr>
          <w:rFonts w:ascii="Times New Roman" w:hAnsi="Times New Roman" w:cs="Times New Roman"/>
          <w:sz w:val="18"/>
          <w:szCs w:val="18"/>
        </w:rPr>
        <w:t>deductee</w:t>
      </w:r>
      <w:proofErr w:type="spellEnd"/>
      <w:r w:rsidRPr="00C64896">
        <w:rPr>
          <w:rFonts w:ascii="Times New Roman" w:hAnsi="Times New Roman" w:cs="Times New Roman"/>
          <w:sz w:val="18"/>
          <w:szCs w:val="18"/>
        </w:rPr>
        <w:t xml:space="preserv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w:t>
      </w:r>
      <w:proofErr w:type="gramStart"/>
      <w:r w:rsidRPr="00FB6676">
        <w:rPr>
          <w:rFonts w:ascii="Times New Roman" w:hAnsi="Times New Roman" w:cs="Times New Roman"/>
          <w:sz w:val="18"/>
          <w:szCs w:val="18"/>
        </w:rPr>
        <w:t>:-</w:t>
      </w:r>
      <w:proofErr w:type="gramEnd"/>
      <w:r w:rsidRPr="00FB6676">
        <w:rPr>
          <w:rFonts w:ascii="Times New Roman" w:hAnsi="Times New Roman" w:cs="Times New Roman"/>
          <w:sz w:val="18"/>
          <w:szCs w:val="18"/>
        </w:rPr>
        <w:t xml:space="preserve">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E6CE1E9E">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38AC75A8">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507E511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B5FE7C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B3848082">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86CA8A5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F9DAC364">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6D583DBC">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E760072E">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F3F0F038">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77F9-645D-4259-9812-126B8B53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220</Pages>
  <Words>75514</Words>
  <Characters>430436</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6</cp:revision>
  <cp:lastPrinted>2022-06-03T06:06:00Z</cp:lastPrinted>
  <dcterms:created xsi:type="dcterms:W3CDTF">2023-04-18T09:37:00Z</dcterms:created>
  <dcterms:modified xsi:type="dcterms:W3CDTF">2023-04-18T10:03:00Z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