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t>DECEMBER 2022</w:t>
      </w:r>
    </w:p>
    <w:p w14:paraId="389D572E" w14:textId="77777777" w:rsidR="00C95C66" w:rsidRPr="00DB41E3" w:rsidRDefault="00C95C66" w:rsidP="00C95C66">
      <w:pPr>
        <w:spacing w:line="276" w:lineRule="auto"/>
        <w:jc w:val="center"/>
        <w:rPr>
          <w:color w:val="0D0D0D" w:themeColor="text1" w:themeTint="F2"/>
        </w:rPr>
      </w:pPr>
      <w: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t xml:space="preserve">CONFIDENTIAL PRIVATE PLACEMENT MEMORANDUM </w:t>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tab/>
        <w:tab/>
        <w:tab/>
        <w:tab/>
        <w:tab/>
        <w:t xml:space="preserve">For private circulation only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r/>
    </w:p>
    <w:p w14:paraId="7440A287" w14:textId="1B41B562" w:rsidR="00096CAF" w:rsidRPr="00DB41E3" w:rsidRDefault="0011359C" w:rsidP="0011359C">
      <w:pPr>
        <w:spacing w:line="276" w:lineRule="auto"/>
        <w:jc w:val="center"/>
        <w:rPr>
          <w:rFonts w:ascii="Times New Roman" w:hAnsi="Times New Roman" w:cs="Times New Roman"/>
          <w:b/>
        </w:rPr>
      </w:pPr>
      <w:r>
        <w:t>Elev8-Capital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t>By Elev8-Capital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t xml:space="preserve">‘Elev8-Capital AIF’ is registered with SEBI as a Category II Alternative Investment Fund with effect from September 01, 2022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Registration No. IN/AIF2/22-23/1123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Trustee:  Beacon Trusteeship Limited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Sponsor(s): Mr. Atul Jain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Investment Manager: Elevate Capital Management Services Private Limited</w:t>
      </w:r>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t xml:space="preserve">This Memorandum is being furnished to you on a confidential basis for you to consider investing in the Units of Elev8-Capital Fund I, a scheme of Elev8-Capital AIF,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r/>
    </w:p>
    <w:p w14:paraId="0D8CAE97" w14:textId="49DB6553" w:rsidR="004A54C9" w:rsidRPr="00DB41E3" w:rsidRDefault="00E764AF" w:rsidP="005C69F5">
      <w:pPr>
        <w:spacing w:line="276" w:lineRule="auto"/>
        <w:jc w:val="both"/>
        <w:rPr>
          <w:rFonts w:ascii="Times New Roman" w:eastAsia="Times New Roman" w:hAnsi="Times New Roman" w:cs="Times New Roman"/>
          <w:b/>
          <w:lang w:val="en-AU" w:eastAsia="en-GB"/>
        </w:rPr>
      </w:pPr>
      <w:r>
        <w:t xml:space="preserve">Name of Investor: _P̲a̲r̲a̲g̲ ̲P̲o̲d̲d̲a̲r̲ ______ </w:t>
        <w:tab/>
        <w:tab/>
        <w:t xml:space="preserve">            Copy No.___________________</w:t>
        <w:br/>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t xml:space="preserve">An investment in ‘Elev8-Capital Fund I’ 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t xml:space="preserve">No assurance can be given that Fund’s investment objective or investment strategy will be achieved. There can be no assurance that the Fund will achieve its target returns or returns comparable to those achieved by the entities with which the Sponsors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t xml:space="preserve"> Elev8-Capital Fund I is close ended with a tenure of 9 (nine) years from the First Closing which is further extendable by up to 2 (two) additional periods of 1 (one) year each with the prior consent of Two-Third Majority of Contributors and in the normal course, no exit option shall be available to the Investors until the end of the Term. </w:t>
      </w:r>
    </w:p>
    <w:p w14:paraId="6064444F" w14:textId="77777777" w:rsidR="00056F38" w:rsidRPr="00DB41E3" w:rsidRDefault="00056F38">
      <w:pPr>
        <w:rPr>
          <w:rFonts w:ascii="Times New Roman" w:hAnsi="Times New Roman" w:cs="Times New Roman"/>
          <w:b/>
        </w:rPr>
      </w:pPr>
      <w:r/>
    </w:p>
    <w:p w14:paraId="019D6956" w14:textId="77777777" w:rsidR="00056F38" w:rsidRPr="00DB41E3" w:rsidRDefault="00056F38">
      <w:pPr>
        <w:rPr>
          <w:rFonts w:ascii="Times New Roman" w:hAnsi="Times New Roman" w:cs="Times New Roman"/>
          <w:b/>
        </w:rPr>
      </w:pPr>
      <w:r/>
    </w:p>
    <w:p w14:paraId="0EDECB88" w14:textId="77777777" w:rsidR="00056F38" w:rsidRPr="00DB41E3" w:rsidRDefault="00056F38">
      <w:pPr>
        <w:rPr>
          <w:rFonts w:ascii="Times New Roman" w:hAnsi="Times New Roman" w:cs="Times New Roman"/>
          <w:b/>
        </w:rPr>
      </w:pPr>
      <w:r/>
    </w:p>
    <w:p w14:paraId="1432D83B" w14:textId="77777777" w:rsidR="00056F38" w:rsidRPr="00DB41E3" w:rsidRDefault="00650778">
      <w:pPr>
        <w:rPr>
          <w:rFonts w:ascii="Times New Roman" w:eastAsia="Times New Roman" w:hAnsi="Times New Roman" w:cs="Times New Roman"/>
          <w:b/>
          <w:lang w:val="en-AU" w:eastAsia="en-GB"/>
        </w:rPr>
      </w:pPr>
      <w:r>
        <w:t>………………………………..</w:t>
      </w:r>
    </w:p>
    <w:p w14:paraId="7D9E1AC5" w14:textId="77777777" w:rsidR="00056F38" w:rsidRPr="00DB41E3" w:rsidRDefault="00056F38">
      <w:pPr>
        <w:rPr>
          <w:rFonts w:ascii="Times New Roman" w:eastAsia="Times New Roman" w:hAnsi="Times New Roman" w:cs="Times New Roman"/>
          <w:b/>
          <w:lang w:val="en-AU" w:eastAsia="en-GB"/>
        </w:rPr>
      </w:pPr>
      <w:r>
        <w:t>(Signature of the Investor)</w:t>
      </w:r>
    </w:p>
    <w:p w14:paraId="3D241EF3" w14:textId="4563FFB8" w:rsidR="00CA1587" w:rsidRPr="00DB41E3" w:rsidRDefault="00056F38" w:rsidP="005C69F5">
      <w:pPr>
        <w:ind w:left="5040" w:hanging="5040"/>
        <w:rPr>
          <w:rFonts w:ascii="Times New Roman" w:eastAsia="Times New Roman" w:hAnsi="Times New Roman" w:cs="Times New Roman"/>
          <w:b/>
          <w:lang w:val="en-AU" w:eastAsia="en-GB"/>
        </w:rPr>
      </w:pPr>
      <w:r>
        <w:t>Name of the Investor: _P̲a̲r̲a̲g̲ ̲P̲o̲d̲d̲a̲r̲ _____</w:t>
        <w:tab/>
        <w:t xml:space="preserve">Name of the Distributor (if applicable):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t>__________________________________</w:t>
      </w:r>
    </w:p>
    <w:p w14:paraId="0A7C991C" w14:textId="03127B4E" w:rsidR="00056F38" w:rsidRPr="00DB41E3" w:rsidRDefault="00056F38">
      <w:pPr>
        <w:rPr>
          <w:rFonts w:ascii="Times New Roman" w:eastAsia="Times New Roman" w:hAnsi="Times New Roman" w:cs="Times New Roman"/>
          <w:b/>
          <w:lang w:val="en-AU" w:eastAsia="en-GB"/>
        </w:rPr>
      </w:pPr>
      <w:r>
        <w:t>Date: _______1̲8̲-̲0̲4̲-̲2̲0̲2̲3_______</w:t>
      </w:r>
    </w:p>
    <w:p w14:paraId="690A6A89" w14:textId="72148E7D" w:rsidR="00E764AF" w:rsidRPr="00DB41E3" w:rsidRDefault="00056F38">
      <w:pPr>
        <w:rPr>
          <w:rFonts w:ascii="Times New Roman" w:eastAsia="Times New Roman" w:hAnsi="Times New Roman" w:cs="Times New Roman"/>
          <w:b/>
          <w:lang w:val="en-AU" w:eastAsia="en-GB"/>
        </w:rPr>
      </w:pPr>
      <w:r>
        <w:t>Place: ___H̲y̲d̲e̲r̲a̲b̲a̲d___________</w:t>
        <w:br/>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t xml:space="preserve">This confidential Memorandum is issued in connection with and relates to an investment in the Units of the Fund. The Trust is registered with SEBI as a Category II AIF under the Regulations. This Memorandum does not constitute an offer or a solicitation of an offer to subscribe to the Units described herein from any Person other than the Person whose name appears on the cover page of this Memorandum. No Person, other than such Person, receiving a copy of this Memorandum, may treat the same as constituting an offer or a solicitation of an offer to subscribe to the Units of the Fund 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(i)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for the Fund is not exhaustive and may be changed. This Memorandum is not an offer to subscribe to the Units and does not solicit an offer to subscribe to Units in any jurisdiction where the offer or sale is not permitted. An offer or solicitation in respect of the Units in the Fund will be made only through the final form of the Memorandum.</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is current as on the date of this Memorandum, and may be supplemented, amended or modified from time to time by any further information in a supplemental information memorandum in which event the information in this Memorandum shall be read as supplemented, amended or modified by such additional information, as the case may be. The supplemental information memorandum shall be provided to the Investors as early as possible (in no case later than 1 month from the end of the financial year) regarding which this Memorandum is supplemented, amended or modified. Neither the delivery of this Memorandum at any time, nor any sale hereafter, 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t>Investment in the Units will involve significant risks due to, among other things, the nature of the Fund’s investments. See ‘Section X: Risk Factors’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Units on a stock exchange, there can be no guarantee that there will be a public market for the Units or the Units will fetch fair value. An investment in the Fund involves significant investment risks, including loss of a prospective investor’s entire investment. Please refer to ‘SECTION X: RISK FACTORS’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t xml:space="preserve">Notwithstanding anything contained in the Fund Documents, the Investment Manager shall continue to be responsible for compliance with the Regulations and other Applicable Laws in relation to the operation and reporting by AIFs. The Investment Manager has taken reasonable care to ensure that the information in this Memorandum is true and accurate in all material respects and that there are no material facts, the omission of which would make any statement in this Memorandum, whether of fact or opinion, misleading. No other representation, warranty or undertaking is given in respect of the information in this Memorandum by the Investment Manager or by any other Person duly authorized by the Investment Manager and neither the Investment Manager nor any other Person duly authorized by the Investment Manager takes responsibility for the consequences of reliance upon any statement or information contained in, or any omissions from, this Memorandum.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t>The information on taxation contained in this Memorandum is a summary of certain tax considerations but is not intended to be a complete discussion of all tax considerations. The contents of this Memorandum 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t xml:space="preserve">Prospective investors should review the Fund Documents carefully. Nothing in this Memorandum, the information contained in it or any other information supplied in connection with the Fund/Trust (other than the Fund Documents, the terms set out in ‘SECTION VII: PRINCIPAL TERMS OF THE FUND’ of this Memorandum to the extent incorporated in the Fund Documents by reference, and the confidentiality understanding contained herein) shall form 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The Units of the Fund are not being offered for sale or subscription to the public, but are being privately placed with a limited number of eligible investors as per the Regulations. Information provided herein has not been approved by SEBI or any other legal or regulatory authority in India, nor has any such regulatory authority passed upon or endorsed the accuracy or adequacy of this Memorandum.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t>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t>The defined terms used in this Memorandum shall have the meaning as ascribed to them under ‘SECTION XV: GLOSSARY’ 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t xml:space="preserve">Investors may request additional information in relation to the Fund by writing to the Investment 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t>Name of the Investment Manager: 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t xml:space="preserve">Name of contact person: Mr. Navin Honagudi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t xml:space="preserve">  Communication address: Office No. 203/204, B Wing, Mittal Commercia, Off Andheri Kurla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t xml:space="preserve">Telephone No.: +91 9324579117 </w:t>
      </w:r>
    </w:p>
    <w:p w14:paraId="2D18EABF" w14:textId="22A1214E" w:rsidR="008270FB" w:rsidRPr="00DB41E3" w:rsidRDefault="00E764AF" w:rsidP="008270FB">
      <w:pPr>
        <w:spacing w:line="276" w:lineRule="auto"/>
        <w:jc w:val="both"/>
        <w:rPr>
          <w:rFonts w:ascii="Times New Roman" w:hAnsi="Times New Roman" w:cs="Times New Roman"/>
          <w:lang w:val="pt-PT"/>
        </w:rPr>
      </w:pPr>
      <w:r>
        <w:t>E-mail: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r/>
    </w:p>
    <w:p w14:paraId="303EF390" w14:textId="77777777" w:rsidR="00EE5BB3" w:rsidRPr="00DB41E3" w:rsidRDefault="00EE5BB3">
      <w:pPr>
        <w:rPr>
          <w:rFonts w:ascii="Times New Roman" w:hAnsi="Times New Roman" w:cs="Times New Roman"/>
          <w:b/>
          <w:lang w:val="pt-PT"/>
        </w:rPr>
      </w:pPr>
      <w:r/>
    </w:p>
    <w:p w14:paraId="7A12ACAE" w14:textId="77777777" w:rsidR="00EE5BB3" w:rsidRPr="00DB41E3" w:rsidRDefault="00EE5BB3">
      <w:pPr>
        <w:rPr>
          <w:rFonts w:ascii="Times New Roman" w:hAnsi="Times New Roman" w:cs="Times New Roman"/>
          <w:b/>
          <w:lang w:val="pt-PT"/>
        </w:rPr>
      </w:pPr>
      <w:r>
        <w:br/>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t>PART - A</w:t>
      </w:r>
    </w:p>
    <w:p w14:paraId="3C46D5ED" w14:textId="149B2590" w:rsidR="00EE5BB3" w:rsidRPr="00DB41E3" w:rsidRDefault="00EE5BB3" w:rsidP="00E15516">
      <w:pPr>
        <w:pStyle w:val="Heading1"/>
        <w:rPr>
          <w:lang w:val="pt-PT"/>
        </w:rPr>
      </w:pPr>
      <w:r>
        <w:t>DIRECTORY</w:t>
      </w:r>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Mr. Atul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702 Arihant,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Khar Gulnaz CHS Ltd., Plot 613 B, Bandra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Comme</w:t>
            </w:r>
            <w:r w:rsidR="00DE452E" w:rsidRPr="00DB41E3">
              <w:rPr>
                <w:rFonts w:ascii="Times New Roman" w:hAnsi="Times New Roman" w:cs="Times New Roman"/>
              </w:rPr>
              <w:t>r</w:t>
            </w:r>
            <w:r w:rsidRPr="00DB41E3">
              <w:rPr>
                <w:rFonts w:ascii="Times New Roman" w:hAnsi="Times New Roman" w:cs="Times New Roman"/>
              </w:rPr>
              <w:t>cia, Off Andheri Kurla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Office No. 203/204, B Wing, Mittal Comme</w:t>
            </w:r>
            <w:r w:rsidR="00DE452E" w:rsidRPr="00DB41E3">
              <w:rPr>
                <w:rFonts w:ascii="Times New Roman" w:hAnsi="Times New Roman" w:cs="Times New Roman"/>
              </w:rPr>
              <w:t>r</w:t>
            </w:r>
            <w:r w:rsidR="00E75759" w:rsidRPr="00DB41E3">
              <w:rPr>
                <w:rFonts w:ascii="Times New Roman" w:hAnsi="Times New Roman" w:cs="Times New Roman"/>
              </w:rPr>
              <w:t>cia, Off Andheri Kurla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4C &amp; D Siddhivinayak Chambers, Gandhi Nagar, Opposite MIG Cricket Club, Bandra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t>________________________________________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209, Hubtown Solaris</w:t>
            </w:r>
            <w:r w:rsidRPr="00DB41E3">
              <w:rPr>
                <w:rFonts w:ascii="Times New Roman" w:hAnsi="Times New Roman"/>
              </w:rPr>
              <w:t xml:space="preserve">, </w:t>
            </w:r>
            <w:r w:rsidR="00EE5BB3" w:rsidRPr="00DB41E3">
              <w:rPr>
                <w:rFonts w:ascii="Times New Roman" w:hAnsi="Times New Roman"/>
              </w:rPr>
              <w:t>Prof. N.S. Phadke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267A178E" w14:textId="77777777" w:rsidR="00930797" w:rsidRPr="00DB41E3" w:rsidRDefault="00930797" w:rsidP="002A0C2F">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Price Waterhouse &amp; Co LLP, Sucheta Bhawan, 11-A, Vishnu Digambar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58375E4B" w14:textId="77777777" w:rsidR="00912338" w:rsidRPr="00DB41E3" w:rsidRDefault="00912338" w:rsidP="00912338">
      <w:pPr>
        <w:rPr>
          <w:rFonts w:ascii="Times New Roman" w:hAnsi="Times New Roman" w:cs="Times New Roman"/>
          <w:b/>
        </w:rPr>
      </w:pPr>
      <w: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t xml:space="preserve"> __________________________________________</w:t>
      </w:r>
    </w:p>
    <w:p w14:paraId="70ED61C5" w14:textId="77777777" w:rsidR="00912338" w:rsidRPr="00DB41E3" w:rsidRDefault="00912338" w:rsidP="00912338">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b/>
                <w:lang w:val="en-IN"/>
              </w:rPr>
              <w:t>Fedex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B7 Wing, Jay Chambers, Dayaldas Road, Ville Parle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0504415E" w14:textId="77777777" w:rsidR="00323964" w:rsidRPr="00DB41E3" w:rsidRDefault="00323964" w:rsidP="00323964">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11CCF67B" w14:textId="77777777" w:rsidR="00912338" w:rsidRPr="00DB41E3" w:rsidRDefault="00912338" w:rsidP="00912338">
      <w:pPr>
        <w:rPr>
          <w:rFonts w:ascii="Times New Roman" w:hAnsi="Times New Roman" w:cs="Times New Roman"/>
          <w:b/>
        </w:rPr>
      </w:pPr>
      <w: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br/>
      </w:r>
    </w:p>
    <w:p w14:paraId="044B1C5F" w14:textId="49EBE5C6" w:rsidR="00930797" w:rsidRPr="00DB41E3" w:rsidRDefault="00350487" w:rsidP="00E15516">
      <w:pPr>
        <w:pStyle w:val="Heading1"/>
      </w:pPr>
      <w:r>
        <w:t>TABLE OF CONTENTS</w:t>
      </w:r>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br/>
      </w:r>
    </w:p>
    <w:p w14:paraId="42BDB812" w14:textId="363C0914" w:rsidR="00983721" w:rsidRPr="00DB41E3" w:rsidRDefault="00983721" w:rsidP="00E15516">
      <w:pPr>
        <w:pStyle w:val="Heading1"/>
      </w:pPr>
      <w:r>
        <w:t>SECTION I: EXECUTIVE SUMMARY</w:t>
      </w:r>
    </w:p>
    <w:p w14:paraId="034B5ADE" w14:textId="3B9862A1" w:rsidR="00E0002E" w:rsidRPr="00DB41E3" w:rsidRDefault="00FB08F4" w:rsidP="00983721">
      <w:pPr>
        <w:spacing w:line="276" w:lineRule="auto"/>
        <w:jc w:val="both"/>
        <w:rPr>
          <w:rFonts w:ascii="Times New Roman" w:hAnsi="Times New Roman" w:cs="Times New Roman"/>
        </w:rPr>
      </w:pPr>
      <w:r>
        <w:br/>
        <w:t>The principal terms of the offering are summarized below. The information in this section is subject to detailed information provided elsewhere in this Memorandum. Investors should read the entire Memorandum carefully before making a decision to invest in the units of the Fund/Trust.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Mr. Atul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r w:rsidR="002F697B" w:rsidRPr="00DB41E3">
              <w:rPr>
                <w:rFonts w:ascii="Times New Roman" w:hAnsi="Times New Roman" w:cs="Times New Roman"/>
                <w:lang w:val="en-IN"/>
              </w:rPr>
              <w:t xml:space="preserve">Rs.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r w:rsidR="002F697B" w:rsidRPr="00DB41E3">
              <w:rPr>
                <w:rFonts w:ascii="Times New Roman" w:hAnsi="Times New Roman" w:cs="Times New Roman"/>
                <w:lang w:val="en-IN"/>
              </w:rPr>
              <w:t xml:space="preserve">Rs.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eastAsia="Times New Roman" w:hAnsi="Times New Roman" w:cs="Times New Roman"/>
                <w:lang w:val="en-IN"/>
              </w:rPr>
              <w:t>lass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To Eligible Persons who are strategically important/valuable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r w:rsidRPr="00DB41E3">
                    <w:rPr>
                      <w:sz w:val="22"/>
                      <w:szCs w:val="22"/>
                      <w:lang w:val="en-IN"/>
                    </w:rPr>
                    <w:t>Rs.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r w:rsidRPr="00DB41E3">
                    <w:rPr>
                      <w:sz w:val="22"/>
                      <w:szCs w:val="22"/>
                      <w:lang w:val="en-IN"/>
                    </w:rPr>
                    <w:t>Rs.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2.5% (two and a half percent) of the Corpus or Rs. 5,00,00,000 (Indian Rupees Five Crores), whichever is lower</w:t>
                  </w:r>
                  <w:r w:rsidR="009C22CF" w:rsidRPr="00DB41E3">
                    <w:rPr>
                      <w:sz w:val="22"/>
                      <w:szCs w:val="22"/>
                      <w:lang w:val="en-IN"/>
                    </w:rPr>
                    <w:t xml:space="preserve"> or Rs.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r w:rsidRPr="00DB41E3">
                    <w:rPr>
                      <w:sz w:val="22"/>
                      <w:szCs w:val="22"/>
                      <w:lang w:val="en-IN"/>
                    </w:rPr>
                    <w:t>Rs.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r w:rsidRPr="00DB41E3">
                    <w:rPr>
                      <w:lang w:val="en-IN"/>
                    </w:rPr>
                    <w:t>Rs.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r w:rsidRPr="00DB41E3">
                    <w:rPr>
                      <w:sz w:val="22"/>
                      <w:szCs w:val="22"/>
                      <w:lang w:val="en-IN"/>
                    </w:rPr>
                    <w:t>Rs. 25,00,000</w:t>
                  </w:r>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Rs.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r w:rsidRPr="00DB41E3">
                    <w:rPr>
                      <w:sz w:val="22"/>
                      <w:szCs w:val="22"/>
                      <w:lang w:val="en-IN"/>
                    </w:rPr>
                    <w:t>Rs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r w:rsidRPr="00DB41E3">
                    <w:rPr>
                      <w:sz w:val="22"/>
                      <w:szCs w:val="22"/>
                      <w:lang w:val="en-IN"/>
                    </w:rPr>
                    <w:t>Rs.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Rs.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r w:rsidR="001177AB">
              <w:rPr>
                <w:rFonts w:ascii="Times New Roman" w:hAnsi="Times New Roman" w:cs="Times New Roman"/>
                <w:lang w:val="en-IN"/>
              </w:rPr>
              <w:t xml:space="preserve">Ko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Rs. </w:t>
            </w:r>
            <w:r w:rsidR="00F76BDD" w:rsidRPr="00DB41E3">
              <w:rPr>
                <w:rFonts w:ascii="Times New Roman" w:hAnsi="Times New Roman" w:cs="Times New Roman"/>
                <w:lang w:val="en-IN"/>
              </w:rPr>
              <w:t>20</w:t>
            </w:r>
            <w:r w:rsidR="009A5491" w:rsidRPr="00DB41E3">
              <w:rPr>
                <w:rFonts w:ascii="Times New Roman" w:hAnsi="Times New Roman" w:cs="Times New Roman"/>
                <w:lang w:val="en-IN"/>
              </w:rPr>
              <w:t xml:space="preserve">,00,00,000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(i)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leviable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leviable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br/>
      </w:r>
    </w:p>
    <w:p w14:paraId="2DA841D9" w14:textId="7A60DA6A" w:rsidR="006525E3" w:rsidRPr="00DB41E3" w:rsidRDefault="006525E3" w:rsidP="00E15516">
      <w:pPr>
        <w:pStyle w:val="Heading1"/>
      </w:pPr>
      <w:r>
        <w:t>SECTION II: MARKET OPPORTUNITY / INDIAN ECONOMY / INDUSTRY OUTLOOK</w:t>
      </w:r>
    </w:p>
    <w:p w14:paraId="2AF2F365" w14:textId="76E3D041" w:rsidR="006525E3" w:rsidRPr="00DB41E3" w:rsidRDefault="00FB08F4" w:rsidP="002A0C2F">
      <w:pPr>
        <w:pStyle w:val="abcd"/>
        <w:ind w:left="0" w:firstLine="0"/>
        <w:rPr>
          <w:rFonts w:ascii="Times New Roman" w:hAnsi="Times New Roman"/>
          <w:i/>
          <w:sz w:val="22"/>
          <w:szCs w:val="22"/>
        </w:rPr>
      </w:pPr>
      <w:r>
        <w:br/>
        <w:t>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does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r/>
    </w:p>
    <w:p w14:paraId="5C11B784" w14:textId="2BCD69C4" w:rsidR="005347B9" w:rsidRPr="00DB41E3" w:rsidRDefault="00EF28AF" w:rsidP="002C3873">
      <w:pPr>
        <w:spacing w:line="276" w:lineRule="auto"/>
        <w:jc w:val="both"/>
        <w:rPr>
          <w:rFonts w:ascii="Times New Roman" w:hAnsi="Times New Roman" w:cs="Times New Roman"/>
        </w:rPr>
      </w:pPr>
      <w:r>
        <w:t>Views on Indian Economy</w:t>
      </w:r>
    </w:p>
    <w:p w14:paraId="3E5359D1" w14:textId="217E954D" w:rsidR="008355C5" w:rsidRPr="00DB41E3" w:rsidRDefault="008355C5" w:rsidP="008355C5">
      <w:pPr>
        <w:spacing w:before="240" w:after="240"/>
        <w:jc w:val="both"/>
        <w:rPr>
          <w:rFonts w:ascii="Times New Roman" w:hAnsi="Times New Roman"/>
        </w:rPr>
      </w:pPr>
      <w:r>
        <w:t>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between 2020-2025.</w:t>
      </w:r>
    </w:p>
    <w:p w14:paraId="1EA98D48" w14:textId="7CBC35A1" w:rsidR="008355C5" w:rsidRPr="00DB41E3" w:rsidRDefault="008355C5" w:rsidP="008355C5">
      <w:pPr>
        <w:spacing w:before="240" w:after="240"/>
        <w:jc w:val="both"/>
        <w:rPr>
          <w:rFonts w:ascii="Times New Roman" w:hAnsi="Times New Roman"/>
        </w:rPr>
      </w:pPr>
      <w:r>
        <w:t>India's consumption expenditure is set to double from $1.6 trillion in 2020 to $3.2 trillion by 2030, boosted by strong annual GDP growth and rapidly rising per capita income for the country's fast- growing middle-class urban households.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p>
    <w:p w14:paraId="699DBB46" w14:textId="69E60E6C" w:rsidR="008355C5" w:rsidRPr="00DB41E3" w:rsidRDefault="008355C5" w:rsidP="008355C5">
      <w:pPr>
        <w:spacing w:before="240" w:after="240"/>
        <w:jc w:val="both"/>
        <w:rPr>
          <w:rFonts w:ascii="Times New Roman" w:hAnsi="Times New Roman"/>
          <w:color w:val="0E101A"/>
          <w:highlight w:val="white"/>
        </w:rPr>
      </w:pPr>
      <w:r>
        <w:t>India has 1.18 billion mobile connections, 700 million internet users, and 600 million smartphones, which are increasing 25 million per quarter. The total active internet population in India is likely to touch 900 million by 2025 from 700 million in 2021. 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 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t>The Investment Manager anticipates that the relative labor abundance in India will bring higher capital returns and attract a rising share of global foreign direct investment to India in the next 5 years. India’s likely continuation of its recent rapid growth could result in the tripling of India’s average household income over the next two decades. If this trend is sustained, India will become the world’s fifth-largest consumer economy by 2025.</w:t>
      </w:r>
    </w:p>
    <w:p w14:paraId="398DD093" w14:textId="4F278798" w:rsidR="002C3873" w:rsidRPr="00DB41E3" w:rsidRDefault="002C3873" w:rsidP="00493FE6">
      <w:pPr>
        <w:jc w:val="both"/>
        <w:rPr>
          <w:rFonts w:ascii="Times New Roman" w:hAnsi="Times New Roman"/>
          <w:lang w:val="en-AU"/>
        </w:rPr>
      </w:pPr>
      <w:r/>
    </w:p>
    <w:p w14:paraId="5E276F4D" w14:textId="29E5B863" w:rsidR="002C0741" w:rsidRPr="00DB41E3" w:rsidRDefault="002C0741" w:rsidP="00F318C5">
      <w:pPr>
        <w:rPr>
          <w:rFonts w:ascii="Times New Roman" w:hAnsi="Times New Roman" w:cs="Times New Roman"/>
        </w:rPr>
      </w:pPr>
      <w:r/>
    </w:p>
    <w:p w14:paraId="6CDF7884" w14:textId="541F55E4" w:rsidR="002C0741" w:rsidRPr="00DB41E3" w:rsidRDefault="002C0741" w:rsidP="002C0741">
      <w:pPr>
        <w:rPr>
          <w:rFonts w:ascii="Times New Roman" w:hAnsi="Times New Roman" w:cs="Times New Roman"/>
        </w:rPr>
      </w:pPr>
      <w:r/>
    </w:p>
    <w:p w14:paraId="3BAC2DF7" w14:textId="77777777" w:rsidR="002C3873" w:rsidRPr="00DB41E3" w:rsidRDefault="002C3873" w:rsidP="002C3873">
      <w:pPr>
        <w:rPr>
          <w:rFonts w:ascii="Times New Roman" w:hAnsi="Times New Roman" w:cs="Times New Roman"/>
        </w:rPr>
      </w:pPr>
      <w:r/>
    </w:p>
    <w:p w14:paraId="18987D15" w14:textId="77777777" w:rsidR="005A650B" w:rsidRPr="00DB41E3" w:rsidRDefault="005A650B">
      <w:pPr>
        <w:rPr>
          <w:rFonts w:ascii="Times New Roman" w:hAnsi="Times New Roman" w:cs="Times New Roman"/>
          <w:b/>
        </w:rPr>
      </w:pPr>
      <w:r>
        <w:br/>
      </w:r>
    </w:p>
    <w:p w14:paraId="7A596E00" w14:textId="2D044A05" w:rsidR="004F370B" w:rsidRPr="00DB41E3" w:rsidRDefault="004F370B" w:rsidP="00E15516">
      <w:pPr>
        <w:pStyle w:val="Heading1"/>
        <w:rPr>
          <w:w w:val="0"/>
        </w:rPr>
      </w:pPr>
      <w:r>
        <w:t>SECTION III: INVESTMENT OBJECTIVE, STRATEGY AND PROCESS</w:t>
      </w:r>
    </w:p>
    <w:p w14:paraId="53DDE797" w14:textId="77777777" w:rsidR="004F370B" w:rsidRPr="00DB41E3" w:rsidRDefault="004F370B" w:rsidP="004F370B">
      <w:pPr>
        <w:pStyle w:val="BodyText"/>
        <w:spacing w:before="6"/>
        <w:rPr>
          <w:b/>
          <w:bCs/>
          <w:w w:val="0"/>
          <w:sz w:val="22"/>
          <w:szCs w:val="22"/>
        </w:rPr>
      </w:pPr>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r w:rsidR="009241A8" w:rsidRPr="00DB41E3">
              <w:rPr>
                <w:rFonts w:ascii="Times New Roman" w:hAnsi="Times New Roman" w:cs="Times New Roman"/>
                <w:iCs/>
                <w:w w:val="0"/>
                <w:sz w:val="22"/>
                <w:szCs w:val="22"/>
              </w:rPr>
              <w:t xml:space="preserve">is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t>The focus will be to build a concentrated portfolio of 12 to 15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t>SMB Digitisation: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r/>
    </w:p>
    <w:p w14:paraId="6C990343" w14:textId="442EDB7E" w:rsidR="002752DB" w:rsidRPr="00DB41E3" w:rsidRDefault="002752DB" w:rsidP="00BA36C7">
      <w:pPr>
        <w:pStyle w:val="ListParagraph"/>
        <w:numPr>
          <w:ilvl w:val="0"/>
          <w:numId w:val="171"/>
        </w:numPr>
        <w:spacing w:line="276" w:lineRule="auto"/>
        <w:ind w:left="360"/>
        <w:jc w:val="both"/>
        <w:rPr>
          <w:szCs w:val="22"/>
        </w:rPr>
      </w:pPr>
      <w:r>
        <w:t>SaaS: India’s Software-as-a-Service industry has more than 1,000 registered companies with over 150 companies generating an annual recurring revenue of more than $1 million. SaaS is intrinsically a scalable and secure business model. Companies are shifting from traditional on-premise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r/>
    </w:p>
    <w:p w14:paraId="451F0C30" w14:textId="54A73F86" w:rsidR="002752DB" w:rsidRPr="00DB41E3" w:rsidRDefault="002752DB" w:rsidP="00BA36C7">
      <w:pPr>
        <w:pStyle w:val="ListParagraph"/>
        <w:numPr>
          <w:ilvl w:val="0"/>
          <w:numId w:val="171"/>
        </w:numPr>
        <w:spacing w:line="276" w:lineRule="auto"/>
        <w:ind w:left="360"/>
        <w:jc w:val="both"/>
        <w:rPr>
          <w:szCs w:val="22"/>
        </w:rPr>
      </w:pPr>
      <w:r>
        <w:t>Commerce 2.0: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r/>
    </w:p>
    <w:p w14:paraId="5323682D" w14:textId="0F3B6C82" w:rsidR="002752DB" w:rsidRPr="00DB41E3" w:rsidRDefault="002752DB" w:rsidP="00BA36C7">
      <w:pPr>
        <w:pStyle w:val="ListParagraph"/>
        <w:numPr>
          <w:ilvl w:val="0"/>
          <w:numId w:val="171"/>
        </w:numPr>
        <w:spacing w:line="276" w:lineRule="auto"/>
        <w:ind w:left="360"/>
        <w:jc w:val="both"/>
        <w:rPr>
          <w:szCs w:val="22"/>
        </w:rPr>
      </w:pPr>
      <w:r>
        <w:t>Health-Tech: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healthtech market less than 1% of overall healthcare market. Some of the factors driving this growth include customers readily adopting healthtech,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healthtech are the two largest segments in the sector and account for about 70% of the overall healthtech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r/>
    </w:p>
    <w:p w14:paraId="10605EEB" w14:textId="7CECC3EC" w:rsidR="002752DB" w:rsidRPr="00DB41E3" w:rsidRDefault="002752DB" w:rsidP="00BA36C7">
      <w:pPr>
        <w:pStyle w:val="ListParagraph"/>
        <w:numPr>
          <w:ilvl w:val="0"/>
          <w:numId w:val="171"/>
        </w:numPr>
        <w:spacing w:line="276" w:lineRule="auto"/>
        <w:ind w:left="360"/>
        <w:jc w:val="both"/>
        <w:rPr>
          <w:szCs w:val="22"/>
        </w:rPr>
      </w:pPr>
      <w:r>
        <w:t xml:space="preserve">Consumer Products: The growth in India’s consumer market would be primarily driven by a favorable population composition and increasing disposable income. the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Bn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r/>
    </w:p>
    <w:p w14:paraId="5C26054E" w14:textId="2C835E81" w:rsidR="002752DB" w:rsidRPr="00DB41E3" w:rsidRDefault="002752DB" w:rsidP="00BA36C7">
      <w:pPr>
        <w:pStyle w:val="ListParagraph"/>
        <w:numPr>
          <w:ilvl w:val="0"/>
          <w:numId w:val="171"/>
        </w:numPr>
        <w:spacing w:line="276" w:lineRule="auto"/>
        <w:ind w:left="360"/>
        <w:jc w:val="both"/>
        <w:rPr>
          <w:szCs w:val="22"/>
        </w:rPr>
      </w:pPr>
      <w:r>
        <w:t>Fintech: India is well-positioned to achieve a FinTech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 xml:space="preserve">Due to various factors such as an innovation-driven startup scene, a highly favourable market, enhanced smartphone and internet penetration levels, a young population with the median age in the 20s, and government-led attempts to promote the industry, the country offers a great space for a FinTech revolution. In addition, the growing awareness of financial technology has provided the Indian FinTech industry with a much-needed boost. FinTech companies' growing partnerships with traditional banking, insurance, and retail sectors, where they are actively catering to evolving customer needs, will further accelerate FinTech's expansion in India. All these factors indicate a positive shift towards FinTech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t xml:space="preserve">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t>The Investment policy 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the top performing companies in the market that are leaders in their category, growing rapidly and/or have best in class unit economics;</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Portfolio Entities from Series B stage, where the product’s market fit has been established and one round of institutional funding has already taken place;</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average ticket size would tentatively range from INR 20 Crores to 50 Crores, with a focus on acquiring a minimum shareholding of at least 1% in potential investee companies;</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Fund will also seek to negotiate a right to a seat on the board of directors or equivalent in Portfolio Entities to protect the Fund’s interest;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Such other entities that the Fund is permitted to invest in, in India or other jurisdictions, in accordance with Applicable Laws, if determined fit by the Investment Manager.</w:t>
      </w:r>
    </w:p>
    <w:p w14:paraId="72324ADE" w14:textId="77777777" w:rsidR="00B0141A" w:rsidRPr="00DB41E3" w:rsidRDefault="00B0141A" w:rsidP="00FD6C41">
      <w:pPr>
        <w:spacing w:line="276" w:lineRule="auto"/>
        <w:jc w:val="both"/>
        <w:rPr>
          <w:rFonts w:ascii="Times New Roman" w:hAnsi="Times New Roman" w:cs="Times New Roman"/>
        </w:rPr>
      </w:pPr>
      <w: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t>The key components of the Investment process 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Deal Sourcing - Deals will be mostly sourced through the strategic network of the Investment Manager. The members of the Investment Manager have built a reputation as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t>The combined platform of the investment management team together with their strong relationships / network,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Deal Structuring - The deal structure is an important part of the investment process as it helps mitigate risks. The Investment Manager would be creative in deal structuring and would rely on the extensive experience of the team of the 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Initial 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Management Team: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Business Models: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r>
        <w:t>Valuation and Exit: The team will analyze deals from valuation and exit standpoint. For valuation of the Portfolio Investment, the Investment Manager will follow the International Private Equity and Venture Capital Valuation Guidelines, as may be amended from time to time,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tab/>
        <w:t>● Benchmarking valuations with past and existing deals in a similar segment and stage.</w:t>
      </w:r>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tab/>
        <w:t>● Structuring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tab/>
        <w:t xml:space="preserve">● 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t xml:space="preserve">   checks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br/>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t>Supplementary Section</w:t>
      </w:r>
    </w:p>
    <w:p w14:paraId="0AA8092F" w14:textId="77777777" w:rsidR="005311EE" w:rsidRPr="00DB41E3" w:rsidRDefault="005311EE" w:rsidP="004F370B">
      <w:pPr>
        <w:pStyle w:val="BodyText"/>
        <w:jc w:val="both"/>
        <w:rPr>
          <w:b/>
          <w:i/>
          <w:w w:val="0"/>
          <w:sz w:val="22"/>
          <w:szCs w:val="22"/>
          <w:u w:val="single"/>
        </w:rPr>
      </w:pPr>
      <w: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t xml:space="preserve">Investment Restrictions </w:t>
      </w:r>
    </w:p>
    <w:p w14:paraId="6E8AAFF4" w14:textId="77777777" w:rsidR="004F370B" w:rsidRPr="00DB41E3" w:rsidRDefault="004F370B" w:rsidP="004F370B">
      <w:pPr>
        <w:spacing w:line="276" w:lineRule="auto"/>
        <w:jc w:val="both"/>
        <w:rPr>
          <w:rFonts w:ascii="Times New Roman" w:hAnsi="Times New Roman" w:cs="Times New Roman"/>
        </w:rPr>
      </w:pPr>
      <w:r>
        <w:t>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t xml:space="preserve">The Fund shall invest ‘primarily’ in the unlisted securities of Portfolio Entities. </w:t>
      </w:r>
    </w:p>
    <w:p w14:paraId="74285BDC" w14:textId="77777777" w:rsidR="008E784A" w:rsidRPr="00DB41E3" w:rsidRDefault="008E784A" w:rsidP="008E784A">
      <w:pPr>
        <w:pStyle w:val="ListParagraph"/>
        <w:spacing w:line="276" w:lineRule="auto"/>
        <w:jc w:val="both"/>
        <w:rPr>
          <w:szCs w:val="22"/>
        </w:rPr>
      </w:pPr>
      <w:r/>
    </w:p>
    <w:p w14:paraId="68E89393" w14:textId="34F33A19" w:rsidR="004F370B" w:rsidRPr="00DB41E3" w:rsidRDefault="004F370B" w:rsidP="00DD75FD">
      <w:pPr>
        <w:pStyle w:val="ListParagraph"/>
        <w:numPr>
          <w:ilvl w:val="0"/>
          <w:numId w:val="11"/>
        </w:numPr>
        <w:spacing w:line="276" w:lineRule="auto"/>
        <w:ind w:hanging="578"/>
        <w:jc w:val="both"/>
        <w:rPr>
          <w:szCs w:val="22"/>
        </w:rPr>
      </w:pPr>
      <w:r>
        <w:t xml:space="preserve">The Fund shall not invest more than 25% (twenty-five percent) of its Investable Funds in 1 (one) Portfolio Entity. </w:t>
      </w:r>
    </w:p>
    <w:p w14:paraId="777AAD56" w14:textId="77777777" w:rsidR="008E784A" w:rsidRPr="00DB41E3" w:rsidRDefault="008E784A" w:rsidP="008E784A">
      <w:pPr>
        <w:pStyle w:val="ListParagraph"/>
        <w:spacing w:line="276" w:lineRule="auto"/>
        <w:jc w:val="both"/>
        <w:rPr>
          <w:szCs w:val="22"/>
        </w:rPr>
      </w:pPr>
      <w:r/>
    </w:p>
    <w:p w14:paraId="3D7262FE" w14:textId="6DDAA8FC" w:rsidR="004F370B" w:rsidRPr="00DB41E3" w:rsidRDefault="004F370B" w:rsidP="00DD75FD">
      <w:pPr>
        <w:pStyle w:val="ListParagraph"/>
        <w:numPr>
          <w:ilvl w:val="0"/>
          <w:numId w:val="11"/>
        </w:numPr>
        <w:spacing w:line="276" w:lineRule="auto"/>
        <w:ind w:hanging="578"/>
        <w:jc w:val="both"/>
        <w:rPr>
          <w:szCs w:val="22"/>
        </w:rPr>
      </w:pPr>
      <w:r>
        <w:t>The Fund shall not borrow funds directly or indirectly or engage in leverage except for meeting temporary funding requirements for not more than 30 (thirty) days, not more than 4 (four) occasions in a year and not more than 10% (ten percent) of the Investable Funds.</w:t>
      </w:r>
    </w:p>
    <w:p w14:paraId="684C7606" w14:textId="77777777" w:rsidR="004F370B" w:rsidRPr="00DB41E3" w:rsidRDefault="004F370B" w:rsidP="004F370B">
      <w:pPr>
        <w:pStyle w:val="ListParagraph"/>
        <w:rPr>
          <w:szCs w:val="22"/>
        </w:rPr>
      </w:pPr>
      <w: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t>The Fund shall not invest in Associates except with the approval of Super-Majority of Contributors.</w:t>
      </w:r>
    </w:p>
    <w:p w14:paraId="0BF8BB20" w14:textId="77777777" w:rsidR="00E01A93" w:rsidRPr="00DB41E3" w:rsidRDefault="00E01A93" w:rsidP="00E01A93">
      <w:pPr>
        <w:pStyle w:val="ListParagraph"/>
        <w:rPr>
          <w:b/>
          <w:w w:val="0"/>
          <w:szCs w:val="22"/>
        </w:rPr>
      </w:pPr>
      <w:r/>
    </w:p>
    <w:p w14:paraId="12EFAE47" w14:textId="77777777" w:rsidR="00E01A93" w:rsidRPr="00DB41E3" w:rsidRDefault="00E01A93" w:rsidP="00E01A93">
      <w:pPr>
        <w:pStyle w:val="ListParagraph"/>
        <w:numPr>
          <w:ilvl w:val="0"/>
          <w:numId w:val="11"/>
        </w:numPr>
        <w:spacing w:line="276" w:lineRule="auto"/>
        <w:ind w:hanging="578"/>
        <w:jc w:val="both"/>
        <w:rPr>
          <w:szCs w:val="22"/>
        </w:rPr>
      </w:pPr>
      <w:r>
        <w:t>The Fund will not invest in units of other AIFs.</w:t>
      </w:r>
    </w:p>
    <w:p w14:paraId="0FFD9224" w14:textId="77777777" w:rsidR="00E01A93" w:rsidRPr="00DB41E3" w:rsidRDefault="00E01A93" w:rsidP="00E01A93">
      <w:pPr>
        <w:pStyle w:val="ListParagraph"/>
        <w:spacing w:line="276" w:lineRule="auto"/>
        <w:jc w:val="both"/>
        <w:rPr>
          <w:szCs w:val="22"/>
        </w:rPr>
      </w:pPr>
      <w:r/>
    </w:p>
    <w:p w14:paraId="5316D6F5" w14:textId="2C59E653" w:rsidR="003F200F" w:rsidRPr="00DB41E3" w:rsidRDefault="003957DD" w:rsidP="00E01A93">
      <w:pPr>
        <w:pStyle w:val="ListParagraph"/>
        <w:numPr>
          <w:ilvl w:val="0"/>
          <w:numId w:val="11"/>
        </w:numPr>
        <w:spacing w:line="276" w:lineRule="auto"/>
        <w:ind w:hanging="578"/>
        <w:jc w:val="both"/>
        <w:rPr>
          <w:szCs w:val="22"/>
        </w:rPr>
      </w:pPr>
      <w:r>
        <w:t>The Fund does not propose to engage in lending activity or extending guarantee for Portfolio Entities.</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br/>
      </w:r>
    </w:p>
    <w:p w14:paraId="627A41FC" w14:textId="1D5FC11D" w:rsidR="00E219D5" w:rsidRPr="00DB41E3" w:rsidRDefault="000079CF" w:rsidP="00E15516">
      <w:pPr>
        <w:pStyle w:val="Heading1"/>
        <w:rPr>
          <w:w w:val="0"/>
        </w:rPr>
      </w:pPr>
      <w:r>
        <w:t>SECTION IV: FUND STRUCTURE</w:t>
      </w:r>
    </w:p>
    <w:p w14:paraId="4CA0915D" w14:textId="77777777" w:rsidR="00E2017C" w:rsidRPr="00DB41E3" w:rsidRDefault="00E2017C" w:rsidP="00E2017C">
      <w:pPr>
        <w:spacing w:line="276" w:lineRule="auto"/>
        <w:rPr>
          <w:rFonts w:ascii="Times New Roman" w:hAnsi="Times New Roman" w:cs="Times New Roman"/>
          <w:b/>
          <w:lang w:val="en-IN"/>
        </w:rPr>
      </w:pPr>
      <w: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7C46D2F" w14:textId="77777777" w:rsidR="00E2017C" w:rsidRPr="00DB41E3" w:rsidRDefault="00E2017C" w:rsidP="00E2017C">
      <w:pPr>
        <w:spacing w:line="276" w:lineRule="auto"/>
        <w:jc w:val="both"/>
        <w:rPr>
          <w:rFonts w:ascii="Times New Roman" w:hAnsi="Times New Roman" w:cs="Times New Roman"/>
          <w:lang w:val="en-IN"/>
        </w:rPr>
      </w:pPr>
      <w:r/>
    </w:p>
    <w:p w14:paraId="259D9884" w14:textId="77777777" w:rsidR="00E2017C" w:rsidRPr="00DB41E3" w:rsidRDefault="00E2017C" w:rsidP="00E2017C">
      <w:pPr>
        <w:spacing w:line="276" w:lineRule="auto"/>
        <w:jc w:val="both"/>
        <w:rPr>
          <w:rFonts w:ascii="Times New Roman" w:hAnsi="Times New Roman" w:cs="Times New Roman"/>
          <w:i/>
          <w:lang w:val="en-IN"/>
        </w:rPr>
      </w:pPr>
      <w: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t>The Trust</w:t>
      </w:r>
    </w:p>
    <w:p w14:paraId="1883CCA7" w14:textId="0E18D410" w:rsidR="000079CF" w:rsidRPr="00DB41E3" w:rsidRDefault="000079CF" w:rsidP="000079CF">
      <w:pPr>
        <w:pStyle w:val="BodyText3"/>
        <w:spacing w:line="276" w:lineRule="auto"/>
        <w:rPr>
          <w:spacing w:val="-2"/>
          <w:sz w:val="22"/>
          <w:szCs w:val="22"/>
        </w:rPr>
      </w:pPr>
      <w:r>
        <w:t>‘Elev8-Capital AIF’ is formed in India as an irrevocable, contributory determinate trust set up by the Settlor under the Indian Trusts Act, 1882 and registered in India under the provisions of Registration Act, 1908. The Trust has been registered with SEBI as a Category II AIF as per the Regulations.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r/>
    </w:p>
    <w:p w14:paraId="51B0E42A" w14:textId="77777777" w:rsidR="00902FCC" w:rsidRPr="00DB41E3" w:rsidRDefault="00902FCC" w:rsidP="000079CF">
      <w:pPr>
        <w:pStyle w:val="BodyText3"/>
        <w:spacing w:line="276" w:lineRule="auto"/>
        <w:rPr>
          <w:b/>
          <w:sz w:val="22"/>
          <w:szCs w:val="22"/>
          <w:lang w:val="en-IN"/>
        </w:rPr>
      </w:pPr>
      <w:r/>
    </w:p>
    <w:p w14:paraId="23A56422" w14:textId="77777777" w:rsidR="000079CF" w:rsidRPr="00DB41E3" w:rsidRDefault="000079CF" w:rsidP="004C4496">
      <w:pPr>
        <w:pStyle w:val="BodyText3"/>
        <w:spacing w:line="276" w:lineRule="auto"/>
        <w:rPr>
          <w:b/>
          <w:sz w:val="22"/>
          <w:szCs w:val="22"/>
          <w:lang w:val="en-IN"/>
        </w:rPr>
      </w:pPr>
      <w:r>
        <w:t>The Fund</w:t>
      </w:r>
    </w:p>
    <w:p w14:paraId="1AFF2214" w14:textId="77777777" w:rsidR="002A10A3" w:rsidRPr="00DB41E3" w:rsidRDefault="002A10A3" w:rsidP="004C4496">
      <w:pPr>
        <w:pStyle w:val="BodyText3"/>
        <w:spacing w:line="276" w:lineRule="auto"/>
        <w:rPr>
          <w:b/>
          <w:sz w:val="22"/>
          <w:szCs w:val="22"/>
          <w:lang w:val="en-IN"/>
        </w:rPr>
      </w:pPr>
      <w:r/>
    </w:p>
    <w:p w14:paraId="48CB15CF" w14:textId="689CF8EA" w:rsidR="000079CF" w:rsidRPr="00DB41E3" w:rsidRDefault="000079CF" w:rsidP="004C4496">
      <w:pPr>
        <w:spacing w:line="276" w:lineRule="auto"/>
        <w:jc w:val="both"/>
        <w:rPr>
          <w:rFonts w:ascii="Times New Roman" w:hAnsi="Times New Roman" w:cs="Times New Roman"/>
        </w:rPr>
      </w:pPr>
      <w:r>
        <w:t xml:space="preserve">“Elev8-Capital Fund I” is the first 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t xml:space="preserve">Beacon Trusteeship Limited, a company incorporated under the Companies Act, 2013, having its registered office at 4C &amp; D Siddhivinayak Chambers, Gandhi Nagar, Opposite MIG Cricket Club, Bandra (East), Mumbai – 400051 is appointed as Trustee to the Trust and its Schemes, including the Fund.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t xml:space="preserve">For further details about the Trustee, please see “SECTION V: GOVERNANCE STRUCTURE”.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t xml:space="preserve">‘Elevate Capital Management Services Private Limited’, 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has entered into an Investment Management Agreement with the Trustee in terms of which it will manage and administer the investment activity of the Trust and the Fund in accordance with the powers delegated by the Trustee and in accordance with the Applicable Laws. 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will be allotted Class C Units in the Fund, as applicable.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t>Sponsor(s)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r>
        <w:t xml:space="preserve">Mr. Atul Jain and Venture Catalysts Private Limited will act as the sponsors to the Fund. The Sponsor/s will collectively commit an aggregate amount equivalent to 2.5% (two and a half percent) of the Corpus or Rs.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t xml:space="preserve">The Sponsor/s will be allotted Class B1 Units in the Fund towards their contribution to maintain a continuing interest in the Fund. </w:t>
      </w:r>
    </w:p>
    <w:p w14:paraId="77D7C657" w14:textId="2BE0DE69" w:rsidR="003F1556" w:rsidRPr="00DB41E3" w:rsidRDefault="003F1556" w:rsidP="001F604A">
      <w:pPr>
        <w:spacing w:after="0" w:line="280" w:lineRule="exact"/>
        <w:jc w:val="both"/>
        <w:rPr>
          <w:rFonts w:ascii="Times New Roman" w:hAnsi="Times New Roman" w:cs="Times New Roman"/>
          <w:lang w:val="en-IN"/>
        </w:rPr>
      </w:pPr>
      <w: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t xml:space="preserve">The Fund has appointed Computer Age Management Services Limited as the RTA for collection of stamp duty levied on issue, transfer and sale of Units of the Fund. </w:t>
      </w:r>
    </w:p>
    <w:p w14:paraId="78FE074E" w14:textId="77777777" w:rsidR="00486222" w:rsidRDefault="00486222" w:rsidP="004A786A">
      <w:pPr>
        <w:spacing w:after="0" w:line="276" w:lineRule="auto"/>
        <w:jc w:val="both"/>
        <w:rPr>
          <w:rFonts w:ascii="Times New Roman" w:hAnsi="Times New Roman" w:cs="Times New Roman"/>
          <w:b/>
          <w:lang w:val="en-IN"/>
        </w:rPr>
      </w:pPr>
      <w:r/>
    </w:p>
    <w:p w14:paraId="4D2AF9DD" w14:textId="76781D04" w:rsidR="000079CF" w:rsidRPr="00DB41E3" w:rsidRDefault="000079CF" w:rsidP="004C4496">
      <w:pPr>
        <w:spacing w:line="276" w:lineRule="auto"/>
        <w:jc w:val="both"/>
        <w:rPr>
          <w:rFonts w:ascii="Times New Roman" w:hAnsi="Times New Roman" w:cs="Times New Roman"/>
          <w:lang w:val="en-IN"/>
        </w:rPr>
      </w:pPr>
      <w:r>
        <w:t xml:space="preserve">Targeted Investors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r>
        <w:t xml:space="preserve">Target Investors of the Fund are institutional investors, family offices, high net worth individuals, corporates, financial institutions, banks, insurance companies, foreign investors, alternative investment funds, Accredited Investors and other permissible investors.  </w:t>
        <w:br/>
      </w:r>
    </w:p>
    <w:p w14:paraId="7BC95B99" w14:textId="25D8D03A" w:rsidR="00E219D5" w:rsidRPr="00DB41E3" w:rsidRDefault="00E219D5" w:rsidP="00E15516">
      <w:pPr>
        <w:pStyle w:val="Heading1"/>
      </w:pPr>
      <w:r>
        <w:t>SECTION V: GOVERNANCE STRUCTURE</w:t>
      </w:r>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t>Sponsor(s)</w:t>
      </w:r>
    </w:p>
    <w:p w14:paraId="09126F30" w14:textId="77777777" w:rsidR="00E219D5" w:rsidRPr="00DB41E3" w:rsidRDefault="00E219D5" w:rsidP="00E219D5">
      <w:pPr>
        <w:pStyle w:val="ListParagraph"/>
        <w:ind w:left="426"/>
        <w:jc w:val="both"/>
        <w:rPr>
          <w:color w:val="000000"/>
          <w:szCs w:val="22"/>
        </w:rPr>
      </w:pPr>
      <w: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t xml:space="preserve">Name: </w:t>
      </w:r>
    </w:p>
    <w:p w14:paraId="3FA0FC76" w14:textId="77777777" w:rsidR="00C57553" w:rsidRPr="00DB41E3" w:rsidRDefault="00C57553" w:rsidP="00AF053E">
      <w:pPr>
        <w:pStyle w:val="ListParagraph"/>
        <w:spacing w:after="160" w:line="259" w:lineRule="auto"/>
        <w:ind w:left="851"/>
        <w:jc w:val="both"/>
        <w:rPr>
          <w:b/>
          <w:i/>
          <w:color w:val="000000"/>
          <w:szCs w:val="22"/>
        </w:rPr>
      </w:pPr>
      <w:r/>
    </w:p>
    <w:p w14:paraId="2529B5B4" w14:textId="6CE0E683" w:rsidR="008C5207" w:rsidRPr="00DB41E3" w:rsidRDefault="00FB2D97" w:rsidP="001F604A">
      <w:pPr>
        <w:pStyle w:val="ListParagraph"/>
        <w:spacing w:after="160" w:line="276" w:lineRule="auto"/>
        <w:ind w:left="851"/>
        <w:jc w:val="both"/>
        <w:rPr>
          <w:color w:val="000000"/>
          <w:szCs w:val="22"/>
        </w:rPr>
      </w:pPr>
      <w:r>
        <w:t xml:space="preserve">The Sponsor(s) of the Fund are Mr. Atul Jain and Venture Catalysts Private Limited. </w:t>
      </w:r>
    </w:p>
    <w:p w14:paraId="73B34666" w14:textId="77777777" w:rsidR="00E219D5" w:rsidRPr="00DB41E3" w:rsidRDefault="00E219D5" w:rsidP="00E219D5">
      <w:pPr>
        <w:pStyle w:val="ListParagraph"/>
        <w:ind w:left="851"/>
        <w:jc w:val="both"/>
        <w:rPr>
          <w:color w:val="000000"/>
          <w:szCs w:val="22"/>
        </w:rPr>
      </w:pPr>
      <w: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t xml:space="preserve">Role: </w:t>
      </w:r>
    </w:p>
    <w:p w14:paraId="6AEE7EA5" w14:textId="77777777" w:rsidR="00E55E68" w:rsidRPr="00DB41E3" w:rsidRDefault="00E55E68" w:rsidP="00424F53">
      <w:pPr>
        <w:pStyle w:val="ListParagraph"/>
        <w:spacing w:after="160" w:line="259" w:lineRule="auto"/>
        <w:ind w:left="851"/>
        <w:jc w:val="both"/>
        <w:rPr>
          <w:b/>
          <w:i/>
          <w:color w:val="000000"/>
          <w:szCs w:val="22"/>
        </w:rPr>
      </w:pPr>
      <w:r/>
    </w:p>
    <w:p w14:paraId="3FA0A9EC" w14:textId="30493673" w:rsidR="00E219D5" w:rsidRPr="00DB41E3" w:rsidRDefault="00BD7C14" w:rsidP="00424F53">
      <w:pPr>
        <w:pStyle w:val="ListParagraph"/>
        <w:spacing w:after="160" w:line="259" w:lineRule="auto"/>
        <w:ind w:left="851"/>
        <w:jc w:val="both"/>
        <w:rPr>
          <w:color w:val="000000"/>
          <w:szCs w:val="22"/>
        </w:rPr>
      </w:pPr>
      <w:r>
        <w:t>The Sponsor/s will commit an amount equivalent to 2.5% (two and half percent) of the Corpus or Rs. 5,00,00,000 (Indian Rupees Five Crore), whichever is lower, as continuing interest in the Fund in accordance with the Regulations. Notwithstanding anything to the contrary, the Sponsor/s shall always maintain the abovementioned continuing interest and take requisite steps/measures to comply with the same. Further, the Sponsor/s shall be responsible for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t>Name of the Sponsor/Directors of the Sponsor(s)</w:t>
      </w:r>
    </w:p>
    <w:p w14:paraId="594798ED" w14:textId="2AC2A453" w:rsidR="00D64460" w:rsidRPr="00DB41E3" w:rsidRDefault="00D64460" w:rsidP="00D64460">
      <w:pPr>
        <w:pStyle w:val="ListParagraph"/>
        <w:spacing w:after="160" w:line="259" w:lineRule="auto"/>
        <w:ind w:left="851"/>
        <w:jc w:val="both"/>
        <w:rPr>
          <w:b/>
          <w:iCs/>
          <w:color w:val="000000"/>
          <w:szCs w:val="22"/>
        </w:rPr>
      </w:pPr>
      <w: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t>Mr. Atul Jain</w:t>
      </w:r>
    </w:p>
    <w:p w14:paraId="27D9D2C5" w14:textId="7B368478" w:rsidR="007616C2" w:rsidRPr="00DB41E3" w:rsidRDefault="00B909CC" w:rsidP="00BA36C7">
      <w:pPr>
        <w:pStyle w:val="ListParagraph"/>
        <w:numPr>
          <w:ilvl w:val="0"/>
          <w:numId w:val="186"/>
        </w:numPr>
        <w:rPr>
          <w:color w:val="000000" w:themeColor="text1"/>
          <w:szCs w:val="22"/>
        </w:rPr>
      </w:pPr>
      <w:r>
        <w:t xml:space="preserve">Venture Catalysts Private Limited </w:t>
      </w:r>
    </w:p>
    <w:p w14:paraId="2397EBDB" w14:textId="77777777" w:rsidR="00B909CC" w:rsidRPr="00DB41E3" w:rsidRDefault="00B909CC" w:rsidP="007616C2">
      <w:pPr>
        <w:pStyle w:val="ListParagraph"/>
        <w:spacing w:after="160" w:line="259" w:lineRule="auto"/>
        <w:ind w:left="851"/>
        <w:jc w:val="both"/>
        <w:rPr>
          <w:bCs/>
          <w:iCs/>
          <w:color w:val="000000"/>
          <w:szCs w:val="22"/>
        </w:rPr>
      </w:pPr>
      <w:r/>
    </w:p>
    <w:p w14:paraId="0151F9FA" w14:textId="685F1AE7" w:rsidR="007616C2" w:rsidRPr="00DB41E3" w:rsidRDefault="007616C2" w:rsidP="007616C2">
      <w:pPr>
        <w:pStyle w:val="ListParagraph"/>
        <w:spacing w:after="160" w:line="259" w:lineRule="auto"/>
        <w:ind w:left="851"/>
        <w:jc w:val="both"/>
        <w:rPr>
          <w:bCs/>
          <w:iCs/>
          <w:color w:val="000000"/>
          <w:szCs w:val="22"/>
        </w:rPr>
      </w:pPr>
      <w: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Dr. Apoorv Ranjan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Mr. Atul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t>Mr. Rishabh Golchha</w:t>
      </w:r>
    </w:p>
    <w:bookmarkEnd w:id="45"/>
    <w:p w14:paraId="3622A38D" w14:textId="77777777" w:rsidR="00D64460" w:rsidRPr="00DB41E3" w:rsidRDefault="00D64460" w:rsidP="001F604A">
      <w:pPr>
        <w:pStyle w:val="ListParagraph"/>
        <w:spacing w:after="160" w:line="259" w:lineRule="auto"/>
        <w:ind w:left="1211"/>
        <w:jc w:val="both"/>
        <w:rPr>
          <w:szCs w:val="22"/>
        </w:rPr>
      </w:pPr>
      <w: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t>Brief profile of the Sponsor/Directors of the Sponsor/s</w:t>
      </w:r>
    </w:p>
    <w:p w14:paraId="51118A03" w14:textId="77777777" w:rsidR="0049461D" w:rsidRPr="00DB41E3" w:rsidRDefault="0049461D" w:rsidP="00B909CC">
      <w:pPr>
        <w:pStyle w:val="ListParagraph"/>
        <w:spacing w:after="160" w:line="259" w:lineRule="auto"/>
        <w:ind w:left="851"/>
        <w:jc w:val="both"/>
        <w:rPr>
          <w:szCs w:val="22"/>
        </w:rPr>
      </w:pPr>
      <w: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t xml:space="preserve">Mr. Atul Jain: </w:t>
      </w:r>
    </w:p>
    <w:p w14:paraId="6C9BEEC2" w14:textId="77777777" w:rsidR="00320997" w:rsidRPr="00DB41E3" w:rsidRDefault="00320997" w:rsidP="00B909CC">
      <w:pPr>
        <w:pStyle w:val="ListParagraph"/>
        <w:rPr>
          <w:szCs w:val="22"/>
        </w:rPr>
      </w:pPr>
      <w: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r/>
    </w:p>
    <w:p w14:paraId="289B9E15" w14:textId="1F65D4E6" w:rsidR="00D313B6" w:rsidRPr="00DB41E3" w:rsidRDefault="00465625" w:rsidP="00B909CC">
      <w:pPr>
        <w:ind w:left="907" w:hanging="360"/>
      </w:pPr>
      <w:r>
        <w:t>A brief profile of the Directors of Venture Catalysts Private Limited has been provided below:</w:t>
      </w:r>
    </w:p>
    <w:p w14:paraId="6155D478" w14:textId="7419C1C4" w:rsidR="00180D96" w:rsidRPr="00DB41E3" w:rsidRDefault="00180D96" w:rsidP="00B909CC">
      <w:pPr>
        <w:spacing w:after="0"/>
        <w:ind w:left="907" w:hanging="360"/>
      </w:pPr>
      <w: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Dr. Apoorv Ranjan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Mr. Atul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t>Kindly refer to point A(d)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t>Mr. Rishabh Golchha</w:t>
      </w:r>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t xml:space="preserve">Rishabh Golchha is a Director &amp; Founding Member at Venture Catalysts, India's first integrated incubator. He is also the co-founder of Samyakth Finserv, a hybrid growth 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Rishabh has keen interests in sports, adventure and travel.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 xml:space="preserve">Trustee </w:t>
      </w:r>
    </w:p>
    <w:p w14:paraId="642FB49F" w14:textId="77777777" w:rsidR="00E219D5" w:rsidRPr="00DB41E3" w:rsidRDefault="00E219D5" w:rsidP="00E219D5">
      <w:pPr>
        <w:pStyle w:val="ListParagraph"/>
        <w:spacing w:after="258"/>
        <w:ind w:left="426"/>
        <w:jc w:val="both"/>
        <w:rPr>
          <w:color w:val="000000"/>
          <w:szCs w:val="22"/>
        </w:rPr>
      </w:pPr>
      <w: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t xml:space="preserve">Name: </w:t>
      </w:r>
    </w:p>
    <w:p w14:paraId="1C0ED279" w14:textId="77777777" w:rsidR="00CA639F" w:rsidRPr="00DB41E3" w:rsidRDefault="00CA639F" w:rsidP="00CA639F">
      <w:pPr>
        <w:pStyle w:val="ListParagraph"/>
        <w:spacing w:after="160" w:line="280" w:lineRule="exact"/>
        <w:ind w:left="900"/>
        <w:jc w:val="both"/>
        <w:rPr>
          <w:b/>
          <w:i/>
          <w:color w:val="000000"/>
          <w:szCs w:val="22"/>
        </w:rPr>
      </w:pPr>
      <w:r/>
    </w:p>
    <w:p w14:paraId="33AC482E" w14:textId="171854CF" w:rsidR="00CA639F" w:rsidRPr="00DB41E3" w:rsidRDefault="008D0653" w:rsidP="002A0C2F">
      <w:pPr>
        <w:pStyle w:val="ListParagraph"/>
        <w:spacing w:line="280" w:lineRule="exact"/>
        <w:ind w:left="851"/>
        <w:jc w:val="both"/>
        <w:rPr>
          <w:color w:val="000000" w:themeColor="text1"/>
          <w:szCs w:val="22"/>
        </w:rPr>
      </w:pPr>
      <w:r>
        <w:t xml:space="preserve">Beacon Trusteeship Limited, a company incorporated under the provisions of Companies Act, 2013 and having its registered office at 4C &amp; D Siddhivinayak Chambers, Gandhi Nagar, Opposite MIG Cricket Club, Bandra (East), Mumbai – 400051, will act as a trustee of the Trust. </w:t>
      </w:r>
    </w:p>
    <w:p w14:paraId="170638CC" w14:textId="77777777" w:rsidR="007218F2" w:rsidRPr="00DB41E3" w:rsidRDefault="007218F2" w:rsidP="002A0C2F">
      <w:pPr>
        <w:pStyle w:val="ListParagraph"/>
        <w:spacing w:line="280" w:lineRule="exact"/>
        <w:ind w:left="851"/>
        <w:jc w:val="both"/>
        <w:rPr>
          <w:color w:val="000000"/>
          <w:szCs w:val="22"/>
        </w:rPr>
      </w:pPr>
      <w: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t xml:space="preserve">Role: </w:t>
      </w:r>
    </w:p>
    <w:p w14:paraId="5B83FA2B" w14:textId="77777777" w:rsidR="00CA639F" w:rsidRPr="00DB41E3" w:rsidRDefault="00CA639F" w:rsidP="00CA639F">
      <w:pPr>
        <w:pStyle w:val="ListParagraph"/>
        <w:spacing w:after="160" w:line="280" w:lineRule="exact"/>
        <w:ind w:left="900"/>
        <w:jc w:val="both"/>
        <w:rPr>
          <w:color w:val="000000"/>
          <w:szCs w:val="22"/>
        </w:rPr>
      </w:pPr>
      <w:r/>
    </w:p>
    <w:p w14:paraId="69333830" w14:textId="6AD28E7B" w:rsidR="002C1EAC" w:rsidRPr="00DB41E3" w:rsidRDefault="008C5207" w:rsidP="00AF053E">
      <w:pPr>
        <w:pStyle w:val="ListParagraph"/>
        <w:spacing w:after="160" w:line="276" w:lineRule="auto"/>
        <w:ind w:left="900"/>
        <w:jc w:val="both"/>
        <w:rPr>
          <w:color w:val="000000"/>
          <w:szCs w:val="22"/>
        </w:rPr>
      </w:pPr>
      <w: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t>Names of the directors:</w:t>
      </w:r>
    </w:p>
    <w:p w14:paraId="691FE8D2" w14:textId="77777777" w:rsidR="00CA639F" w:rsidRPr="00DB41E3" w:rsidRDefault="00CA639F" w:rsidP="00CA639F">
      <w:pPr>
        <w:pStyle w:val="ListParagraph"/>
        <w:rPr>
          <w:color w:val="000000"/>
          <w:szCs w:val="22"/>
        </w:rPr>
      </w:pPr>
      <w:r/>
    </w:p>
    <w:p w14:paraId="750BE64A" w14:textId="29F5A576" w:rsidR="00D13CE3" w:rsidRPr="00DB41E3" w:rsidRDefault="00D13CE3" w:rsidP="00D13CE3">
      <w:pPr>
        <w:pStyle w:val="ListParagraph"/>
        <w:spacing w:after="160" w:line="280" w:lineRule="exact"/>
        <w:ind w:left="900"/>
        <w:jc w:val="both"/>
        <w:rPr>
          <w:color w:val="000000"/>
          <w:szCs w:val="22"/>
        </w:rPr>
      </w:pPr>
      <w:r>
        <w:t>The names of the 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Pratapsingh Nathani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Ashok Kumar Motwani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Satishchandra Kalani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Vitthal Nawandhar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Satpal 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t>Brief profile of directors:</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t xml:space="preserve">Mr. Pratapsingh Nathani – Chairman and Managing Director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r>
        <w:t>Pratap has over 20 (Twenty) years of experience in the banking and financial services sector where he was associated with various organizations such as Centrum, Enam, Darashaw, Morgan Stanley, JM Financial to name a few. His last stint at ING Vysya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t xml:space="preserve">Mr. Ashok Kumar Motwani – Director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t>With over 30 (Thirty) years of experience in diverse areas such as investment and corporate banking, project advisory, structured finance, debt syndication, Mr. Motwani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Mr. Satishchandra Kalani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In a career spanning 35 years, Mr. Kalani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Keshav Shrushti.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Vitthal Nawandhar – Director &amp; CEO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A qualified chartered accountant, Mr. Vitthal Nawandhar has over a decade of experience in the financial market including 8 years of core trusteeship business. Mr. Nawandhar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Satpal Kumar Arora – Independent Director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t>Mr. Arora is a highly qualified individual and holds several degrees including M.Com from Delhi University, Certified Associate of Indian Institute of Bankers (CAIIB), diploma in labour laws, company secretaryship from Institute of Company Secretaries of India, Bachelors in law from University of Delhi and an insolvency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t xml:space="preserve">List of responsibilities retained by the Trustee under the Indenture: </w:t>
      </w:r>
    </w:p>
    <w:p w14:paraId="09F7F383" w14:textId="77777777" w:rsidR="008E7648" w:rsidRPr="00DB41E3" w:rsidRDefault="008E7648" w:rsidP="00F04375">
      <w:pPr>
        <w:pStyle w:val="ListParagraph"/>
        <w:spacing w:after="160" w:line="276" w:lineRule="auto"/>
        <w:ind w:left="851"/>
        <w:jc w:val="both"/>
        <w:rPr>
          <w:color w:val="000000"/>
          <w:szCs w:val="22"/>
        </w:rPr>
      </w:pPr>
      <w: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has, within a reasonable time from the date of execution of the Indenture, enter into the Investment Management Agreement pursuant to which the Trustee has delegated any and all of its powers and responsibilities under the Indenture to the Investment Manager, and authorise the Investment Manager to undertake any and all of its powers and responsibilities under the Indenture, subject to the provisions of the Indenture, the Fund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at all times exercise due diligence in carrying out its duties of protecting the interests of the Contributors and 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may review and check whether all transactions entered into by the Investment Manager, for an on behalf of the Trust, are properly entered into in accordance with the Fund 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hold the Trust Fund in the name of the Trust for and on behalf of the Trust.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books of accounts of the Trust and each of its Schemes are 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reports are filed as may be demanded by all relevant statutory/regulatory authorities, 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either itself or through the Investment Manager file 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ensure that the Investment Manager provides to the Contributors, all reports enumerated in the Fund 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r/>
    </w:p>
    <w:p w14:paraId="1ED7B76F" w14:textId="771607C3" w:rsidR="002C00B7" w:rsidRPr="00DB41E3" w:rsidRDefault="00E219D5" w:rsidP="009C1601">
      <w:pPr>
        <w:pStyle w:val="ListParagraph"/>
        <w:numPr>
          <w:ilvl w:val="0"/>
          <w:numId w:val="25"/>
        </w:numPr>
        <w:jc w:val="both"/>
        <w:rPr>
          <w:color w:val="000000"/>
          <w:szCs w:val="22"/>
        </w:rPr>
      </w:pPr>
      <w:r>
        <w:t>List of responsibilities of the Trustee, delegated to Investment Manager as per the Indenture:</w:t>
      </w:r>
    </w:p>
    <w:p w14:paraId="54A4E45B" w14:textId="77777777" w:rsidR="002C00B7" w:rsidRPr="00DB41E3" w:rsidRDefault="002C00B7" w:rsidP="00F04375">
      <w:pPr>
        <w:pStyle w:val="ListParagraph"/>
        <w:spacing w:after="160" w:line="259" w:lineRule="auto"/>
        <w:jc w:val="both"/>
        <w:rPr>
          <w:color w:val="000000"/>
          <w:szCs w:val="22"/>
        </w:rPr>
      </w:pPr>
      <w:r/>
    </w:p>
    <w:p w14:paraId="54D95864" w14:textId="6D1A8CE1" w:rsidR="00CD7F66" w:rsidRPr="00DB41E3" w:rsidRDefault="002C00B7" w:rsidP="00F04375">
      <w:pPr>
        <w:pStyle w:val="ListParagraph"/>
        <w:spacing w:after="160" w:line="259" w:lineRule="auto"/>
        <w:jc w:val="both"/>
        <w:rPr>
          <w:color w:val="000000"/>
          <w:szCs w:val="22"/>
        </w:rPr>
      </w:pPr>
      <w:r>
        <w:t>The Investment Manager shall be delegated the power of the Trustee and be made responsible by the Trustee under the Investment Management Agreement, to undertake all the operational and management decisions and actions for the Schemes including but not limited to investment of funds, divestment, administration, realisation of return on investment, legal proceedings, addressing queries or complaints or grievances of Contributors and any other issues or show cause notice issued by SEBI or any other regulatory body, make necessary filings with SEBI or any other regulator, comply with the duties and obligations provided in the Contribution Agreements with the Contributors.</w:t>
      </w:r>
    </w:p>
    <w:p w14:paraId="68399BFB" w14:textId="77777777" w:rsidR="009C494F" w:rsidRPr="00DB41E3" w:rsidRDefault="009C494F" w:rsidP="00F04375">
      <w:pPr>
        <w:pStyle w:val="ListParagraph"/>
        <w:spacing w:after="160" w:line="259" w:lineRule="auto"/>
        <w:jc w:val="both"/>
        <w:rPr>
          <w:color w:val="000000"/>
          <w:szCs w:val="22"/>
        </w:rPr>
      </w:pPr>
      <w: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t>Investment Manager</w:t>
      </w:r>
    </w:p>
    <w:p w14:paraId="0500D45F" w14:textId="77777777" w:rsidR="00E219D5" w:rsidRPr="00DB41E3" w:rsidRDefault="00E219D5" w:rsidP="00E219D5">
      <w:pPr>
        <w:pStyle w:val="ListParagraph"/>
        <w:spacing w:after="258"/>
        <w:ind w:left="426"/>
        <w:jc w:val="both"/>
        <w:rPr>
          <w:szCs w:val="22"/>
        </w:rPr>
      </w:pPr>
      <w: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t xml:space="preserve">Name: </w:t>
      </w:r>
    </w:p>
    <w:p w14:paraId="2C3AE494" w14:textId="77777777" w:rsidR="0007782C" w:rsidRPr="00DB41E3" w:rsidRDefault="0007782C" w:rsidP="00AF053E">
      <w:pPr>
        <w:pStyle w:val="ListParagraph"/>
        <w:spacing w:after="160" w:line="259" w:lineRule="auto"/>
        <w:jc w:val="both"/>
        <w:rPr>
          <w:b/>
          <w:i/>
          <w:color w:val="000000"/>
          <w:szCs w:val="22"/>
        </w:rPr>
      </w:pPr>
      <w:r/>
    </w:p>
    <w:p w14:paraId="6A5FDE26" w14:textId="050551F5" w:rsidR="00E219D5" w:rsidRPr="00DB41E3" w:rsidRDefault="00A31AE4" w:rsidP="008B01EA">
      <w:pPr>
        <w:pStyle w:val="ListParagraph"/>
        <w:jc w:val="both"/>
        <w:rPr>
          <w:b/>
          <w:color w:val="000000" w:themeColor="text1"/>
          <w:szCs w:val="22"/>
        </w:rPr>
      </w:pPr>
      <w:r>
        <w:t xml:space="preserve">Elevate Capital Management Services Private Limited, and having its registered office at Office No. 203/204, B Wing, Mittal Commercia, Off Andheri Kurla Road, Andheri East, Mumbai 400059, Maharashtra, India, will act as the investment manager to the Trust and all its Schemes, including the Fund. </w:t>
      </w:r>
    </w:p>
    <w:p w14:paraId="7ADA5695" w14:textId="77777777" w:rsidR="00E219D5" w:rsidRPr="00DB41E3" w:rsidRDefault="00E219D5" w:rsidP="00E219D5">
      <w:pPr>
        <w:pStyle w:val="ListParagraph"/>
        <w:jc w:val="both"/>
        <w:rPr>
          <w:color w:val="000000"/>
          <w:szCs w:val="22"/>
        </w:rPr>
      </w:pPr>
      <w: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t xml:space="preserve">Role: </w:t>
      </w:r>
    </w:p>
    <w:p w14:paraId="0281449A" w14:textId="77777777" w:rsidR="00900B82" w:rsidRPr="00DB41E3" w:rsidRDefault="00900B82" w:rsidP="00AF053E">
      <w:pPr>
        <w:pStyle w:val="ListParagraph"/>
        <w:spacing w:after="160" w:line="259" w:lineRule="auto"/>
        <w:jc w:val="both"/>
        <w:rPr>
          <w:b/>
          <w:i/>
          <w:color w:val="000000"/>
          <w:szCs w:val="22"/>
        </w:rPr>
      </w:pPr>
      <w:r/>
    </w:p>
    <w:p w14:paraId="34316FA9" w14:textId="167B9FE5" w:rsidR="00E219D5" w:rsidRPr="00DB41E3" w:rsidRDefault="00CD7F66" w:rsidP="00AF053E">
      <w:pPr>
        <w:pStyle w:val="ListParagraph"/>
        <w:spacing w:after="160" w:line="259" w:lineRule="auto"/>
        <w:jc w:val="both"/>
        <w:rPr>
          <w:color w:val="000000"/>
          <w:szCs w:val="22"/>
        </w:rPr>
      </w:pPr>
      <w: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Fund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t xml:space="preserve">Names of the directors: </w:t>
      </w:r>
    </w:p>
    <w:p w14:paraId="6846B802" w14:textId="77777777" w:rsidR="00180D96" w:rsidRPr="00DB41E3" w:rsidRDefault="00180D96" w:rsidP="00741D3C">
      <w:pPr>
        <w:pStyle w:val="ListParagraph"/>
        <w:spacing w:after="160" w:line="259" w:lineRule="auto"/>
        <w:jc w:val="both"/>
        <w:rPr>
          <w:bCs/>
          <w:iCs/>
          <w:szCs w:val="22"/>
        </w:rPr>
      </w:pPr>
      <w: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t>Mr. Navin Honagudi</w:t>
      </w:r>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t xml:space="preserve">Dr. Apoorv Ranjan Sharma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t>Mr. Atul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t xml:space="preserve">Brief profile of the directors: </w:t>
      </w:r>
    </w:p>
    <w:p w14:paraId="74E84431" w14:textId="77777777" w:rsidR="00180D96" w:rsidRPr="00DB41E3" w:rsidRDefault="00180D96" w:rsidP="001F604A">
      <w:pPr>
        <w:pStyle w:val="ListParagraph"/>
        <w:ind w:left="851"/>
        <w:jc w:val="both"/>
        <w:rPr>
          <w:szCs w:val="22"/>
        </w:rPr>
      </w:pPr>
      <w: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 xml:space="preserve"> Mr. Navin Honagudi: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t xml:space="preserve"> Mr. Navin Honagudi has over 15 years of experience investing in Technology enabled businesses. He was the co-founder and Partner at Kae Capital, a premier VC fund, started in 2012. Navin has helped raise over $250 Mn across 5 funds at Kae. He led the Growth investing initiative at Kae and has invested in path breaking companies like Brightchamps, Rupeek etc under this platform. Navin has evaluated over 5000 tech companies across sectors. He has invested in over 30 tech companies where he has served on the boards as a Director/Observer. Some of them including  Resfeber Labs, Loantap, Snapmint, Loanzen, BSB etc. Investments led by Navin have returned several times the fund. Investments led in companies like Porter have returned over 100x on the seed cheque. He has actively managed boards with top tier VC firms like Sequoia, Accel, Tiger, Lightrock, Kalaari, etc. Navin has also been involved in several exits of his portfolio companies including, Halaplay acquired by Nazara, Dailyrounds acquired by M3, Loanzen acquired by Blackbuck, Numberz acquired by Chargebee, Truebil acquired by Spinny, Eventifier acquired by Bookmyshow etc. Navin also serves on board of prestigious incubators across the countries like Center of Incubation and Business Acceleration, Goa etc. He is a prolific angel investor and has invested in companies like Tradecred, Reshmandi, Jify, Plaza, Zippmat, One Impression etc besides mentoring over 100 tech companies. Prior to joining Kae Capital Management Private Limited, he was working with Reliance Venture Asset Management (RVAM). Navin led an investment in PayTM which returned over 50x. As an exception he was double promoted during his tenor. He has served on the boards of Tessolve Services and Dhama Innovations as well as board observer on Reverse Logistics, Suvidhaa Infoserve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Darashaw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a masters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Dr. Apoorv Ranjan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Mr. Atul Jain:</w:t>
      </w:r>
    </w:p>
    <w:p w14:paraId="47144354" w14:textId="77777777" w:rsidR="00180D96" w:rsidRPr="00DB41E3" w:rsidRDefault="00180D96" w:rsidP="001F604A">
      <w:pPr>
        <w:pStyle w:val="ListParagraph"/>
        <w:ind w:left="1620"/>
        <w:rPr>
          <w:b/>
          <w:szCs w:val="22"/>
        </w:rPr>
      </w:pPr>
      <w: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1D4BA578" w14:textId="626E9DC5" w:rsidR="00076D5D" w:rsidRPr="00DB41E3" w:rsidRDefault="009360F3" w:rsidP="00741D3C">
      <w:pPr>
        <w:ind w:left="1282"/>
        <w:rPr>
          <w:rFonts w:ascii="Times New Roman" w:hAnsi="Times New Roman" w:cs="Times New Roman"/>
        </w:rPr>
      </w:pPr>
      <w:r>
        <w:t xml:space="preserve">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t>The functions and duties of the Investment Manager will inter alia include the following:</w:t>
      </w:r>
    </w:p>
    <w:p w14:paraId="2B59215B" w14:textId="77777777" w:rsidR="00C12097" w:rsidRPr="00DB41E3" w:rsidRDefault="00C12097" w:rsidP="00C12097">
      <w:pPr>
        <w:spacing w:line="280" w:lineRule="exact"/>
        <w:jc w:val="both"/>
        <w:rPr>
          <w:rFonts w:ascii="Times New Roman" w:hAnsi="Times New Roman" w:cs="Times New Roman"/>
        </w:rPr>
      </w:pPr>
      <w: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taking decisions as to investment, divestment and distribution of the monies of the Contribution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assisting in conducting meetings of the committee constituted in connection with the Fund;</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opening and operating bank account/s for the operation of Fund with any bank/intermediary;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to do all such acts, deeds as may be required to perform with respect to the Fund.</w:t>
      </w:r>
    </w:p>
    <w:p w14:paraId="2133601F" w14:textId="54897C8E" w:rsidR="00E219D5" w:rsidRPr="00DB41E3" w:rsidRDefault="00E219D5" w:rsidP="00E219D5">
      <w:pPr>
        <w:pStyle w:val="ListParagraph"/>
        <w:jc w:val="both"/>
        <w:rPr>
          <w:color w:val="000000"/>
          <w:szCs w:val="22"/>
        </w:rPr>
      </w:pPr>
      <w:r/>
    </w:p>
    <w:p w14:paraId="276286CB" w14:textId="52E0E9A1" w:rsidR="00E219D5" w:rsidRPr="00DB41E3" w:rsidRDefault="00E219D5" w:rsidP="00F403E2">
      <w:pPr>
        <w:pStyle w:val="ListParagraph"/>
        <w:jc w:val="both"/>
        <w:rPr>
          <w:b/>
          <w:i/>
          <w:color w:val="000000"/>
          <w:szCs w:val="22"/>
        </w:rPr>
      </w:pPr>
      <w: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r/>
    </w:p>
    <w:p w14:paraId="0699B33E" w14:textId="6CCF07D1" w:rsidR="00FE7B08" w:rsidRPr="00DB41E3" w:rsidRDefault="00EA67E1" w:rsidP="00AF053E">
      <w:pPr>
        <w:pStyle w:val="ListParagraph"/>
        <w:spacing w:line="276" w:lineRule="auto"/>
        <w:jc w:val="both"/>
        <w:rPr>
          <w:i/>
          <w:iCs/>
          <w:szCs w:val="22"/>
          <w:lang w:val="en-IN"/>
        </w:rPr>
      </w:pPr>
      <w:r>
        <w:t>The Investment Manager may outsource or delegate its non-core business activities to other person subject to compliance with SEBI circular CIR/MIRSD/24/2011 dated December 15, 2011 on ‘Guidelines on Outsourcing of Activities by Intermediaries’.</w:t>
      </w:r>
    </w:p>
    <w:p w14:paraId="44CAE7E6" w14:textId="32956EBC" w:rsidR="00E219D5" w:rsidRPr="00DB41E3" w:rsidRDefault="00FE7B08" w:rsidP="00E219D5">
      <w:pPr>
        <w:pStyle w:val="ListParagraph"/>
        <w:jc w:val="both"/>
        <w:rPr>
          <w:color w:val="000000"/>
          <w:szCs w:val="22"/>
        </w:rPr>
      </w:pPr>
      <w: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t>Description of the role of the management team in the operations of the Fund:</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r/>
    </w:p>
    <w:p w14:paraId="4E4EB212" w14:textId="5D14A4A5" w:rsidR="00E219D5" w:rsidRPr="00DB41E3" w:rsidRDefault="0052258A">
      <w:pPr>
        <w:pStyle w:val="Default"/>
        <w:ind w:left="720"/>
        <w:jc w:val="both"/>
        <w:rPr>
          <w:rFonts w:ascii="Times New Roman" w:hAnsi="Times New Roman" w:cs="Times New Roman"/>
          <w:sz w:val="22"/>
          <w:szCs w:val="22"/>
        </w:rPr>
      </w:pPr>
      <w:r>
        <w:t>The key investment team of the Investment Manager are directors/employees of the Investment Manager. The key investment team of the Fund shall be responsible for managing the investment and divestment of the Contribution Fund and carry out all the other activities incidental thereto including appraisal of investment opportunities and monitoring the Portfolio Entities of the Fund.</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t xml:space="preserve">List out the names and brief biography of each member of the investment team (including nature of relationship between management team members and the Fund/Scheme) in the following format: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t>Mr. Navin Honagudi</w:t>
      </w:r>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Navin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Kae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Kae Capital, a premier VC fund. Navin led several investments for Kae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Resfeber Labs, Loantap, Snapmint, Loanzen,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He led an investment in PayTM which returned over 50x.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r w:rsidRPr="00DB41E3">
              <w:rPr>
                <w:rFonts w:ascii="Times New Roman" w:hAnsi="Times New Roman" w:cs="Times New Roman"/>
                <w:color w:val="000000" w:themeColor="text1"/>
                <w:sz w:val="22"/>
                <w:szCs w:val="22"/>
              </w:rPr>
              <w:t>Darashaw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t xml:space="preserve">Mr. Anuj Golecha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Beams VC Partnerz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As a nominee of the partner - Multimedia Finsec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Finsec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r w:rsidR="00B05C02" w:rsidRPr="00DB41E3">
              <w:rPr>
                <w:color w:val="000000" w:themeColor="text1"/>
                <w:sz w:val="22"/>
                <w:szCs w:val="22"/>
              </w:rPr>
              <w:t>Navin Honagudi</w:t>
            </w:r>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Mr. Anuj Golecha</w:t>
            </w:r>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t xml:space="preserve">Not applicable.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t>Involvement of the key investment team 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Mr. Navin Honagudi</w:t>
            </w:r>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Mr. Anuj Golecha</w:t>
            </w:r>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r/>
    </w:p>
    <w:p w14:paraId="3C1C6A09" w14:textId="77777777" w:rsidR="00DF0D26" w:rsidRPr="00DB41E3" w:rsidRDefault="00DF0D26" w:rsidP="001F604A">
      <w:pPr>
        <w:pStyle w:val="Default"/>
        <w:jc w:val="both"/>
        <w:rPr>
          <w:rFonts w:ascii="Times New Roman" w:hAnsi="Times New Roman" w:cs="Times New Roman"/>
          <w:sz w:val="22"/>
          <w:szCs w:val="22"/>
          <w:lang w:val="en-US"/>
        </w:rPr>
      </w:pPr>
      <w: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t>The team of the 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t xml:space="preserve">For more details, kindly refer to “SECTION X: RISK FACTORS”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r>
        <w:t>The Fund currently does not have any additional members of management team of the Fund.</w:t>
      </w:r>
    </w:p>
    <w:bookmarkEnd w:id="46"/>
    <w:p w14:paraId="16A9600D" w14:textId="72D1CB3A" w:rsidR="00E219D5" w:rsidRPr="00DB41E3" w:rsidRDefault="00E219D5" w:rsidP="00E219D5">
      <w:pPr>
        <w:pStyle w:val="ListParagraph"/>
        <w:spacing w:after="258"/>
        <w:ind w:left="426"/>
        <w:jc w:val="both"/>
        <w:rPr>
          <w:szCs w:val="22"/>
        </w:rPr>
      </w:pPr>
      <w: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r/>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t>The Investment Manager may constitute an investment committee (“Investment Committee”)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20(7) and Regulation 20(10) thereof.</w:t>
      </w:r>
    </w:p>
    <w:p w14:paraId="285C267E" w14:textId="4EB59D55" w:rsidR="00DC333B" w:rsidRPr="00DB41E3" w:rsidRDefault="00DC333B" w:rsidP="001F604A">
      <w:pPr>
        <w:spacing w:after="0" w:line="240" w:lineRule="auto"/>
        <w:rPr>
          <w:rFonts w:ascii="Times New Roman" w:hAnsi="Times New Roman" w:cs="Times New Roman"/>
          <w:lang w:val="en-IN"/>
        </w:rPr>
      </w:pPr>
      <w: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t xml:space="preserve">The quorum for any meeting of Investment Committee shall be a minimum of 2 (two) members present in-person or by way of teleconference, videoconference or any other electronic mode. The decisions of the Investment Committee would be taken on the basis of unanimous consent of the   members present at the meeting of the Investment Committee in case the number of members present at the meeting are 2 (two) persons. However, in the event where the number of members present at the meeting are more than 2 (two), the decisions of the Investment Committee shall be taken on the basis of majority consent of the members present at the meeting of the Investment Committee.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shall be appointed by the Investment Manager. As the Fund commences activities, additional member/s may be appointed by the Investment Manager on the Investment Committee. The Investment Committee shall at all times comprise of a minimum of 2 (two) members.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Navin Honagudi</w:t>
      </w:r>
    </w:p>
    <w:p w14:paraId="5EEF8215" w14:textId="77777777" w:rsidR="00DC333B" w:rsidRPr="00DB41E3" w:rsidRDefault="00DC333B" w:rsidP="001F604A">
      <w:pPr>
        <w:spacing w:after="0" w:line="240" w:lineRule="auto"/>
        <w:rPr>
          <w:rFonts w:ascii="Times New Roman" w:hAnsi="Times New Roman" w:cs="Times New Roman"/>
          <w:lang w:val="en-IN"/>
        </w:rPr>
      </w:pPr>
      <w: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Anuj Golecha</w:t>
      </w:r>
    </w:p>
    <w:p w14:paraId="250E41E1" w14:textId="77777777" w:rsidR="00DC333B" w:rsidRPr="00DB41E3" w:rsidRDefault="00DC333B" w:rsidP="001F604A">
      <w:pPr>
        <w:spacing w:after="0" w:line="240" w:lineRule="auto"/>
        <w:rPr>
          <w:rFonts w:ascii="Times New Roman" w:hAnsi="Times New Roman" w:cs="Times New Roman"/>
          <w:lang w:val="en-IN"/>
        </w:rPr>
      </w:pPr>
      <w: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t>Mr. Apoorv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r/>
    </w:p>
    <w:p w14:paraId="72C0A61D" w14:textId="11748862" w:rsidR="001564D9" w:rsidRDefault="001564D9" w:rsidP="001564D9">
      <w:pPr>
        <w:ind w:left="720"/>
        <w:jc w:val="both"/>
        <w:rPr>
          <w:rFonts w:ascii="Times New Roman" w:hAnsi="Times New Roman" w:cs="Times New Roman"/>
          <w:i/>
          <w:color w:val="000000"/>
          <w:lang w:val="en-IN"/>
        </w:rPr>
      </w:pPr>
      <w: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t>Involvement of any member in advising/managing any other fund:</w:t>
      </w:r>
    </w:p>
    <w:p w14:paraId="3E289D90" w14:textId="5253B6C2" w:rsidR="00DC333B" w:rsidRPr="00DB41E3" w:rsidRDefault="00DC333B" w:rsidP="001F604A">
      <w:pPr>
        <w:spacing w:after="0" w:line="240" w:lineRule="auto"/>
        <w:rPr>
          <w:rFonts w:ascii="Times New Roman" w:hAnsi="Times New Roman" w:cs="Times New Roman"/>
          <w:lang w:val="en-IN"/>
        </w:rPr>
      </w:pPr>
      <w:r/>
    </w:p>
    <w:p w14:paraId="7C876970" w14:textId="77777777" w:rsidR="00DC333B" w:rsidRPr="00DB41E3" w:rsidRDefault="00DC333B" w:rsidP="001F604A">
      <w:pPr>
        <w:spacing w:after="0" w:line="240" w:lineRule="auto"/>
        <w:rPr>
          <w:rFonts w:ascii="Times New Roman" w:hAnsi="Times New Roman" w:cs="Times New Roman"/>
          <w:lang w:val="en-IN"/>
        </w:rPr>
      </w:pPr>
      <w: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t>For more details, kindly refer to “SECTION X: RISK FACTORS”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5412696C" w14:textId="261F2349" w:rsidR="00A46260" w:rsidRPr="00DB41E3" w:rsidRDefault="00DC333B" w:rsidP="001F604A">
      <w:pPr>
        <w:spacing w:line="240" w:lineRule="auto"/>
        <w:ind w:left="720"/>
        <w:jc w:val="both"/>
        <w:rPr>
          <w:rFonts w:ascii="Times New Roman" w:hAnsi="Times New Roman" w:cs="Times New Roman"/>
          <w:i/>
        </w:rPr>
      </w:pPr>
      <w:r>
        <w:br/>
        <w:t>The members of Investment Committee will be paid a reasonable amount as a fee which will be paid by the Investment Manager and shall not be charged to the Fund.</w:t>
      </w:r>
    </w:p>
    <w:p w14:paraId="39D15978" w14:textId="77777777" w:rsidR="000C1343" w:rsidRPr="00DB41E3" w:rsidRDefault="000C1343" w:rsidP="004E0113">
      <w:pPr>
        <w:pStyle w:val="ListParagraph"/>
        <w:spacing w:after="258" w:line="259" w:lineRule="auto"/>
        <w:ind w:left="360"/>
        <w:jc w:val="both"/>
        <w:rPr>
          <w:b/>
          <w:szCs w:val="22"/>
        </w:rPr>
      </w:pPr>
      <w: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t>Advisory 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r/>
    </w:p>
    <w:p w14:paraId="514F41C6" w14:textId="42DDA7C6" w:rsidR="00902B01" w:rsidRPr="00DB41E3" w:rsidRDefault="00B72D2D" w:rsidP="003D5A4D">
      <w:pPr>
        <w:pStyle w:val="ListParagraph"/>
        <w:spacing w:after="258" w:line="259" w:lineRule="auto"/>
        <w:ind w:left="360"/>
        <w:jc w:val="both"/>
        <w:rPr>
          <w:szCs w:val="22"/>
        </w:rPr>
      </w:pPr>
      <w: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Advisory Committee:</w:t>
      </w:r>
    </w:p>
    <w:p w14:paraId="7B808267" w14:textId="77777777" w:rsidR="000F52F2" w:rsidRPr="00DB41E3" w:rsidRDefault="000F52F2" w:rsidP="001F604A">
      <w:pPr>
        <w:spacing w:after="0" w:line="240" w:lineRule="auto"/>
        <w:rPr>
          <w:rFonts w:ascii="Times New Roman" w:hAnsi="Times New Roman" w:cs="Times New Roman"/>
          <w:lang w:val="en-IN"/>
        </w:rPr>
      </w:pPr>
      <w: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t>The Investment Manager shall 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The quorum for any meeting of Advisory Committee shall be a minimum of 2 (two) members present in-person or by way of teleconference, videoconference or any other electronic mode. The decisions of the Advisory Committee would be taken on the basis of a simple majority vote of the members present at the meeting of the Advisory Committee. At each meeting of the Advisory Committee,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Advisory Committee:</w:t>
      </w:r>
    </w:p>
    <w:p w14:paraId="372E3BCC" w14:textId="77777777" w:rsidR="000F52F2" w:rsidRPr="00DB41E3" w:rsidRDefault="000F52F2" w:rsidP="001F604A">
      <w:pPr>
        <w:spacing w:after="0" w:line="240" w:lineRule="auto"/>
        <w:rPr>
          <w:rFonts w:ascii="Times New Roman" w:hAnsi="Times New Roman" w:cs="Times New Roman"/>
          <w:lang w:val="en-IN"/>
        </w:rPr>
      </w:pPr>
      <w: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 xml:space="preserve">The members of the Advisory Committee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t xml:space="preserve">Involvement of any member in advising/managing any other fund: </w:t>
      </w:r>
    </w:p>
    <w:p w14:paraId="53D3750E" w14:textId="77777777" w:rsidR="000F52F2" w:rsidRPr="00DB41E3" w:rsidRDefault="000F52F2" w:rsidP="001F604A">
      <w:pPr>
        <w:spacing w:after="0" w:line="240" w:lineRule="auto"/>
        <w:rPr>
          <w:rFonts w:ascii="Times New Roman" w:hAnsi="Times New Roman" w:cs="Times New Roman"/>
          <w:lang w:val="en-IN"/>
        </w:rPr>
      </w:pPr>
      <w: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For more details, kindly refer to SECTION X: RISK FACTORS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4937F79D" w14:textId="77777777" w:rsidR="000F52F2" w:rsidRPr="00DB41E3" w:rsidRDefault="000F52F2" w:rsidP="001F604A">
      <w:pPr>
        <w:spacing w:after="0" w:line="240" w:lineRule="auto"/>
        <w:rPr>
          <w:rFonts w:ascii="Times New Roman" w:hAnsi="Times New Roman" w:cs="Times New Roman"/>
          <w:lang w:val="en-IN"/>
        </w:rPr>
      </w:pPr>
      <w: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t>The members of Advisory Committee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t>The Fund currently does not have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r/>
    </w:p>
    <w:p w14:paraId="776CA847" w14:textId="77777777" w:rsidR="000C432A" w:rsidRPr="00DB41E3" w:rsidRDefault="000C432A">
      <w:pPr>
        <w:rPr>
          <w:rFonts w:ascii="Times New Roman" w:hAnsi="Times New Roman" w:cs="Times New Roman"/>
          <w:b/>
          <w:i/>
        </w:rPr>
      </w:pPr>
      <w:r>
        <w:br/>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t>Supplementary Section</w:t>
      </w:r>
    </w:p>
    <w:p w14:paraId="5E6598D7" w14:textId="142DCB48" w:rsidR="000B7B43" w:rsidRPr="00CC18FA" w:rsidRDefault="000B7B43" w:rsidP="002748F0">
      <w:pPr>
        <w:ind w:right="60"/>
        <w:jc w:val="both"/>
        <w:rPr>
          <w:rFonts w:ascii="Times New Roman" w:hAnsi="Times New Roman" w:cs="Times New Roman"/>
          <w:b/>
        </w:rPr>
      </w:pPr>
      <w: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t xml:space="preserve">In accordance with paragraph 3.2 of SEBI circular dated June 25, 2021 titled ‘Circular on Amendment to SEBI (Alternative Investment Funds) Regulations, 2012’, the details of the key management personnel of the Fund and the Investment Manager are as follows: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Mr. Navin Honagudi</w:t>
            </w:r>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Mr. Anuj Golecha</w:t>
            </w:r>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r/>
    </w:p>
    <w:p w14:paraId="3C7849DE" w14:textId="77777777" w:rsidR="004F370B" w:rsidRPr="00DB41E3" w:rsidRDefault="004F370B">
      <w:pPr>
        <w:rPr>
          <w:rFonts w:ascii="Times New Roman" w:hAnsi="Times New Roman" w:cs="Times New Roman"/>
          <w:b/>
          <w:w w:val="0"/>
        </w:rPr>
      </w:pPr>
      <w:r>
        <w:br/>
      </w:r>
    </w:p>
    <w:p w14:paraId="6DB6AE46" w14:textId="5A6E47B1" w:rsidR="004F370B" w:rsidRPr="00DB41E3" w:rsidRDefault="004F370B" w:rsidP="00E15516">
      <w:pPr>
        <w:pStyle w:val="Heading1"/>
      </w:pPr>
      <w:r>
        <w:t>SECTION VI: TRACK RECORD OF INVESTMENT MANAGER</w:t>
      </w:r>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t>‘Elevate Capital Management Services Private Limited’, a company incorporated under the provisions of the Companies Act, 2013 and having its registered office at Office No. 203/204, B Wing, Mittal Commercia, Off Andheri Kurla Road, Andheri East, Mumbai 400059, Maharashtra, India, will act as the investment manager to the Trust and all its Schemes,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does not have prior experience in fund management and is relying on the experience of the members of the key investment team. Please refer to section D under “SECTION V: GOVERNANCE STRUCTURE,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Disclaimer:</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disclosures in relation to the performance track record of the individual members of the team indicated under “SECTION V: GOVERNANCE STRUCTURE”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Risk Factor:</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“SECTION X: RISK FACTORS”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r/>
    </w:p>
    <w:p w14:paraId="48419202" w14:textId="77777777" w:rsidR="00E67514" w:rsidRPr="00DB41E3" w:rsidRDefault="00E67514">
      <w:pPr>
        <w:rPr>
          <w:rFonts w:ascii="Times New Roman" w:hAnsi="Times New Roman" w:cs="Times New Roman"/>
          <w:highlight w:val="yellow"/>
        </w:rPr>
      </w:pPr>
      <w:r>
        <w:br/>
      </w:r>
    </w:p>
    <w:p w14:paraId="110E27DE" w14:textId="05FE4207" w:rsidR="0050268D" w:rsidRPr="00DB41E3" w:rsidRDefault="00750085" w:rsidP="00E15516">
      <w:pPr>
        <w:pStyle w:val="Heading1"/>
      </w:pPr>
      <w:r>
        <w:t>SECTION VII: PRINCIPAL TERMS OF THE FUND</w:t>
      </w:r>
    </w:p>
    <w:p w14:paraId="0637ACC3" w14:textId="77777777" w:rsidR="00D83723" w:rsidRPr="00DB41E3" w:rsidRDefault="00D83723" w:rsidP="001F604A">
      <w:pPr>
        <w:spacing w:after="0"/>
        <w:jc w:val="center"/>
        <w:rPr>
          <w:rFonts w:ascii="Times New Roman" w:hAnsi="Times New Roman" w:cs="Times New Roman"/>
          <w:b/>
          <w:i/>
          <w:u w:val="single"/>
        </w:rPr>
      </w:pPr>
      <w: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t>This is a description of the principal terms (“Principal Terms of the Fund”) pertaining to Elev8-Capital Fund I.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Rs.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Rs.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r w:rsidRPr="00DB41E3">
              <w:rPr>
                <w:szCs w:val="22"/>
                <w:lang w:val="en-IN"/>
              </w:rPr>
              <w:t xml:space="preserve">Rs. </w:t>
            </w:r>
            <w:r w:rsidR="00C00557">
              <w:rPr>
                <w:szCs w:val="22"/>
                <w:lang w:val="en-IN"/>
              </w:rPr>
              <w:t>1,6</w:t>
            </w:r>
            <w:r w:rsidR="00BA78DF">
              <w:rPr>
                <w:szCs w:val="22"/>
                <w:lang w:val="en-IN"/>
              </w:rPr>
              <w:t>2</w:t>
            </w:r>
            <w:r w:rsidR="00C00557">
              <w:rPr>
                <w:szCs w:val="22"/>
                <w:lang w:val="en-IN"/>
              </w:rPr>
              <w:t>0</w:t>
            </w:r>
            <w:r w:rsidR="0018173D" w:rsidRPr="00DB41E3">
              <w:rPr>
                <w:szCs w:val="22"/>
                <w:lang w:val="en-IN"/>
              </w:rPr>
              <w:t>,00,00,000</w:t>
            </w:r>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Target Investors of the Fund are institutional investors, family offices, high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lass</w:t>
            </w:r>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To Eligible Persons who are strategically important/valuable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Subject to the Regulations, the Investment Manager may at its sole discretion issue additional Class/es or Subclass/es/series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Class/es and/or Subclass/es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 xml:space="preserve">The economic and special rights attached to the Class/es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r w:rsidRPr="00DB41E3">
                    <w:rPr>
                      <w:sz w:val="22"/>
                      <w:szCs w:val="22"/>
                      <w:lang w:val="en-IN"/>
                    </w:rPr>
                    <w:t>Rs.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r w:rsidRPr="00DB41E3">
                    <w:rPr>
                      <w:sz w:val="22"/>
                      <w:szCs w:val="22"/>
                      <w:lang w:val="en-IN"/>
                    </w:rPr>
                    <w:t>Rs.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2.5% (two and a half percent) of the Corpus or Rs. 5,00,00,000 (Indian Rupees Five Crores), whichever is lower or Rs.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r w:rsidRPr="00DB41E3">
                    <w:rPr>
                      <w:sz w:val="22"/>
                      <w:szCs w:val="22"/>
                      <w:lang w:val="en-IN"/>
                    </w:rPr>
                    <w:t>Rs.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r w:rsidRPr="00DB41E3">
                    <w:rPr>
                      <w:sz w:val="22"/>
                      <w:szCs w:val="22"/>
                      <w:lang w:val="en-IN"/>
                    </w:rPr>
                    <w:t>Rs.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r w:rsidRPr="00DB41E3">
                    <w:rPr>
                      <w:sz w:val="22"/>
                      <w:szCs w:val="22"/>
                      <w:lang w:val="en-IN"/>
                    </w:rPr>
                    <w:t xml:space="preserve">Rs. 25,00,000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Rs.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Rs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r w:rsidRPr="00DB41E3">
                    <w:rPr>
                      <w:sz w:val="22"/>
                      <w:szCs w:val="22"/>
                      <w:lang w:val="en-IN"/>
                    </w:rPr>
                    <w:t>Rs.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Rs.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a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in case of any other Investors acting as joint Investors, for every Investor, the minimum investment of Rs.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Rs.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any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 xml:space="preserve">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(i)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(i)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make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subject to the receipt of aggregate Capital Commitments of at least Rs. 20,00,00,000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The Investment Manager has the discretion to hold one or more other Closing(s) subsequent to the First Closing but not later than the Final Closing, i.e., the Subsequent Closings. For the terms on which the Investor shall be onboarded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(i)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at the rate of upto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Compensatory Contribution applicable to such incoming Contributor (i)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below, the Investment Manager shall issue Drawdown Notice/s to the Contributors towards payment of Capital Contribution to be utilised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that one or more Contributors are excluded from participating in an investment, the Investment Manager may, either elect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(i)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forfeit,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sell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effected,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any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endeavour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honour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Further, it is hereby clarified that any actions by the Investment Manager as stated above on death of a Contributor,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leviable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 xml:space="preserve">For acting as the Trustee of the Trust and the Fund, and discharging its functions and responsibilities as the Trustee, the Trustee shall be entitled to receive from Fund: (i)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Rs.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Rs.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leviable on such Trusteeship Fees under Applicable Laws) and levies, if any, leviable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Operating Expenses shall be exclusive of all applicable Taxes and levies, if any, leviable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travel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leviable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which is, or may become, leviable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(i)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Class/es of Units as may be designated by the Investment Manager</w:t>
                  </w:r>
                  <w:r w:rsidRPr="00DB41E3">
                    <w:rPr>
                      <w:sz w:val="22"/>
                      <w:szCs w:val="22"/>
                      <w:lang w:val="en-IN"/>
                    </w:rPr>
                    <w:t xml:space="preserve">: </w:t>
                  </w:r>
                  <w:r w:rsidR="00644AA7" w:rsidRPr="00DB41E3">
                    <w:rPr>
                      <w:sz w:val="22"/>
                      <w:szCs w:val="22"/>
                      <w:lang w:val="en-IN"/>
                    </w:rPr>
                    <w:t xml:space="preserve">upto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r w:rsidR="00644AA7" w:rsidRPr="00DB41E3">
                    <w:rPr>
                      <w:sz w:val="22"/>
                      <w:szCs w:val="22"/>
                      <w:lang w:val="en-IN"/>
                    </w:rPr>
                    <w:t>atleast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 xml:space="preserve">and such other Class/es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(i)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(upto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of the Class A2 Distribution Proceeds will be distributed to the holders of Class A2 Units, until a cumulative amount equal to Hurdle Rate of Return on the amounts described in clause (i)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of the Class D1 Distribution Proceeds will be distributed to the holders of Class D1 Units, until a cumulative amount equal to Hurdle Rate of Return on the amounts described in clause (i)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 xml:space="preserve">of the Class D2 Distribution Proceeds will be distributed to the holders of Class D2 Units, until a cumulative amount equal to Hurdle Rate of Return on the amounts described in clause (i)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 xml:space="preserve">of the Class F Distribution Proceeds will be distributed to the holders of Class F Units, until a cumulative amount equal to Hurdle Rate of Return on the amounts described in clause (i)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Appliable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(i)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Clawback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r w:rsidR="00527FBD" w:rsidRPr="00DB41E3">
              <w:rPr>
                <w:rFonts w:ascii="Times New Roman" w:hAnsi="Times New Roman" w:cs="Times New Roman"/>
                <w:color w:val="000000"/>
                <w:shd w:val="clear" w:color="auto" w:fill="FFFFFF"/>
              </w:rPr>
              <w:t>Navin Honagudi</w:t>
            </w:r>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and Mr. Anuj Golecha</w:t>
            </w:r>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 xml:space="preserve">Subject to the foregoing, (i)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Subject to the foregoing, (i)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r w:rsidRPr="00DB41E3">
              <w:rPr>
                <w:rFonts w:ascii="Times New Roman" w:hAnsi="Times New Roman" w:cs="Times New Roman"/>
                <w:i/>
                <w:color w:val="000000" w:themeColor="text1"/>
              </w:rPr>
              <w:t>suo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in accordance with the Contribution Agreements,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valuer, for valuation of assets of the Fund shall be appointed by the Fund. The valuation shall be done by such valuer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hereinbelow.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favourable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r/>
    </w:p>
    <w:p w14:paraId="30372345" w14:textId="77777777" w:rsidR="006C696B" w:rsidRPr="00DB41E3" w:rsidRDefault="006C696B" w:rsidP="001F604A">
      <w:pPr>
        <w:spacing w:after="0"/>
        <w:jc w:val="center"/>
        <w:rPr>
          <w:rFonts w:ascii="Times New Roman" w:hAnsi="Times New Roman" w:cs="Times New Roman"/>
          <w:b/>
          <w:i/>
          <w:u w:val="single"/>
        </w:rPr>
      </w:pPr>
      <w:r/>
    </w:p>
    <w:p w14:paraId="4FACE5F7" w14:textId="3A5F83F5" w:rsidR="002A10A3" w:rsidRPr="00DB41E3" w:rsidRDefault="002A10A3">
      <w:pPr>
        <w:rPr>
          <w:rFonts w:ascii="Times New Roman" w:hAnsi="Times New Roman" w:cs="Times New Roman"/>
          <w:b/>
          <w:i/>
          <w:highlight w:val="yellow"/>
        </w:rPr>
      </w:pPr>
      <w:r>
        <w:br/>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valuer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br/>
      </w:r>
    </w:p>
    <w:p w14:paraId="7D562824" w14:textId="77777777" w:rsidR="00E93308" w:rsidRPr="00DB41E3" w:rsidRDefault="00E93308">
      <w:pPr>
        <w:rPr>
          <w:rFonts w:ascii="Times New Roman" w:hAnsi="Times New Roman" w:cs="Times New Roman"/>
          <w:b/>
          <w:i/>
          <w:highlight w:val="yellow"/>
        </w:rPr>
      </w:pPr>
      <w:r/>
    </w:p>
    <w:p w14:paraId="36FF11F1" w14:textId="2FB87CE5" w:rsidR="004F370B" w:rsidRPr="00DB41E3" w:rsidRDefault="004F370B" w:rsidP="00E15516">
      <w:pPr>
        <w:pStyle w:val="Heading1"/>
      </w:pPr>
      <w:r>
        <w:t>SECTION VIII: PRINCIPLES OF PORTFOLIO VALUATION</w:t>
      </w:r>
    </w:p>
    <w:p w14:paraId="3C809D8E" w14:textId="77777777" w:rsidR="00DF5DBE" w:rsidRPr="00DB41E3" w:rsidRDefault="00DF5DBE" w:rsidP="00DF5DBE">
      <w:pPr>
        <w:pStyle w:val="ListParagraph"/>
        <w:ind w:left="810" w:right="876"/>
        <w:rPr>
          <w:b/>
          <w:color w:val="000000" w:themeColor="text1"/>
          <w:szCs w:val="22"/>
        </w:rPr>
      </w:pPr>
      <w: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t>Details of entity appointed as valuer of the Fund</w:t>
      </w:r>
    </w:p>
    <w:p w14:paraId="1EEBADAB" w14:textId="77777777" w:rsidR="00DF5DBE" w:rsidRPr="00DB41E3" w:rsidRDefault="00DF5DBE" w:rsidP="00DF5DBE">
      <w:pPr>
        <w:pStyle w:val="ListParagraph"/>
        <w:ind w:left="810"/>
        <w:rPr>
          <w:color w:val="000000" w:themeColor="text1"/>
          <w:szCs w:val="22"/>
        </w:rPr>
      </w:pPr>
      <w:r/>
    </w:p>
    <w:p w14:paraId="5272452C" w14:textId="30C799A7" w:rsidR="00DF5DBE" w:rsidRPr="00DB41E3" w:rsidRDefault="00875C2D" w:rsidP="00875C2D">
      <w:pPr>
        <w:pStyle w:val="ListParagraph"/>
        <w:ind w:left="810"/>
        <w:jc w:val="both"/>
        <w:rPr>
          <w:color w:val="000000" w:themeColor="text1"/>
          <w:szCs w:val="22"/>
        </w:rPr>
      </w:pPr>
      <w:r>
        <w:t xml:space="preserve">The Fund will appoint an independent valuer as valuer prior to the first independent valuation of the Portfolio Entities of the Fund being carried out in accordance with the Fund Documents and the Regulations. </w:t>
      </w:r>
    </w:p>
    <w:p w14:paraId="04D490D7" w14:textId="77777777" w:rsidR="00DF5DBE" w:rsidRPr="00DB41E3" w:rsidRDefault="00DF5DBE" w:rsidP="00DF5DBE">
      <w:pPr>
        <w:pStyle w:val="ListParagraph"/>
        <w:ind w:left="810"/>
        <w:rPr>
          <w:b/>
          <w:color w:val="000000" w:themeColor="text1"/>
          <w:szCs w:val="22"/>
        </w:rPr>
      </w:pPr>
      <w: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r/>
    </w:p>
    <w:p w14:paraId="153037A4" w14:textId="77777777" w:rsidR="00DF5DBE" w:rsidRPr="00DB41E3" w:rsidRDefault="00DF5DBE" w:rsidP="00DF5DBE">
      <w:pPr>
        <w:pStyle w:val="ListParagraph"/>
        <w:ind w:left="810"/>
        <w:jc w:val="both"/>
        <w:rPr>
          <w:color w:val="000000" w:themeColor="text1"/>
          <w:szCs w:val="22"/>
        </w:rPr>
      </w:pPr>
      <w: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r/>
    </w:p>
    <w:p w14:paraId="76ADBDAC" w14:textId="070A803F" w:rsidR="00DF5DBE" w:rsidRPr="00DB41E3" w:rsidRDefault="00875C2D" w:rsidP="00875C2D">
      <w:pPr>
        <w:pStyle w:val="ListParagraph"/>
        <w:ind w:left="810"/>
        <w:jc w:val="both"/>
        <w:rPr>
          <w:color w:val="000000" w:themeColor="text1"/>
          <w:szCs w:val="22"/>
        </w:rPr>
      </w:pPr>
      <w:r>
        <w:t xml:space="preserve">The valuation principles to be used by the Trust/Fund for valuation of Portfolio Entities shall be finalized by the Investment Manager in consultation with the independent valuer. </w:t>
      </w:r>
    </w:p>
    <w:p w14:paraId="1EB32020" w14:textId="26B3C88A" w:rsidR="00DF5DBE" w:rsidRPr="00DB41E3" w:rsidRDefault="00DF5DBE" w:rsidP="00875C2D">
      <w:pPr>
        <w:jc w:val="both"/>
        <w:rPr>
          <w:rFonts w:ascii="Times New Roman" w:hAnsi="Times New Roman" w:cs="Times New Roman"/>
        </w:rPr>
      </w:pPr>
      <w:r/>
    </w:p>
    <w:p w14:paraId="5A212A5A" w14:textId="0AFE054B" w:rsidR="00DF5DBE" w:rsidRPr="00DB41E3" w:rsidRDefault="00DF5DBE" w:rsidP="00DF5DBE">
      <w:pPr>
        <w:rPr>
          <w:rFonts w:ascii="Times New Roman" w:hAnsi="Times New Roman" w:cs="Times New Roman"/>
        </w:rPr>
      </w:pPr>
      <w:r/>
    </w:p>
    <w:p w14:paraId="4E1DD248" w14:textId="68B894F2" w:rsidR="00875C2D" w:rsidRPr="00DB41E3" w:rsidRDefault="00875C2D">
      <w:pPr>
        <w:rPr>
          <w:rFonts w:ascii="Times New Roman" w:hAnsi="Times New Roman" w:cs="Times New Roman"/>
          <w:b/>
        </w:rPr>
      </w:pPr>
      <w:r>
        <w:br/>
      </w:r>
    </w:p>
    <w:p w14:paraId="2F48C782" w14:textId="43E47E34" w:rsidR="00EF2F34" w:rsidRPr="00DB41E3" w:rsidRDefault="00EF2F34" w:rsidP="00E15516">
      <w:pPr>
        <w:pStyle w:val="Heading1"/>
        <w:rPr>
          <w:w w:val="0"/>
        </w:rPr>
      </w:pPr>
      <w:r>
        <w:t>SECTION IX: CONFLICTS OF INTEREST</w:t>
      </w:r>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t>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lose 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t>There cannot be any assurance that an investment opportunity that comes to the attention of the Investment Manager will be referred or otherwise made available to the Fund. Investment opportunities identified by the Investment Manager may be suitable for the Fund as well as 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t xml:space="preserve">The Investors of the Fund, apart from investing in the Fund, may  also hold  investments 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t>If the committees are consituted in connection the Fund, the members of such committee,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t xml:space="preserve">At the level of the Sponsors and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t>The Investment Manager, Sponsor/s and their affiliates, subject to Applicable Laws, may be involved in a variety of advisory, management and investment-related activities including management of other funds and intend to continue to do in the future. The Fund shall not have any rights in or to any cash receipts or profits of the Investment Manager, Sponsor/s, and any of their affiliates. The Investment Manager, Sponsor/s and any of their affiliate/group entities may, from time to time, act as investment managers or advisers to other entities, companies or funds other than the Trust/Fund. It is therefore possible that the Investment Manager, Sponsor/s and their affiliates may in the course of their  activities  have potential conflicts of interest inter-se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Investments in Portfolio Entities in which Interested Parties have Interests: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commercial  interest at any time;</w:t>
      </w:r>
    </w:p>
    <w:p w14:paraId="34ED0B61" w14:textId="77777777" w:rsidR="0050383B" w:rsidRPr="00DB41E3" w:rsidRDefault="0050383B" w:rsidP="00AE0D18">
      <w:pPr>
        <w:pStyle w:val="ListParagraph"/>
        <w:rPr>
          <w:color w:val="000000"/>
          <w:szCs w:val="22"/>
        </w:rPr>
      </w:pPr>
      <w: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Purchase from and sale of investments to Interested Parties: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Board of Fund investment: As part of its investment methodology, the Investment Manager may require Portfolio Entities to grant to the Fund a seat on the boards of directors of such Portfolio Entitites.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t xml:space="preserve">Conflict in case of warehousing: The Investment Manager, the Sponsor/s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 </w:t>
      </w:r>
    </w:p>
    <w:p w14:paraId="4DC8B7E4" w14:textId="77777777" w:rsidR="0050383B" w:rsidRPr="00DB41E3" w:rsidRDefault="0050383B" w:rsidP="00AE0D18">
      <w:pPr>
        <w:pStyle w:val="ListParagraph"/>
        <w:rPr>
          <w:color w:val="000000"/>
          <w:szCs w:val="22"/>
        </w:rPr>
      </w:pPr>
      <w: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t>Conflict in case of co-investment: 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In managing the aforesaid conflicted transactions, the Investment Manager will have regard to its obligations under the Fund Documents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investment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702FA024" w14:textId="77777777" w:rsidR="009D380D" w:rsidRPr="00DB41E3" w:rsidRDefault="009D380D">
      <w:pPr>
        <w:rPr>
          <w:rFonts w:ascii="Times New Roman" w:hAnsi="Times New Roman" w:cs="Times New Roman"/>
        </w:rPr>
      </w:pPr>
      <w:r>
        <w:br/>
      </w:r>
    </w:p>
    <w:p w14:paraId="6E1F77F1" w14:textId="2FCA7393" w:rsidR="009D380D" w:rsidRPr="00DB41E3" w:rsidRDefault="009D380D" w:rsidP="00E15516">
      <w:pPr>
        <w:pStyle w:val="Heading1"/>
        <w:rPr>
          <w:w w:val="0"/>
        </w:rPr>
      </w:pPr>
      <w:r>
        <w:t>SECTION X: RISK FACTORS</w:t>
      </w:r>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THE PROVISIONS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6235EAEE" w14:textId="5E5F3DFD" w:rsidR="009D380D" w:rsidRPr="00DB41E3" w:rsidRDefault="00BE4A17" w:rsidP="009C1601">
      <w:pPr>
        <w:pStyle w:val="Heading2"/>
        <w:numPr>
          <w:ilvl w:val="3"/>
          <w:numId w:val="49"/>
        </w:numPr>
        <w:ind w:left="142"/>
        <w:rPr>
          <w:szCs w:val="22"/>
        </w:rPr>
      </w:pPr>
      <w:r>
        <w:t>RISK FOR CERTAIN TYPE OF INVESTORS</w:t>
      </w:r>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C(4)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J(4)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r/>
    </w:p>
    <w:p w14:paraId="7291E288" w14:textId="4A602A26" w:rsidR="009D380D" w:rsidRPr="00DB41E3" w:rsidRDefault="002A4770" w:rsidP="009C1601">
      <w:pPr>
        <w:pStyle w:val="Heading2"/>
        <w:numPr>
          <w:ilvl w:val="3"/>
          <w:numId w:val="49"/>
        </w:numPr>
        <w:ind w:left="142"/>
        <w:rPr>
          <w:w w:val="0"/>
          <w:szCs w:val="22"/>
        </w:rPr>
      </w:pPr>
      <w:r>
        <w:t>RISKS FOR THE TYPE OF SECURITIES/INSTRUMENT THE FUND MAY INVEST</w:t>
      </w:r>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r/>
    </w:p>
    <w:p w14:paraId="2B700903" w14:textId="491655EC" w:rsidR="009D380D" w:rsidRPr="00DB41E3" w:rsidRDefault="009D380D" w:rsidP="009C1601">
      <w:pPr>
        <w:pStyle w:val="Heading2"/>
        <w:numPr>
          <w:ilvl w:val="3"/>
          <w:numId w:val="49"/>
        </w:numPr>
        <w:ind w:left="284"/>
        <w:rPr>
          <w:w w:val="0"/>
          <w:szCs w:val="22"/>
        </w:rPr>
      </w:pPr>
      <w:r>
        <w:t>RISKS RELATED TO PORTFOLIO INVESTMENTS</w:t>
      </w:r>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t xml:space="preserve">Inability of Portfolio Entities 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The value of the Fund Investments may decline if the Portfolio Entities are not able to commercialize their technology, products, business concepts or services. Additionally, although many of the Portfolio Entities 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 may be unable to acquire or develop successful new technologies and the intellectual property they currently hold may not remain viable. Even if the Portfolio Entities are able to develop commercially viable products, the market for new products and services is highly competitive and rapidly changing. Neither the Portfolio Entities nor the Fund may have any control over the pace of technology development. Commercial success is difficult to predict, and the marketing efforts of the Portfolio Entities 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r/>
    </w:p>
    <w:p w14:paraId="0A638DFD" w14:textId="0D194384" w:rsidR="009D380D" w:rsidRPr="00DB41E3" w:rsidRDefault="009D380D" w:rsidP="009D380D">
      <w:pPr>
        <w:pStyle w:val="BodyText"/>
        <w:spacing w:line="276" w:lineRule="auto"/>
        <w:ind w:right="95"/>
        <w:jc w:val="both"/>
        <w:rPr>
          <w:color w:val="000000" w:themeColor="text1"/>
          <w:sz w:val="22"/>
          <w:szCs w:val="22"/>
        </w:rPr>
      </w:pPr>
      <w:r>
        <w:t>The Portfolio Entities may require significant amounts of capital. There can be no assurance that such capital will be available from public capital market or private sources. In particular, the cyclicality of public markets may prevent Portfolio Entities from raising money in their particular industry sectors, despite attractive products or services. 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Associate party transactions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t xml:space="preserve">The Investment Manager, the Sponsor/s and/or their associate may make Warehoused Investments in Portfolio Entities. The transfer of such Warehoused Investments to the Fund is expected to be at cost plus a fixed percentage or at such price as the Investment Manager may decide in accordance with this Memorandum. Further, while any compensation paid to the Investment Manager or Sponsor/s or their associates towards cost of Warehoused Investment is expected to be at market rates, such compensation shall generally be determined through negotiations with relevant parties and may not be on an arm’s length basis. No part of such compensation paid to the Investment Manager or Sponsor/s or their associates will be offset against Management Fee or Additional Return distributions payable to the Investment Manager or Sponsor/s 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t>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only Persons who can afford a complete loss of their principal amount invested in the Fund should consider an investment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t>The activity of identifying, completing and realizing attractive investments is competitive and involves a high degree of uncertainty. The Fund will be competing for investments with other investment vehicles, as well as financial institutions and other Institutional Investors.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feasibility and terms of any proposed exit strategy for the Fund in respect of its investments will depend in part on factors that are not within the control of the Fund, at the time of the proposed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 If the Fund is not able to exit from Fund Investments at the time of termination of the Fund, the Fund Investments may be distributed in-specie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Investment Manager may enter into such Contribution Agreements or similar agreements (including side letters) pursuant to which the Investment Manager grants to certain Investors specific rights, benefits or privileges that are not made available to other Investors generally and may not be disclosed to the other Investors who are not a party to aforesaid document/s. However, the Investment Manager shall not offer differential rights in the side letters which may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implementation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Fund may make investments along with co-investor or third-party. Such investments may involve risks not present in investments where such co-investor or third-party is not involved, including, for example, the possibility that a co-Investor/third-party may have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46B42C" w14:textId="77777777" w:rsidR="009D380D" w:rsidRPr="00DB41E3" w:rsidRDefault="009D380D" w:rsidP="009D380D">
      <w:pPr>
        <w:pStyle w:val="ListParagraph"/>
        <w:spacing w:line="276" w:lineRule="auto"/>
        <w:ind w:left="0" w:right="95"/>
        <w:jc w:val="both"/>
        <w:rPr>
          <w:color w:val="000000" w:themeColor="text1"/>
          <w:szCs w:val="22"/>
        </w:rPr>
      </w:pPr>
      <w:r>
        <w:t>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meet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control of 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3AC7CC8" w14:textId="2F47C84F" w:rsidR="009D380D" w:rsidRPr="00DB41E3" w:rsidRDefault="009D380D" w:rsidP="009D380D">
      <w:pPr>
        <w:pStyle w:val="ListParagraph"/>
        <w:spacing w:line="276" w:lineRule="auto"/>
        <w:ind w:left="0" w:right="95"/>
        <w:jc w:val="both"/>
        <w:rPr>
          <w:color w:val="000000" w:themeColor="text1"/>
          <w:szCs w:val="22"/>
        </w:rPr>
      </w:pPr>
      <w: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 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t xml:space="preserve">Epidemics and Other Health Risks.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t xml:space="preserve">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 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t>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fulfill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r/>
    </w:p>
    <w:p w14:paraId="1DEFFE77" w14:textId="556CAB51" w:rsidR="009D380D" w:rsidRPr="00DB41E3" w:rsidRDefault="009D380D" w:rsidP="009C1601">
      <w:pPr>
        <w:pStyle w:val="Heading2"/>
        <w:numPr>
          <w:ilvl w:val="3"/>
          <w:numId w:val="49"/>
        </w:numPr>
        <w:ind w:left="426"/>
        <w:rPr>
          <w:szCs w:val="22"/>
        </w:rPr>
      </w:pPr>
      <w:r>
        <w:t>RISK RELATED TO FUND STRUCTURE</w:t>
      </w:r>
    </w:p>
    <w:p w14:paraId="1B01EF27" w14:textId="77777777" w:rsidR="00AF0097" w:rsidRPr="00DB41E3" w:rsidRDefault="00AF0097" w:rsidP="001F604A">
      <w:pPr>
        <w:spacing w:after="0"/>
        <w:jc w:val="both"/>
        <w:rPr>
          <w:rFonts w:ascii="Times New Roman" w:hAnsi="Times New Roman" w:cs="Times New Roman"/>
        </w:rPr>
      </w:pPr>
      <w: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(i)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Key individuals </w:t>
      </w:r>
    </w:p>
    <w:p w14:paraId="0AC40129" w14:textId="77777777" w:rsidR="009D380D" w:rsidRPr="00DB41E3" w:rsidRDefault="009D380D" w:rsidP="009D380D">
      <w:pPr>
        <w:pStyle w:val="ListParagraph"/>
        <w:spacing w:line="276" w:lineRule="auto"/>
        <w:ind w:left="1889"/>
        <w:jc w:val="both"/>
        <w:rPr>
          <w:szCs w:val="22"/>
        </w:rPr>
      </w:pPr>
      <w: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t>The Investment Manager will be selecting suitable portfolio investments. A material adverse effect on the returns of the Fund may be created by the loss of one or more key personnel of the Investment Manager who are responsible for managing the Fund’s portfolio.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t>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Fund 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t>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Fund 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 and the structuring of investments, subject to the investment parameters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t>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total returns to the Investors.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the Trustee, Investment Manager and other decision-making committees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t>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Investments. The rights and obligations of Investors will be subject to the limitations set forth in the Fund Documents and except for the rights specifically reserved to them by the Fund 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Dependence on the Investment Manager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The Fund’s success depends on the skill and acumen of the Investment Manager, and more particularly the individuals involved in the decision making of the Investment Manager. If any of these individuals should cease to participate in the Investment Manager’s  activities, the Investment Manager’s ability to select attractive investments for the Fund and manage its portfolio could be impaired. Further, the Investment Manager may devote a part of their time to other activities (including any additional fund vehicles or clients).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t>The Sponsor/s, the Investment Manager, and its directors and senior personnel will be subject to certain conflicts of interest situations. The Fund 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t>The Investment Manager might have to rely on the opinion/advise/action of the third party service providers/intermediaries while performing the functions of the Fund. The Investment Manager will not be liable for acting bonafide based on such advice. There may be circumstances whereby the Fund might suffer losses because of acting 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Fund 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t>Investors are generally not permitted to withdraw from the Fund. In addition, they may not transfer any of the interests, rights or obligations with regard to the Fund except as may be provided in the Fund Documents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t>There may be circumstances where the Investment Manager deems appropriate to make in-specie distributions to Investors. Such distributions of in-specie assets shall be made in accordance with the provisions described in this Memorandum in relation to a distribution of assets in specie during the term of the Fund and/or at the time of dissolution of the Fund, and may have adverse Tax consequences that may not otherwise apply to an equivalent cash distribution. If an in-specie distribution is received by Investors from the Fund, the Investors may be subject to restrictions on disposal of securities 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indemnity and Tax obligation of the Investors towards Fund parties.</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t>The Fund Documents contain provisions that relieve the Investment Manager and other Indemnified Persons of liability for certain acts or omissions except on account of Malfeasance. An indemnity is provided to the Indemnified Persons against any Losses except to the extent such Losses resulted from the Indemnified Person’s Malfeasance. Indemnification of the Indemnified Persons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 Investment Manager and/or Sponsor/s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There may be practical scenarios whereby the Investment Manager and/or Sponsor/s, including the members of advisory board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Any loss incurred by the Indemnified persons for any claim raised by a Tax authority against such Indemnified persons (in its capacity as the representative assessee)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r/>
    </w:p>
    <w:p w14:paraId="571451B4" w14:textId="1D8335DF" w:rsidR="009D380D" w:rsidRPr="00DB41E3" w:rsidRDefault="009D380D" w:rsidP="009C1601">
      <w:pPr>
        <w:pStyle w:val="Heading2"/>
        <w:numPr>
          <w:ilvl w:val="0"/>
          <w:numId w:val="23"/>
        </w:numPr>
        <w:ind w:left="426"/>
        <w:rPr>
          <w:szCs w:val="22"/>
        </w:rPr>
      </w:pPr>
      <w:r>
        <w:t>REGULATORY RISKS</w:t>
      </w:r>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 xml:space="preserve">Risks of uncertainty 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 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r>
        <w:t xml:space="preserve">Enforcement Risks; Non-availability of Creditor Protection Laws </w:t>
      </w:r>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t>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off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Fund will operate under Applicable Laws including the Foreign Exchange Management Act, 1999 (including rules/regulations made thereunder), SEBI Act, 1992 (including regulations made thereunder), Companies Act, 2013 (including rules/regulations made thereunder) etc., which provide for stringent conditions and compliances. If policy announcements or legal/regulatory changes occur subsequent to this offering, which require retrospective changes in the structure or operations of the Fund, these may adversely impact the performance of the Fund. 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r/>
    </w:p>
    <w:p w14:paraId="5E24DCA9" w14:textId="5565BF3B" w:rsidR="009D380D" w:rsidRPr="00DB41E3" w:rsidRDefault="009D380D" w:rsidP="009C1601">
      <w:pPr>
        <w:pStyle w:val="Heading2"/>
        <w:numPr>
          <w:ilvl w:val="0"/>
          <w:numId w:val="23"/>
        </w:numPr>
        <w:ind w:left="426"/>
        <w:rPr>
          <w:szCs w:val="22"/>
        </w:rPr>
      </w:pPr>
      <w:r>
        <w:t>GENERAL RISK FACTORS</w:t>
      </w:r>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t>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Investments. India is a country which comprises diverse religious and ethnic 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t>Although the Investment Manager shall ensure that the assets and liabilities of each Scheme is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t>Accounting, financial and other reporting standards in India are not equal to those in more developed countries.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 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r/>
    </w:p>
    <w:p w14:paraId="060652EA" w14:textId="5B2E781C" w:rsidR="00BB6DE4" w:rsidRPr="00DB41E3" w:rsidRDefault="009D380D" w:rsidP="009C1601">
      <w:pPr>
        <w:pStyle w:val="Heading2"/>
        <w:numPr>
          <w:ilvl w:val="0"/>
          <w:numId w:val="23"/>
        </w:numPr>
        <w:ind w:left="426"/>
        <w:rPr>
          <w:szCs w:val="22"/>
        </w:rPr>
      </w:pPr>
      <w:r>
        <w:t>TAX RELATED FACTORS</w:t>
      </w:r>
    </w:p>
    <w:p w14:paraId="20C29E2B" w14:textId="451F1207" w:rsidR="00925A14" w:rsidRPr="00DB41E3" w:rsidRDefault="00925A14" w:rsidP="00925A14">
      <w:pPr>
        <w:rPr>
          <w:rFonts w:ascii="Times New Roman" w:hAnsi="Times New Roman" w:cs="Times New Roman"/>
        </w:rPr>
      </w:pPr>
      <w: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t>General Anti – Avoidance Rules and its impact on the Fund/ Trust / its Investors/ Portfolio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t>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bonafide purpose) can be declared as an “impermissible avoidance arrangement”. Further, the GAAR provisions, if invoked, could override the treaty provisions. The provisions of GAAR would be applicable to any transaction undertaken on or after April 1, 2017. There 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r/>
    </w:p>
    <w:p w14:paraId="1DE4CF33" w14:textId="12386051" w:rsidR="00EC4EB4" w:rsidRPr="00DB41E3" w:rsidRDefault="00EC4EB4" w:rsidP="00EC4EB4">
      <w:pPr>
        <w:pStyle w:val="ListParagraph"/>
        <w:spacing w:after="240"/>
        <w:ind w:left="502"/>
        <w:jc w:val="both"/>
        <w:rPr>
          <w:rFonts w:eastAsia="Calibri"/>
          <w:bCs/>
          <w:szCs w:val="22"/>
        </w:rPr>
      </w:pPr>
      <w: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t>Risks associated with change in tax laws, including renegotiation of tax treaties, relevant to the Fund/ Trust and its Investors</w:t>
      </w:r>
    </w:p>
    <w:p w14:paraId="396D8C80" w14:textId="3AB3CDA3" w:rsidR="008C74E5" w:rsidRPr="00DB41E3" w:rsidRDefault="008C74E5" w:rsidP="008C74E5">
      <w:pPr>
        <w:pStyle w:val="ListParagraph"/>
        <w:spacing w:after="240"/>
        <w:ind w:left="502"/>
        <w:jc w:val="both"/>
        <w:rPr>
          <w:b/>
          <w:szCs w:val="22"/>
        </w:rPr>
      </w:pPr>
      <w:r/>
    </w:p>
    <w:p w14:paraId="083DDD3D" w14:textId="6F25277F" w:rsidR="008C74E5" w:rsidRPr="00DB41E3" w:rsidRDefault="008C74E5" w:rsidP="008C74E5">
      <w:pPr>
        <w:pStyle w:val="ListParagraph"/>
        <w:spacing w:after="240"/>
        <w:ind w:left="502"/>
        <w:jc w:val="both"/>
        <w:rPr>
          <w:bCs/>
          <w:szCs w:val="22"/>
        </w:rPr>
      </w:pPr>
      <w: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r/>
    </w:p>
    <w:p w14:paraId="267371CA" w14:textId="0C3E67FE" w:rsidR="008C74E5" w:rsidRPr="00DB41E3" w:rsidRDefault="008C74E5" w:rsidP="008C74E5">
      <w:pPr>
        <w:pStyle w:val="ListParagraph"/>
        <w:spacing w:after="240"/>
        <w:ind w:left="502"/>
        <w:jc w:val="both"/>
        <w:rPr>
          <w:bCs/>
          <w:szCs w:val="22"/>
        </w:rPr>
      </w:pPr>
      <w:r>
        <w:t>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t>Income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r/>
    </w:p>
    <w:p w14:paraId="4EC86149" w14:textId="7F2B256A" w:rsidR="008C74E5" w:rsidRPr="00DB41E3" w:rsidRDefault="008C74E5" w:rsidP="008C74E5">
      <w:pPr>
        <w:pStyle w:val="ListParagraph"/>
        <w:spacing w:after="240"/>
        <w:ind w:left="502"/>
        <w:jc w:val="both"/>
        <w:rPr>
          <w:bCs/>
          <w:color w:val="000000" w:themeColor="text1"/>
          <w:w w:val="0"/>
          <w:szCs w:val="22"/>
        </w:rPr>
      </w:pPr>
      <w:r>
        <w:t>Taxability of the income for all taxpayers, following mercantile system of accounting and offering its income to tax under the head ‘Profits and gains from business and profession’ and ‘Income from other sources’, needs to be analysed under the ICDS framework.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r/>
    </w:p>
    <w:p w14:paraId="784907E1" w14:textId="0C15A249" w:rsidR="008C74E5" w:rsidRPr="00DB41E3" w:rsidRDefault="008C74E5" w:rsidP="008C74E5">
      <w:pPr>
        <w:pStyle w:val="ListParagraph"/>
        <w:spacing w:after="240"/>
        <w:ind w:left="502"/>
        <w:jc w:val="both"/>
        <w:rPr>
          <w:bCs/>
          <w:color w:val="000000" w:themeColor="text1"/>
          <w:w w:val="0"/>
          <w:szCs w:val="22"/>
        </w:rPr>
      </w:pPr>
      <w: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r/>
    </w:p>
    <w:p w14:paraId="05515BDB" w14:textId="2A263138" w:rsidR="008C74E5" w:rsidRPr="00DB41E3" w:rsidRDefault="008C74E5" w:rsidP="00D8326C">
      <w:pPr>
        <w:pStyle w:val="ListParagraph"/>
        <w:spacing w:after="240"/>
        <w:ind w:left="502"/>
        <w:jc w:val="both"/>
        <w:rPr>
          <w:b/>
          <w:color w:val="000000" w:themeColor="text1"/>
          <w:w w:val="0"/>
          <w:szCs w:val="22"/>
        </w:rPr>
      </w:pPr>
      <w:r>
        <w:t>There is a risk that the GST authorities may seek to levy GST on all the expenses or sums debited to profit and loss account of the Fund. Further, there is a risk that the GST authorities may seek to levy GST on the Additional Returns distributed by the Fund to the Sponsor/s or their 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r/>
    </w:p>
    <w:p w14:paraId="4AEE8B42" w14:textId="7F54C989" w:rsidR="009D380D" w:rsidRPr="00DB41E3" w:rsidRDefault="009D380D" w:rsidP="009C1601">
      <w:pPr>
        <w:pStyle w:val="Heading2"/>
        <w:numPr>
          <w:ilvl w:val="0"/>
          <w:numId w:val="23"/>
        </w:numPr>
        <w:ind w:left="426"/>
        <w:rPr>
          <w:w w:val="0"/>
          <w:szCs w:val="22"/>
        </w:rPr>
      </w:pPr>
      <w:r>
        <w:t>CURRENCY RISKS</w:t>
      </w:r>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t>There may be offshore investors investing the Fund, which will be subject to currency risk due to variation in value of currency. The offshore investors may lose value of their investment due to variation in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r/>
    </w:p>
    <w:p w14:paraId="2820585E" w14:textId="59FB0533" w:rsidR="009D380D" w:rsidRPr="00DB41E3" w:rsidRDefault="009D380D" w:rsidP="009C1601">
      <w:pPr>
        <w:pStyle w:val="Heading2"/>
        <w:numPr>
          <w:ilvl w:val="0"/>
          <w:numId w:val="23"/>
        </w:numPr>
        <w:ind w:left="426"/>
        <w:rPr>
          <w:w w:val="0"/>
          <w:szCs w:val="22"/>
        </w:rPr>
      </w:pPr>
      <w:r>
        <w:t>Additional Risks</w:t>
      </w:r>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t xml:space="preserve">The Trust may allow ‘FDI’ investment in the Units of the Fund i.e. investments by non- resident entity/person resident outside India in the Units of the Fund. If the Sponsor/s and/or Investment Manager are not owned and controlled by Indian resident citizens at the time the Fund makes investments, then the Trust/Fund would be subjected to certain investment restrictions and compliances which can reduce the investment flexibility of the Fund. For more information, refer to the Paragraph 4 titled “Foreign Investment Laws” under “SECTION XI: LEGAL, REGULATORY AND TAX CONSIDERATIONS” of this Memorandum.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t>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Fund Documents.</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t>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organization.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r/>
    </w:p>
    <w:p w14:paraId="46ECEDDB" w14:textId="08CE3530" w:rsidR="009D380D" w:rsidRPr="00DB41E3" w:rsidRDefault="009D380D" w:rsidP="002E023C">
      <w:pPr>
        <w:pStyle w:val="BodyText"/>
        <w:spacing w:line="276" w:lineRule="auto"/>
        <w:ind w:right="95"/>
        <w:jc w:val="both"/>
        <w:rPr>
          <w:color w:val="000000" w:themeColor="text1"/>
          <w:sz w:val="22"/>
          <w:szCs w:val="22"/>
        </w:rPr>
      </w:pPr>
      <w:r>
        <w:t>The Fund Documents will limit the circumstances under which the Investment Manager or its affiliates 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Dilution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t>Holders of Units that are admitted or increase their Capital Commitments at any subsequent Closing will participate in existing Fund Investments, diluting the interests of existing holders of Units therein. Although such holders of Units will contribute their pro rata share of all previously drawn Capital Commitments (plus an amount as may be determined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Lack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t xml:space="preserve">A lack of liquidity in IPO opportunities for small and medium sized companies could lead to companies staying longer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fundings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t>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valuer’s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 valuer’s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proves to be inaccurate/incomplete.</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t>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same may continue in future. A significant change in government policies could harm business and economic conditions in India, ultimately affecting the performance of the Portfolio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t>A natural disaster may also impact the operations of the Portfolio Entities. The nature and level of natural disasters cannot be predicted and may be exacerbated by global climate change. A portion of the Portfolio Entities 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br/>
      </w:r>
    </w:p>
    <w:p w14:paraId="46ACC0CA" w14:textId="04C08A59" w:rsidR="00F44DE1" w:rsidRPr="00DB41E3" w:rsidRDefault="00F44DE1" w:rsidP="00E15516">
      <w:pPr>
        <w:pStyle w:val="Heading1"/>
        <w:rPr>
          <w:rFonts w:eastAsiaTheme="minorEastAsia"/>
          <w:w w:val="0"/>
        </w:rPr>
      </w:pPr>
      <w:r>
        <w:t>SECTION XI: LEGAL, REGULATORY AND TAX CONSIDERATIONS</w:t>
      </w:r>
    </w:p>
    <w:p w14:paraId="6C6CDA93" w14:textId="77777777" w:rsidR="00F44DE1" w:rsidRPr="00DB41E3" w:rsidRDefault="00F44DE1" w:rsidP="00F44DE1">
      <w:pPr>
        <w:pStyle w:val="MdRText1"/>
        <w:spacing w:after="0" w:line="276" w:lineRule="auto"/>
        <w:ind w:left="0"/>
        <w:rPr>
          <w:color w:val="000000"/>
          <w:sz w:val="22"/>
          <w:szCs w:val="22"/>
        </w:rPr>
      </w:pPr>
      <w:r/>
    </w:p>
    <w:p w14:paraId="270A2766" w14:textId="77777777" w:rsidR="00F44DE1" w:rsidRPr="00DB41E3" w:rsidRDefault="00F44DE1" w:rsidP="00F44DE1">
      <w:pPr>
        <w:pStyle w:val="MdRText1"/>
        <w:spacing w:after="0" w:line="276" w:lineRule="auto"/>
        <w:ind w:left="0"/>
        <w:rPr>
          <w:color w:val="000000"/>
          <w:sz w:val="22"/>
          <w:szCs w:val="22"/>
        </w:rPr>
      </w:pPr>
      <w: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r/>
    </w:p>
    <w:p w14:paraId="5E31B324" w14:textId="77777777" w:rsidR="00F44DE1" w:rsidRPr="00DB41E3" w:rsidRDefault="00F44DE1" w:rsidP="00F44DE1">
      <w:pPr>
        <w:pStyle w:val="MdRText1"/>
        <w:spacing w:after="0" w:line="276" w:lineRule="auto"/>
        <w:ind w:left="0"/>
        <w:rPr>
          <w:sz w:val="22"/>
          <w:szCs w:val="22"/>
        </w:rPr>
      </w:pPr>
      <w: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 FUND AND THE INVESTMENT MANAGER HAVE 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r/>
    </w:p>
    <w:p w14:paraId="5B0E4493" w14:textId="698837CB" w:rsidR="00F44DE1" w:rsidRPr="00DB41E3" w:rsidRDefault="00F44DE1" w:rsidP="00F44DE1">
      <w:pPr>
        <w:pStyle w:val="Bod"/>
        <w:spacing w:after="0" w:line="276" w:lineRule="auto"/>
        <w:ind w:firstLine="0"/>
        <w:rPr>
          <w:sz w:val="22"/>
          <w:szCs w:val="22"/>
        </w:rPr>
      </w:pPr>
      <w:r>
        <w:t>PLEASE NOTE THAT THE SUMMARY OF THE LEGAL, REGULATORY AND TAX CONSIDERATIONS IN THIS SECTION IS BASED ON THE CURRENT PROVISIONS OF THE LAWS OF INDIA, AND THE JUDICIAL AND ADMINISTRATIVE INTERPRETATIONS THEREOF AS AT MAY 31, 2022,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t>The Fund is a Scheme of the Trust that is set up as an irrevocable, contributory determinate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Unit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Brief overview of SEBI (Alternative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t>The Regulations is a consolidated framework for registration and regulation of all kinds of AIFs that raise private pools of capital from high net worth individuals, banks, insurance companies, body corporates, estates, family offices, non-banking finance companies, societies, Hindu undivided families, corporations, partnerships (whether limited or unlimited), limited liability companies, body of individuals, associations, trusts, proprietorships, AIFs, foreign portfolio investors, institutional investors or any other institutions, entities or organizations.</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t>The Regulations define an AIF to mean any fund established or incorporated in India in the form of a trust or a company or a limited liability partnership or a body corporate which, (i)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 including securitization trusts, regulated under a specific regulatory framework; funds managed by securitisation company or reconstruction company which is registered with the RBI under Section 3 of the Securitisation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provide that no entity or person shall act as an AIF unless it is registered with SEBI. The Regulations have categorised AIFs into three categories viz., Category I AIFs, Category II AIFs, and Category III AIFs. 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AIFs shall not have more than one thousand investors in a scheme Further,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t>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specific incentives or concessions are given by the government or any other regulator shall be included in Category II AIF. Regulations define a ‘private equity fund’ as an AIF that invests primarily in equity or equity linked instruments or partnership interests of ‘investee company’ (defined below) according to the stated objectives of the AIF. Regulations define ‘debt funds’ as an AIF that invests primarily in debt securities of listed or unlisted investee companies or in securitized debt instruments 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The investment manager or sponsor cannot co-invest in an investee company on terms more favourable than those offered to the AIFs. 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shall not invest in Associates or units of an AIF managed or sponsored by its manager, sponsor or associates of its manager or sponsor 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the un-invested portion of the investable funds and divestment proceeds pending distribution to investors in liquid mutual funds or bank deposits or other liquid assets of higher quality such as treasury bills, triparty repo dealing and settlement, commercial papers, certificates of deposits, etc. till deployment of funds as per the investment objective or distribution of the funds to investors as per the terms of the Fund Documents, as may be applicable;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investment conditions applicable specifically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Category II AIF shall invest in investee companies or in the units of Category I or other Category II AIF as may be disclosed in the Memorandum. Further, a Category II AIF shall invest primarily in unlisted companies directly or through investments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AIF authorised under the Fund Documents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not invest more than 25% (twenty-five percent) of its investable funds in one investee company, directly or through investment in the units of other AIFs;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be exempt from regulation 3(1), 3(2) and 4(1) of Securities and Exchange Board of India (Prohibition of Insider Trading) Regulations, 2015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t xml:space="preserve">Category II AIF shall disclose any trading in securities pursuant to such due-diligence, within 2 (two) working days of such trading,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r>
        <w:t>such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r/>
    </w:p>
    <w:p w14:paraId="5470C3B4" w14:textId="4C345646" w:rsidR="00F44DE1" w:rsidRPr="00DB41E3" w:rsidRDefault="00F44DE1" w:rsidP="00F44DE1">
      <w:pPr>
        <w:spacing w:line="276" w:lineRule="auto"/>
        <w:jc w:val="both"/>
        <w:rPr>
          <w:rFonts w:ascii="Times New Roman" w:hAnsi="Times New Roman" w:cs="Times New Roman"/>
          <w:lang w:val="en-IN"/>
        </w:rPr>
      </w:pPr>
      <w:r>
        <w:t>As stated in the AIF Regulations,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 xml:space="preserve">A Category II AIF shall be close ended and is required to have a minimum tenure of 3 (three) years. The tenure of the Fund shall be as specified in the Memorandum and shall commence from the Final Closing as mandated by SEBI vide circular no. CIR/IMD/DF/7/2015 dated October 01, 2015. The tenure of a Category II AIF may be extended up to 2 (two) years subject to approval of two-third of the unit holders by value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if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 xml:space="preserve">Category II AIFs shall ensure transparency and shall make the following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t>any fees ascribed to the manager 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t>any 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t>any breach of a provision of the placement memorandum or agreement made with the investor or any other fund 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change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r/>
    </w:p>
    <w:p w14:paraId="465AA85A" w14:textId="77777777" w:rsidR="00F44DE1" w:rsidRPr="00DB41E3" w:rsidRDefault="00F44DE1" w:rsidP="00EF4E54">
      <w:pPr>
        <w:pStyle w:val="ListParagraph"/>
        <w:spacing w:line="276" w:lineRule="auto"/>
        <w:ind w:left="810"/>
        <w:contextualSpacing w:val="0"/>
        <w:jc w:val="both"/>
        <w:rPr>
          <w:szCs w:val="22"/>
          <w:lang w:val="en-IN"/>
        </w:rPr>
      </w:pPr>
      <w:r>
        <w:t>Category II AIFs shall provide 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financial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material risks and how they are managed which may include:</w:t>
      </w:r>
    </w:p>
    <w:p w14:paraId="398CCE7D" w14:textId="77777777" w:rsidR="00F44DE1" w:rsidRPr="00DB41E3" w:rsidRDefault="00F44DE1" w:rsidP="00F44DE1">
      <w:pPr>
        <w:pStyle w:val="ListParagraph"/>
        <w:spacing w:line="276" w:lineRule="auto"/>
        <w:rPr>
          <w:szCs w:val="22"/>
        </w:rPr>
      </w:pPr>
      <w: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strategy risk (i.e. change in or divergence from investment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extra-financial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t>The manager shall comply with requirement of compliance test report as specified in SEBI Circular no.CIR/IMD/DF/14/2014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AIF may change its category subsequent to receipt of the registration from SEBI, with prior approval of SEBI. Vide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Rs.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t>Valuation</w:t>
      </w:r>
    </w:p>
    <w:p w14:paraId="3B856F3F" w14:textId="77777777" w:rsidR="00EF4E54" w:rsidRPr="00DB41E3" w:rsidRDefault="00EF4E54" w:rsidP="00EF4E54">
      <w:pPr>
        <w:pStyle w:val="ListParagraph"/>
        <w:spacing w:line="276" w:lineRule="auto"/>
        <w:ind w:left="360"/>
        <w:contextualSpacing w:val="0"/>
        <w:jc w:val="both"/>
        <w:rPr>
          <w:b/>
          <w:szCs w:val="22"/>
        </w:rPr>
      </w:pPr>
      <w: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An AIF shall provide to its investors, a description of its valuation procedure and of the methodology for valuing assets. A Category II AIF shall undertake valuation of its investment, at least once in every six months by an independent valuer appointed by the AIF. However, such period of six months can be enhanced to one year with prior approval of at least 75% (seventy-five percent) of the investors by value 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sponsor/investment manager (not including an internal restructuring within the group)</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t>Change in fee structure or hurdle rate 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Prior to buying out of such units, valuation of the units shall be undertaken by 2 (two) independent valuers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t xml:space="preserve">Under Regulation 15(1)(a) of the Regulations, an alternative investment fund may invest in securities of companies incorporated outside India subject to such conditions or guidelines that may be stipulated or issued by the RBI and SEBI from time to time.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In this regard, RBI vide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t>SEBI vide Circular CIR/IMD/DF/7/2015 dated October 1, 2015, Circular SEBI/HO/IMD/DF1/CIR/P/2018/103/2018 dated July 3, 2018 and Circular SEBI/HO/IMD/DF6/CIR/P/2021/565 dated May 21, 2021 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may invest in equity and equity linked instruments only of off-shore venture capital undertakings, subject to overall limit of USD 1500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Investments would be made only in those companies, which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Such investments shall not exceed 25% (twenty-five percent) of the investable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The allocation of investment limits would be done on ‘first come – first serve’ basis, depending on the availability in the overall limit of USD 1500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 case an AIF that is allocated certain investment limit,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(“Validity Period”),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AIFs shall adhere to FEMA Rules 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t xml:space="preserve">AIFs shall comply with all requirements under RBI guidelines on opening of branches/subsidiaries/joint venture/undertaking investment abroad by NBFCs, where more than 50% of the funds of the AIF has been contributed by a single NBFC.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Finance Act, 2019, had introduced amendments in the Indian Stamp Act, 1899 (“the Act”) to, inter alia, bring uniformity in the levy of stamp duty on ‘securities’, whether in physical or dematerialised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Ministry of Finance (“MoF”) pursuant to notification no. S.O. 4419(E) dated December 10, 2019 had initially appointed January 9, 2020 as the date on which the amendments to the Act shall come into force. Vide notification no. S.O. 115(E) dated January 8, 2020, the MoF appointed April 1, 2020 as the day amendments to the Act shall come into force. Further, vide notification no. S.O. 1226(E) dated March 30, 2020, the MoF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Vide notification G.S.R. 901(E) dated December 10, 2019, the MoF had notified the Indian Stamp (Collection of Stamp Duty through Stock Exchanges, Clearing Corporations and Depositories) Rules, 2019 (“the Rules”) to inter alia regulate the centralised mechanism for the collection of stamp duty across India. The Rules were initially to come into force from January 9, 2020. Pursuant to notification no. G.S.R. 19(E) dated the January 8, 2020, the MoF appointed April 1, 2020 as the day the Rules shall come into force. Further, vide notification no. G.S.R. 226(E) dated March 30, 2020, the MoF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SEBI has, vide circular SEBI/HO/IMD/DF6/CIR/P/2020/113 dated June 30, 2020, directed all AIFs to comply with the provisions of the Act and the Rules and inter alia has directed all AIFs to appoint registrars to an issue and/or share transfer agents (“RTA”) registered with SEBI. The RTA shall be deemed as a ‘depository’ for the limited purposes of acting as a ‘collecting agent’ under the Act and the rules made thereunder, in cases of instruments of transaction otherwise than through a recognised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Further, on July 1, 2020, SEBI has issued “Frequently Asked Questions (FAQs) on Indian Stamp Act, 1899 Amendments and Rules made thereunder”.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demat mode through a recognised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6F4F7E92" w14:textId="3E7E730E" w:rsidR="0075201B" w:rsidRPr="00DB41E3" w:rsidRDefault="00952AAC" w:rsidP="00AE0D18">
      <w:pPr>
        <w:pStyle w:val="ListParagraph"/>
        <w:spacing w:line="276" w:lineRule="auto"/>
        <w:ind w:left="0"/>
        <w:contextualSpacing w:val="0"/>
        <w:jc w:val="both"/>
        <w:rPr>
          <w:color w:val="222222"/>
          <w:szCs w:val="22"/>
        </w:rPr>
      </w:pPr>
      <w:r>
        <w:t>In the case of transfer of Units, the onus to pay stamp duty is upon the transferor of Units. As per answer to question 20 in the FAQs, when the transferee approaches RTA for effecting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t>Co-investment</w:t>
      </w:r>
    </w:p>
    <w:p w14:paraId="6B8CDAFF" w14:textId="77777777" w:rsidR="0075201B" w:rsidRPr="00DB41E3" w:rsidRDefault="0075201B" w:rsidP="0075201B">
      <w:pPr>
        <w:pStyle w:val="ListParagraph"/>
        <w:spacing w:line="276" w:lineRule="auto"/>
        <w:jc w:val="both"/>
        <w:rPr>
          <w:b/>
          <w:i/>
          <w:szCs w:val="22"/>
          <w:u w:val="single"/>
          <w:lang w:val="en-IN"/>
        </w:rPr>
      </w:pPr>
      <w: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t xml:space="preserve">Vide the fifth amendment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t>Regulation 2(1)(fa) of the Regulation defines ‘Co-investment’ to mean an investment made by a Manager or Sponsor or investor of Category I &amp; II AIF in an investee company where such Category I &amp; II AIF make investment. Provided that co-investment by investors of AIF shall be through a Co-investment Portfolio Manager as specified under SEBI (PMS) Regulations, 2020.</w:t>
      </w:r>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r>
        <w:t xml:space="preserve">early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t>No need for additional employees other than Principal Officer/Compliance Officer (Principal officer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t>SEBI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r/>
    </w:p>
    <w:p w14:paraId="7D800FB4" w14:textId="77777777" w:rsidR="00F44DE1" w:rsidRPr="00DB41E3" w:rsidRDefault="00F44DE1" w:rsidP="00F44DE1">
      <w:pPr>
        <w:pStyle w:val="zurichbt"/>
        <w:spacing w:after="0" w:line="276" w:lineRule="auto"/>
        <w:rPr>
          <w:rFonts w:ascii="Times New Roman" w:hAnsi="Times New Roman"/>
          <w:szCs w:val="22"/>
          <w:lang w:val="en-IN"/>
        </w:rPr>
      </w:pPr>
      <w:r>
        <w:t>This Section summarises some of the provisions of the SEBI (Issue of Capital and Disclosure Requirements) Regulations, 2018 (“ICDR Regulations”), which will apply in the event that the Fund makes an investment before the initial public offering (“IPO”) of a Portfolio Entity or subscribes to the securities of the company by way of a preferential allotment or a Qualified Institutions Placement (“QIP”), subject to Applicable Laws. The Trust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inter alia,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Pre-issue net tangible assets of at least Rs. 3,00,00,000 (Indian 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 net worth of at least Rs. 1,00,00,000 (Indian 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If an issuer has issued SR equity shares (equity shares of an issuer having superior voting rights compared to all other equity shares issued by that issuer) to its promoters/ founders, the said issuer shall be allowed to do an initial public offer of only ordinary shares for listing on the main board subject to 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be intensive in the use of technology, information technology, intellectual property, data analytics, bio-technology or nano-technology to provide products, services or business platforms with 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t xml:space="preserve">the SR shareholder shall not be part of the promoter group whose collective net worth is more than Rs. 500 crores. </w:t>
      </w:r>
    </w:p>
    <w:p w14:paraId="0BC770F8" w14:textId="77777777" w:rsidR="0050383B" w:rsidRPr="00DB41E3" w:rsidRDefault="0050383B" w:rsidP="00AE0D18">
      <w:pPr>
        <w:pStyle w:val="ListParagraph"/>
        <w:rPr>
          <w:i/>
          <w:szCs w:val="22"/>
          <w:lang w:val="en-IN"/>
        </w:rPr>
      </w:pPr>
      <w: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t>Explanation: While determining the collective net worth, 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 of SR equity shares had been authorized by a special resolution passed at a general meeting of the shareholders of the issuer, where the notice calling for such general meeting specifically provided for –</w:t>
      </w:r>
    </w:p>
    <w:p w14:paraId="2C0555D3" w14:textId="77777777" w:rsidR="0050383B" w:rsidRPr="00DB41E3" w:rsidRDefault="0050383B" w:rsidP="00AE0D18">
      <w:pPr>
        <w:pStyle w:val="ListParagraph"/>
        <w:rPr>
          <w:szCs w:val="22"/>
          <w:lang w:val="en-IN"/>
        </w:rPr>
      </w:pPr>
      <w: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t>ratio of voting rights of SR equity shares vis-à-vis the ordinary 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t>sunset provisions, which provide for a time frame for the validity of such 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voting rights in the ratio 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be equivalent to 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Pricing: An issuer company may determine the price of its equity shares or any securities convertible at a later date into equity shares in consultation with the lead manager(s)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Promoters Contribution and Lock-in Restrictions: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that a minimum of 20% (twenty percent) of the post issue capital of the issuer company is required to be held by the promoters. In case the post issue shareholding of the promoters 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t xml:space="preserve">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SR equity shares (equity shares of an issuer having superior voting rights compared to all other equity shares issued by that issuer) 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t xml:space="preserve">The entire pre-issue share capital of any persons other than the promoter shall be locked-in for a period of 6 (six) months from the date of allotment in the proposed public issue.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t>This lock-in period of 6 (six) months 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t>Provided that such equity shares shall be locked in for a period of at least 6 (six) months 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Further, the requirement of holding equity shares for a period of 1 (one)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 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t xml:space="preserve">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Participation in private placement of securities: The Fund may invest in Portfolio Entities 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t xml:space="preserve">The Companies Act, 2013 requires the prior approval of the existing shareholders through a special resolution, which means a majority of three-fourth of the votes, by members who, being entitled so to do, vote in person, or where proxies are allowed, by proxy,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t>Preferential Issue –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The ICDR Regulations prescribe the following conditions for issuance of securities by a listed company, whose equity share capital is listed on any recognized stock exchange: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held by the proposed allottees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has obtained the permanent account numbers of the proposed allottees, except those allottees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t>Provided on completing 26 (twenty six) weeks of being listed on a stock exchange, the company may recompute the price in manner set out in paragraph (a)(1) above, and if the price of equity shares allotted computed as set out in this paragraph (2)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A preferential issue of specified securities on to qualified institutional buyers not exceeding 5 (five) in number shall be made at a price not less than the average of the weekly high and low of the volume weighted average 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t>Provided that in case of a preferential issue of specified securities pursuant to any resolution of stressed assets under a framework specified by the RBI or a resolution plan approved by the National Company Law Tribunal (“NCLT”)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 xml:space="preserve">If warrants are issued on a preferential basis with an option to apply for and be allotted shares, the issuer company shall determine the price of the resultant shares as aforementioned,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If Partly Convertible Debentures (“PCDs”), Fully Convertible Debentures (“FCDs”)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instruments allotted on a preferential basis to the promoter or the promoter group and the shares allotted pursuant to exercise of options attached to such warrants, shall 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t>Qualified Institutions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t>Qualified Institutions Placement (“QIP”) means allotment of eligible securities by a listed issuer to Qualified Institutional Buyers (“QIBs”) on private placement basis and includes an offer for sale of specified securities by the promoters and/or promoter group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 xml:space="preserve">A special resolution approving the QIP has to be passed by the shareholders of the company. The allotment shall be completed within 365 days from the date of passing the resolution.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t>The Company has to comply with rule 19 (7) of the Securities Contract (Regulation) Rules, 1957,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t>The issuer shall not make any subsequent qualified institutions placement until the expiry of 2 (two) weeks 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t xml:space="preserve">“Relevant Date” means – </w:t>
      </w:r>
    </w:p>
    <w:p w14:paraId="3F576677" w14:textId="77777777" w:rsidR="0050383B" w:rsidRPr="00DB41E3" w:rsidRDefault="0050383B" w:rsidP="00AE0D18">
      <w:pPr>
        <w:pStyle w:val="ListParagraph"/>
        <w:rPr>
          <w:color w:val="000000"/>
          <w:szCs w:val="22"/>
          <w:lang w:val="en-IN"/>
        </w:rPr>
      </w:pPr>
      <w: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The issue price of the shares shall not be less than the average of the weekly high and low of the closing prices of the equity shares of the same class quoted on the stock exchange during the 2 (two)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Restrictions: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Minimum 10% (ten percent)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The applicants cannot withdraw or revise downwards 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Persons deemed to be related to the promoter: No allotment shall be made, either directly or indirectly to any QIB who shall be deemed to be a promoter or a person related to the promoter of the issuer. 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right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Minimum number of allottees: The minimum number of allottees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two, where the issue size is less than or equal to Rs. 250 crores;</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 xml:space="preserve">five, where is the issue size is greater than Rs. 250 crores.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t>On September 23, 2011, SEBI announced its new takeover code, the Securities and Exchange Board of India (Substantial Acquisition of Shares and Takeovers) Regulations, 2011 (“Takeover Code”), which came into effect on October 22, 2011 and replaced the Securities and Exchange Board of India (Substantial Acquisition of Shares and Takeovers) Regulations, 1997. Once the Portfolio Entities in which the Fund has invested are listed or if the Fund invests in securities of a listed company, the Takeover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t>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(i)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more than 2% (two percent) of the shares or voting rights of the company within two days of (i)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t>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an open 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target company for the purposes of the Takeover Code and the obligations relating to timing, pricing and other compliance requirements for the open offer relating to direct acquisition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t>If the promoters of a Portfolio Entity buy back the shares of the Portfolio Entity from the Fund, they may be required to comply with the open offer provisions depending on their percentage shareholding in the company. However, under the Takeover Code, a special exemption has been granted to the promoters from making an open offer if they purchase shares from a 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t>SEBI (Prohibition of Insider Trading) Regulations, 2015, (“Insider Trading Regulations”)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In the case of “connected persons” the onus of establishing, that they were not in possession of unpublished price sensitive information, shall be on such connected persons and in other cases, the onus would be on SEBI. However proof of innocence can be established by an insider if (a) the transaction is an off-market inter-se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respect of which the exercise price was pre-determined in compliance with applicable regulations; (e) in the case of non-individual insiders; (i)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make it compulsory for listed companies and the board of directors or head(s) of the organisation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requires a person, on his appointment as key managerial personnel or a director or upon becoming a promoter or member of the promoter group of every company whose securities are listed on any recognised stock exchange, to disclose his holding of securities of the company as on the date of his appointment or becoming a promoter, to the company within seven days of such appointment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t>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t>The terms “promoter” and “promoter group” shall have the same meaning as assigned to them under the Securities and Exchange Board of India (Issue of Capital and Disclosure Requirements) Regulations, 2018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t>Any company whose securities are listed on a stock exchange may, at its discretion require any other connected person or class of connected persons to make disclosures of holdings and trading in securities 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r/>
    </w:p>
    <w:p w14:paraId="169540AB" w14:textId="77777777" w:rsidR="00F44DE1" w:rsidRPr="00DB41E3" w:rsidRDefault="00F44DE1" w:rsidP="00F44DE1">
      <w:pPr>
        <w:pStyle w:val="BodyText2"/>
        <w:spacing w:after="0" w:line="276" w:lineRule="auto"/>
        <w:jc w:val="both"/>
        <w:rPr>
          <w:rFonts w:eastAsia="MS ??"/>
          <w:iCs/>
          <w:sz w:val="22"/>
          <w:szCs w:val="22"/>
        </w:rPr>
      </w:pPr>
      <w:r>
        <w:t>Prevention of Money Laundering Act, 2002 (“PML Act”) came into effect from July 1, 2005. Further, SEBI vide its master circular no. SEBI/ HO/ MIRSD/ DOP/ CIR/ P/ 2019/113 dated October 15, 2019 has mandated that all intermediaries should formulate and implement a proper policy framework as per the guidelines on anti-money laundering measures, policy for acceptance of clients and also to adopt a Know Your Customer (“KYC”) policy. The intermediaries may, according to their requirements specify additional disclosures to be made by clients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PML Act, Prevention of Money-laundering (Maintenance of Records of the Nature and Value of Transactions, the Procedure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r/>
    </w:p>
    <w:p w14:paraId="577FFBD5" w14:textId="62F6B3E9" w:rsidR="00F44DE1" w:rsidRPr="00DB41E3" w:rsidRDefault="00F44DE1" w:rsidP="00F44DE1">
      <w:pPr>
        <w:pStyle w:val="BodyText2"/>
        <w:spacing w:after="0" w:line="276" w:lineRule="auto"/>
        <w:jc w:val="both"/>
        <w:rPr>
          <w:rFonts w:eastAsia="MS ??"/>
          <w:iCs/>
          <w:sz w:val="22"/>
          <w:szCs w:val="22"/>
        </w:rPr>
      </w:pPr>
      <w:r>
        <w:t>Further, SEBI had extended the ‘Uniform Know Your Client (KYC) Requirements for the Securities Markets’ vide SEBI Circular MIRSD/SE/Cir-21/2011 dated October 5, 2011 to Venture Capital Funds (VCFs)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r/>
    </w:p>
    <w:p w14:paraId="18BD27D7" w14:textId="77777777" w:rsidR="00F44DE1" w:rsidRPr="00DB41E3" w:rsidRDefault="00F44DE1" w:rsidP="00F44DE1">
      <w:pPr>
        <w:pStyle w:val="BodyText2"/>
        <w:spacing w:after="0" w:line="276" w:lineRule="auto"/>
        <w:jc w:val="both"/>
        <w:rPr>
          <w:rFonts w:eastAsia="MS ??"/>
          <w:iCs/>
          <w:sz w:val="22"/>
          <w:szCs w:val="22"/>
        </w:rPr>
      </w:pPr>
      <w: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t xml:space="preserve">SEBI vide its circular dated December 24, 2019 has notified the ‘Stewardship Code’, applicable to ‘institutional investors’, i.e., all mutual funds, asset management companies, trustee companies, boards of trustees of mutual funds and all AIFs in relation to their 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t xml:space="preserve">The Stewardship Code has identified certain principles that the institutional investors need to follow with effect from July 01, 2020. The principles and summary of guidance on the same are given below: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t>Principle 1: Institutional Investors should formulate a comprehensive policy on the discharge of their stewardship responsibilities, publicly disclose it, review and update it periodically: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fulfill the aforesaid stewardship responsibilities and disclose it publicly. The policy should be reviewed and updated periodically and the updated policy should be publicly disclosed on the entity's website.</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r/>
    </w:p>
    <w:p w14:paraId="29F56862" w14:textId="4EC6CEB9" w:rsidR="00F44DE1" w:rsidRPr="00DB41E3" w:rsidRDefault="00F44DE1" w:rsidP="009C1601">
      <w:pPr>
        <w:pStyle w:val="ListParagraph"/>
        <w:numPr>
          <w:ilvl w:val="0"/>
          <w:numId w:val="78"/>
        </w:numPr>
        <w:ind w:left="567" w:hanging="567"/>
        <w:jc w:val="both"/>
        <w:rPr>
          <w:szCs w:val="22"/>
        </w:rPr>
      </w:pPr>
      <w:r>
        <w:t>Principle 2: Institutional investors should have a clear policy on how they manage conflicts of interest in fulfilling their stewardship responsibilities and publicly disclose it: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r/>
    </w:p>
    <w:p w14:paraId="47B737D6" w14:textId="2820167D" w:rsidR="008F5637" w:rsidRPr="00DB41E3" w:rsidRDefault="00F44DE1" w:rsidP="009C1601">
      <w:pPr>
        <w:pStyle w:val="ListParagraph"/>
        <w:numPr>
          <w:ilvl w:val="0"/>
          <w:numId w:val="78"/>
        </w:numPr>
        <w:ind w:left="567" w:hanging="567"/>
        <w:jc w:val="both"/>
        <w:rPr>
          <w:szCs w:val="22"/>
        </w:rPr>
      </w:pPr>
      <w:r>
        <w:t>Principle 3: Institutional investors should monitor their investee companies: Institutional investors should have a policy on continuous monitoring of their investee companies in respect of all aspects they consider important which shall include performance of the companies, corporate 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r/>
    </w:p>
    <w:p w14:paraId="249945C8" w14:textId="3C17E9BB" w:rsidR="008F5637" w:rsidRPr="00DB41E3" w:rsidRDefault="00F44DE1" w:rsidP="009C1601">
      <w:pPr>
        <w:pStyle w:val="ListParagraph"/>
        <w:numPr>
          <w:ilvl w:val="0"/>
          <w:numId w:val="78"/>
        </w:numPr>
        <w:ind w:left="567" w:hanging="567"/>
        <w:jc w:val="both"/>
        <w:rPr>
          <w:szCs w:val="22"/>
        </w:rPr>
      </w:pPr>
      <w:r>
        <w:t>Principle 4: 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r/>
    </w:p>
    <w:p w14:paraId="029F527D" w14:textId="36F3F116" w:rsidR="008F5637" w:rsidRPr="00DB41E3" w:rsidRDefault="00F44DE1" w:rsidP="009C1601">
      <w:pPr>
        <w:pStyle w:val="ListParagraph"/>
        <w:numPr>
          <w:ilvl w:val="0"/>
          <w:numId w:val="78"/>
        </w:numPr>
        <w:ind w:left="567" w:hanging="567"/>
        <w:jc w:val="both"/>
        <w:rPr>
          <w:szCs w:val="22"/>
        </w:rPr>
      </w:pPr>
      <w:r>
        <w:t>Principle 5: Institutional investors should have a clear policy on voting and disclosure of voting activity: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disclosed.</w:t>
      </w:r>
    </w:p>
    <w:p w14:paraId="00124926" w14:textId="77777777" w:rsidR="008F5637" w:rsidRPr="00DB41E3" w:rsidRDefault="008F5637" w:rsidP="009F4369">
      <w:pPr>
        <w:pStyle w:val="ListParagraph"/>
        <w:ind w:left="567" w:hanging="567"/>
        <w:jc w:val="both"/>
        <w:rPr>
          <w:szCs w:val="22"/>
        </w:rPr>
      </w:pPr>
      <w:r/>
    </w:p>
    <w:p w14:paraId="0A1E8187" w14:textId="4774A20C" w:rsidR="00F44DE1" w:rsidRPr="00DB41E3" w:rsidRDefault="00F44DE1" w:rsidP="009C1601">
      <w:pPr>
        <w:pStyle w:val="ListParagraph"/>
        <w:numPr>
          <w:ilvl w:val="0"/>
          <w:numId w:val="78"/>
        </w:numPr>
        <w:ind w:left="567" w:hanging="567"/>
        <w:jc w:val="both"/>
        <w:rPr>
          <w:szCs w:val="22"/>
        </w:rPr>
      </w:pPr>
      <w:r>
        <w:t>Principle 6: Institutional investors should report periodically on their stewardship activities: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t>The Companies Act, 2013 (“Companies Act”)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a voting rights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t>The Foreign Exchange Management (Non-Debt Instruments) Rules, 2019 (“FEMA Rules”)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India (Real Estate Investment Trusts) Regulations, 2014, Infrastructure Investment Trusts governed by the Securities and Exchange Board of India (Infrastructure Investment Trusts) Regulations, 2014, AIFs governed by the Regulations.</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t>Rule 2 (aq) of the FEMA Rules defines a ‘unit’ to mean beneficial interest of an investor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The terms and conditions laid down in Schedule VIII of the FEMA Rules governing investment in Investment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67A0FCE0" w14:textId="55A8B98F" w:rsidR="0050383B" w:rsidRPr="00DB41E3" w:rsidRDefault="0050383B" w:rsidP="00AE0D18">
      <w:pPr>
        <w:pStyle w:val="ListParagraph"/>
        <w:rPr>
          <w:rFonts w:eastAsia="MS ??"/>
          <w:color w:val="000000"/>
          <w:szCs w:val="22"/>
          <w:lang w:val="en-IN"/>
        </w:rPr>
      </w:pPr>
      <w: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Investment vehicle may issue its units to a person resident outside India against swap of capital instruments of a special purpose vehicle proposed to be acquired by such Investment Vehicle.</w:t>
      </w:r>
    </w:p>
    <w:p w14:paraId="26121783" w14:textId="1932BBD3" w:rsidR="0050383B" w:rsidRPr="00DB41E3" w:rsidRDefault="0050383B" w:rsidP="00AE0D18">
      <w:pPr>
        <w:pStyle w:val="ListParagraph"/>
        <w:rPr>
          <w:rFonts w:eastAsia="MS ??"/>
          <w:color w:val="000000"/>
          <w:szCs w:val="22"/>
          <w:lang w:val="en-IN"/>
        </w:rPr>
      </w:pPr>
      <w: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Investment made by an investment vehicle into an Indian entity shall be reckoned as indirect foreign investment for the investee Indian entity if the sponsor or the manager or the investment manager (i) is not owned and not controlled by resident Indian citizens or (ii) is owned or controlled by persons resident outside India.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Provided that for Sponsor or managers or investment managers organized in a form other than companies or LLPs, SEBI shall determine whether the sponsor or manager or investment manager is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Explanation: ‘Control’ of the AIF should be in the hands of ‘Sponsor’ and ‘managers/ investment managers’, with the general exclusion to others. In case the ‘Sponsor’ and ‘managers/ investment managers’ of the AIF are individuals, for the treatment of downstream investment by such AIF as domestic, ‘Sponsor’ and ‘managers/ investment managers’ should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t>An Indian entity that has received indirect foreign investment shall comply with the entry route, sectoral caps, pricing guidelines and other attendant conditions as applicable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Downstream investment that is treated as indirect foreign investment for the investee entity shall be subject to the 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t>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raising of debt and its utilization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r>
        <w:t>an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t xml:space="preserve">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The Insolvency and Bankruptcy Code, 2016 (“Insolvency Code”)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Part II of the Insolvency Code applies to matters relating to insolvency and liquidation of corporate debtors where the minimum default Rs. 1,00,00,000 (Indian Rupees One Crore). The Insolvency Code defines a corporate debtor as a corporate person who owes a debt to any person.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t>The Insolvency Code proposes 2 (two) processes for insolvency resolution (a)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constitute a committee of creditors, amongst other things. The interim resolution professional shall convene a meeting of the committee of creditors after collating all claims received against the corporate debtor. The committee of creditors shall appoint the resolution professional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t>The Competition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t xml:space="preserve">The Competition Act, 2002 (“Competition Act”) provides for the establishment of a ‘Commission’ to prevent practices having adverse effect on competition, to promote and sustain competition in markets, to protect the interests of consumers and to ensure freedom of trade carried on by other participants in markets, in India. As per the provisions of the Competition Act, 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r>
        <w:t xml:space="preserve">directly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r/>
    </w:p>
    <w:p w14:paraId="05DB3562" w14:textId="6E571F50" w:rsidR="00F44DE1" w:rsidRPr="00DB41E3" w:rsidRDefault="00F44DE1" w:rsidP="00191468">
      <w:pPr>
        <w:pStyle w:val="ListParagraph"/>
        <w:spacing w:line="276" w:lineRule="auto"/>
        <w:ind w:left="0"/>
        <w:contextualSpacing w:val="0"/>
        <w:jc w:val="both"/>
        <w:rPr>
          <w:szCs w:val="22"/>
        </w:rPr>
      </w:pPr>
      <w: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p>
    <w:p w14:paraId="1F594330" w14:textId="3E735D7B" w:rsidR="004870E2" w:rsidRPr="00DB41E3" w:rsidRDefault="004870E2" w:rsidP="00191468">
      <w:pPr>
        <w:pStyle w:val="ListParagraph"/>
        <w:spacing w:line="276" w:lineRule="auto"/>
        <w:ind w:left="0"/>
        <w:contextualSpacing w:val="0"/>
        <w:jc w:val="both"/>
        <w:rPr>
          <w:szCs w:val="22"/>
        </w:rPr>
      </w:pPr>
      <w:r/>
    </w:p>
    <w:p w14:paraId="6AD617BD" w14:textId="3259A89E" w:rsidR="004870E2" w:rsidRPr="00DB41E3" w:rsidRDefault="004870E2" w:rsidP="00191468">
      <w:pPr>
        <w:pStyle w:val="ListParagraph"/>
        <w:spacing w:line="276" w:lineRule="auto"/>
        <w:ind w:left="0"/>
        <w:contextualSpacing w:val="0"/>
        <w:jc w:val="both"/>
        <w:rPr>
          <w:szCs w:val="22"/>
        </w:rPr>
      </w:pPr>
      <w:r/>
    </w:p>
    <w:p w14:paraId="34A69216" w14:textId="77777777" w:rsidR="004870E2" w:rsidRPr="00DB41E3" w:rsidRDefault="004870E2" w:rsidP="00191468">
      <w:pPr>
        <w:pStyle w:val="ListParagraph"/>
        <w:spacing w:line="276" w:lineRule="auto"/>
        <w:ind w:left="0"/>
        <w:contextualSpacing w:val="0"/>
        <w:jc w:val="both"/>
        <w:rPr>
          <w:szCs w:val="22"/>
        </w:rPr>
      </w:pPr>
      <w:r/>
    </w:p>
    <w:p w14:paraId="459B9877" w14:textId="77777777" w:rsidR="00191468" w:rsidRPr="00DB41E3" w:rsidRDefault="00191468" w:rsidP="00191468">
      <w:pPr>
        <w:pStyle w:val="ListParagraph"/>
        <w:spacing w:line="276" w:lineRule="auto"/>
        <w:ind w:left="567"/>
        <w:contextualSpacing w:val="0"/>
        <w:jc w:val="both"/>
        <w:rPr>
          <w:szCs w:val="22"/>
        </w:rPr>
      </w:pPr>
      <w: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t>Taxation of the Fund</w:t>
      </w:r>
    </w:p>
    <w:p w14:paraId="1AF5AD2B" w14:textId="77777777" w:rsidR="00094F1E" w:rsidRPr="00DB41E3" w:rsidRDefault="00094F1E" w:rsidP="00094F1E">
      <w:pPr>
        <w:spacing w:after="0" w:line="240" w:lineRule="auto"/>
        <w:rPr>
          <w:rFonts w:ascii="Times New Roman" w:hAnsi="Times New Roman" w:cs="Times New Roman"/>
          <w:b/>
          <w:bCs/>
        </w:rPr>
      </w:pPr>
      <w:r/>
    </w:p>
    <w:p w14:paraId="6F781BEA" w14:textId="070D0E99" w:rsidR="00713EA1" w:rsidRPr="00DB41E3" w:rsidRDefault="00713EA1" w:rsidP="009D51EB">
      <w:pPr>
        <w:spacing w:after="0" w:line="240" w:lineRule="auto"/>
        <w:jc w:val="both"/>
        <w:rPr>
          <w:rFonts w:ascii="Times New Roman" w:hAnsi="Times New Roman" w:cs="Times New Roman"/>
          <w:b/>
          <w:bCs/>
        </w:rPr>
      </w:pPr>
      <w: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r/>
    </w:p>
    <w:p w14:paraId="7475878D" w14:textId="3F59303F" w:rsidR="00713EA1" w:rsidRPr="00DB41E3" w:rsidRDefault="00713EA1" w:rsidP="009D51EB">
      <w:pPr>
        <w:spacing w:after="0" w:line="240" w:lineRule="auto"/>
        <w:jc w:val="both"/>
        <w:rPr>
          <w:rFonts w:ascii="Times New Roman" w:hAnsi="Times New Roman" w:cs="Times New Roman"/>
        </w:rPr>
      </w:pPr>
      <w: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r/>
    </w:p>
    <w:p w14:paraId="0AA60453" w14:textId="77777777" w:rsidR="00094F1E" w:rsidRPr="00DB41E3" w:rsidRDefault="00713EA1" w:rsidP="009D51EB">
      <w:pPr>
        <w:spacing w:after="0" w:line="240" w:lineRule="auto"/>
        <w:jc w:val="both"/>
        <w:rPr>
          <w:rFonts w:ascii="Times New Roman" w:hAnsi="Times New Roman" w:cs="Times New Roman"/>
        </w:rPr>
      </w:pPr>
      <w:r>
        <w:t>THE FOLLOWING SUMMARY IS BASED ON THE LAW AND PRACTICE OF THE INCOME-TAX ACT, 1961 (THE ‘IT Act’), THE INCOME-TAX RULES, 1962 (‘IT RULES’), AND VARIOUS 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 ARE INCLUSIVE OF SURCHARGE AND CESS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t>THIS INFORMATION DOES NOT PURPORT TO BE A COMPLETE ANALYSIS OF ALL RELEVANT TAX CONSIDERATIONS; NOR DOES IT PURPORT TO BE A COMPLETE DESCRIPTION OF ALL POTENTIAL TAX COSTS, INCIDENCE AND RISKS INHERENT IN PURCHASING OR HOLDING THE UNITS OF ELEV8-CAPITAL FUND I 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t xml:space="preserve">TAX RATES </w:t>
      </w:r>
    </w:p>
    <w:p w14:paraId="6B52C8DC" w14:textId="77777777" w:rsidR="001670BA" w:rsidRPr="00DB41E3" w:rsidRDefault="001670BA" w:rsidP="009D51EB">
      <w:pPr>
        <w:spacing w:after="120"/>
        <w:jc w:val="both"/>
        <w:rPr>
          <w:rFonts w:ascii="Times New Roman" w:hAnsi="Times New Roman" w:cs="Times New Roman"/>
        </w:rPr>
      </w:pPr>
      <w:r/>
    </w:p>
    <w:p w14:paraId="25DD978A" w14:textId="034E3BA5" w:rsidR="00713EA1" w:rsidRPr="00DB41E3" w:rsidRDefault="00713EA1" w:rsidP="009D51EB">
      <w:pPr>
        <w:spacing w:after="120"/>
        <w:jc w:val="both"/>
        <w:rPr>
          <w:rFonts w:ascii="Times New Roman" w:hAnsi="Times New Roman" w:cs="Times New Roman"/>
        </w:rPr>
      </w:pPr>
      <w:r>
        <w:t xml:space="preserve">The tax rates (excluding surcharge and cess) for different assessee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lastRenderedPageBreak/>
              <w:t>Assessee</w:t>
            </w:r>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totalturnover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r/>
    </w:p>
    <w:p w14:paraId="1B7E9A76" w14:textId="60C632FD" w:rsidR="00713EA1" w:rsidRPr="00DB41E3" w:rsidRDefault="00713EA1" w:rsidP="009D51EB">
      <w:pPr>
        <w:spacing w:after="0" w:line="240" w:lineRule="auto"/>
        <w:jc w:val="both"/>
        <w:rPr>
          <w:rFonts w:ascii="Times New Roman" w:hAnsi="Times New Roman" w:cs="Times New Roman"/>
        </w:rPr>
      </w:pPr>
      <w:r>
        <w:t>Note 1: Domestic company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r/>
    </w:p>
    <w:p w14:paraId="6D18D682" w14:textId="77777777" w:rsidR="00713EA1" w:rsidRPr="00DB41E3" w:rsidRDefault="00713EA1" w:rsidP="009D51EB">
      <w:pPr>
        <w:spacing w:after="0" w:line="240" w:lineRule="auto"/>
        <w:jc w:val="both"/>
        <w:rPr>
          <w:rFonts w:ascii="Times New Roman" w:hAnsi="Times New Roman" w:cs="Times New Roman"/>
        </w:rPr>
      </w:pPr>
      <w:r>
        <w:t>Note 2: Domestic manufacturing company under section 115BAB of the IT Act,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r/>
    </w:p>
    <w:p w14:paraId="6CEA232C" w14:textId="784CA852" w:rsidR="00713EA1" w:rsidRPr="00DB41E3" w:rsidRDefault="00713EA1" w:rsidP="009D51EB">
      <w:pPr>
        <w:spacing w:after="0" w:line="240" w:lineRule="auto"/>
        <w:jc w:val="both"/>
        <w:rPr>
          <w:rFonts w:ascii="Times New Roman" w:hAnsi="Times New Roman" w:cs="Times New Roman"/>
        </w:rPr>
      </w:pPr>
      <w: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r/>
    </w:p>
    <w:p w14:paraId="5588C088" w14:textId="18F1A921" w:rsidR="00713EA1" w:rsidRPr="00DB41E3" w:rsidRDefault="00713EA1" w:rsidP="009D51EB">
      <w:pPr>
        <w:spacing w:after="0" w:line="240" w:lineRule="auto"/>
        <w:jc w:val="both"/>
        <w:rPr>
          <w:rFonts w:ascii="Times New Roman" w:hAnsi="Times New Roman" w:cs="Times New Roman"/>
        </w:rPr>
      </w:pPr>
      <w: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r/>
    </w:p>
    <w:p w14:paraId="41B08114" w14:textId="266B5EB0" w:rsidR="00713EA1" w:rsidRPr="00DB41E3" w:rsidRDefault="00713EA1" w:rsidP="009D51EB">
      <w:pPr>
        <w:spacing w:after="0" w:line="240" w:lineRule="auto"/>
        <w:jc w:val="both"/>
        <w:rPr>
          <w:rFonts w:ascii="Times New Roman" w:hAnsi="Times New Roman" w:cs="Times New Roman"/>
        </w:rPr>
      </w:pPr>
      <w: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r/>
    </w:p>
    <w:p w14:paraId="6B2E833D" w14:textId="7D8FBD2A" w:rsidR="00713EA1" w:rsidRPr="00DB41E3" w:rsidRDefault="00713EA1" w:rsidP="009D51EB">
      <w:pPr>
        <w:spacing w:after="0" w:line="240" w:lineRule="auto"/>
        <w:jc w:val="both"/>
        <w:rPr>
          <w:rFonts w:ascii="Times New Roman" w:hAnsi="Times New Roman" w:cs="Times New Roman"/>
        </w:rPr>
      </w:pPr>
      <w: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r/>
    </w:p>
    <w:p w14:paraId="62E47AC8" w14:textId="77777777" w:rsidR="00713EA1" w:rsidRPr="00DB41E3" w:rsidRDefault="00713EA1" w:rsidP="009D51EB">
      <w:pPr>
        <w:spacing w:after="0" w:line="240" w:lineRule="auto"/>
        <w:jc w:val="both"/>
        <w:rPr>
          <w:rFonts w:ascii="Times New Roman" w:hAnsi="Times New Roman" w:cs="Times New Roman"/>
        </w:rPr>
      </w:pPr>
      <w:r>
        <w:t>The Central Government vide the Finance (No. 2) Act, 2019 and section 87A, has provided for a rebate on tax of an amount equal to 100% of such income-tax or an amount of INR 12,500 (whichever is less) on total income of resident individual assessee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t>In the case of a resident individual of the age of 60 years or more but less than 80 years, the basic exemption limit is INR 3,00,000.</w:t>
      </w:r>
    </w:p>
    <w:p w14:paraId="5F034623" w14:textId="77777777" w:rsidR="008B3950" w:rsidRPr="00DB41E3" w:rsidRDefault="008B3950" w:rsidP="009D51EB">
      <w:pPr>
        <w:spacing w:after="0" w:line="240" w:lineRule="auto"/>
        <w:jc w:val="both"/>
        <w:rPr>
          <w:rFonts w:ascii="Times New Roman" w:hAnsi="Times New Roman" w:cs="Times New Roman"/>
        </w:rPr>
      </w:pPr>
      <w:r/>
    </w:p>
    <w:p w14:paraId="33A27082" w14:textId="77777777" w:rsidR="00713EA1" w:rsidRPr="00DB41E3" w:rsidRDefault="00713EA1" w:rsidP="009D51EB">
      <w:pPr>
        <w:spacing w:after="0" w:line="240" w:lineRule="auto"/>
        <w:jc w:val="both"/>
        <w:rPr>
          <w:rFonts w:ascii="Times New Roman" w:hAnsi="Times New Roman" w:cs="Times New Roman"/>
        </w:rPr>
      </w:pPr>
      <w:r>
        <w:t>In the case of a resident individual of the age of 80 years or more, the basic exemption limit is INR 5,00,000.</w:t>
      </w:r>
    </w:p>
    <w:p w14:paraId="60A9CE8E" w14:textId="77777777" w:rsidR="008B3950" w:rsidRPr="00DB41E3" w:rsidRDefault="008B3950" w:rsidP="009D51EB">
      <w:pPr>
        <w:spacing w:after="0" w:line="240" w:lineRule="auto"/>
        <w:jc w:val="both"/>
        <w:rPr>
          <w:rFonts w:ascii="Times New Roman" w:hAnsi="Times New Roman" w:cs="Times New Roman"/>
        </w:rPr>
      </w:pPr>
      <w:r/>
    </w:p>
    <w:p w14:paraId="4A0DAA31" w14:textId="6D66097B" w:rsidR="00713EA1" w:rsidRPr="00DB41E3" w:rsidRDefault="00713EA1" w:rsidP="009D51EB">
      <w:pPr>
        <w:spacing w:after="0" w:line="240" w:lineRule="auto"/>
        <w:jc w:val="both"/>
        <w:rPr>
          <w:rFonts w:ascii="Times New Roman" w:hAnsi="Times New Roman" w:cs="Times New Roman"/>
        </w:rPr>
      </w:pPr>
      <w: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r/>
    </w:p>
    <w:p w14:paraId="286E742A" w14:textId="2DBAC251" w:rsidR="00713EA1" w:rsidRPr="00DB41E3" w:rsidRDefault="00713EA1" w:rsidP="009D51EB">
      <w:pPr>
        <w:spacing w:after="0" w:line="240" w:lineRule="auto"/>
        <w:jc w:val="both"/>
        <w:rPr>
          <w:rFonts w:ascii="Times New Roman" w:hAnsi="Times New Roman" w:cs="Times New Roman"/>
        </w:rPr>
      </w:pPr>
      <w: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r/>
    </w:p>
    <w:p w14:paraId="1E3C3D21" w14:textId="6CD8F2B2" w:rsidR="00713EA1" w:rsidRPr="00DB41E3" w:rsidRDefault="00713EA1" w:rsidP="009D51EB">
      <w:pPr>
        <w:spacing w:after="0" w:line="240" w:lineRule="auto"/>
        <w:jc w:val="both"/>
        <w:rPr>
          <w:rFonts w:ascii="Times New Roman" w:hAnsi="Times New Roman" w:cs="Times New Roman"/>
        </w:rPr>
      </w:pPr>
      <w: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t>TAXATION OF THE FUND</w:t>
      </w:r>
    </w:p>
    <w:p w14:paraId="43479268" w14:textId="77777777" w:rsidR="001670BA" w:rsidRPr="00DB41E3" w:rsidRDefault="001670BA" w:rsidP="008B3950">
      <w:pPr>
        <w:spacing w:after="0" w:line="240" w:lineRule="auto"/>
        <w:rPr>
          <w:rFonts w:ascii="Times New Roman" w:hAnsi="Times New Roman" w:cs="Times New Roman"/>
        </w:rPr>
      </w:pPr>
      <w:r/>
    </w:p>
    <w:p w14:paraId="49571BAA" w14:textId="6E17F6F3" w:rsidR="00C748F8" w:rsidRPr="00DB41E3" w:rsidRDefault="00713EA1" w:rsidP="009D51EB">
      <w:pPr>
        <w:spacing w:after="0" w:line="240" w:lineRule="auto"/>
        <w:jc w:val="both"/>
        <w:rPr>
          <w:rFonts w:ascii="Times New Roman" w:hAnsi="Times New Roman" w:cs="Times New Roman"/>
        </w:rPr>
      </w:pPr>
      <w:r>
        <w:t>The Trust is constituted as a determinate contributory trust under the Indian Trusts Act, 1882. The Trust is proposed to be registered with SEBI as a Category II Alternative Investment Fund in accordance with the AIF Regulations. Elev8-Capital Fund I (‘Scheme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r/>
    </w:p>
    <w:p w14:paraId="454E62D7" w14:textId="2BC88250" w:rsidR="00713EA1" w:rsidRPr="00DB41E3" w:rsidRDefault="00713EA1" w:rsidP="009D51EB">
      <w:pPr>
        <w:spacing w:after="0" w:line="240" w:lineRule="auto"/>
        <w:jc w:val="both"/>
        <w:rPr>
          <w:rFonts w:ascii="Times New Roman" w:hAnsi="Times New Roman" w:cs="Times New Roman"/>
          <w:u w:val="single"/>
        </w:rPr>
      </w:pPr>
      <w: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r/>
    </w:p>
    <w:p w14:paraId="11CA56CA" w14:textId="23C4C926" w:rsidR="00713EA1" w:rsidRPr="00DB41E3" w:rsidRDefault="00713EA1" w:rsidP="009D51EB">
      <w:pPr>
        <w:spacing w:after="0" w:line="240" w:lineRule="auto"/>
        <w:jc w:val="both"/>
        <w:rPr>
          <w:rFonts w:ascii="Times New Roman" w:hAnsi="Times New Roman" w:cs="Times New Roman"/>
        </w:rPr>
      </w:pPr>
      <w: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r/>
    </w:p>
    <w:p w14:paraId="1A702FD1" w14:textId="64799C0D" w:rsidR="00713EA1" w:rsidRPr="00DB41E3" w:rsidRDefault="00713EA1" w:rsidP="009D51EB">
      <w:pPr>
        <w:spacing w:after="0" w:line="240" w:lineRule="auto"/>
        <w:jc w:val="both"/>
        <w:rPr>
          <w:rFonts w:ascii="Times New Roman" w:hAnsi="Times New Roman" w:cs="Times New Roman"/>
        </w:rPr>
      </w:pPr>
      <w: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r/>
    </w:p>
    <w:p w14:paraId="2CB929E3" w14:textId="5327E1C7" w:rsidR="00713EA1" w:rsidRPr="00DB41E3" w:rsidRDefault="00713EA1" w:rsidP="009D51EB">
      <w:pPr>
        <w:spacing w:after="0" w:line="240" w:lineRule="auto"/>
        <w:jc w:val="both"/>
        <w:rPr>
          <w:rFonts w:ascii="Times New Roman" w:hAnsi="Times New Roman" w:cs="Times New Roman"/>
        </w:rPr>
      </w:pPr>
      <w: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r/>
    </w:p>
    <w:p w14:paraId="5674879F" w14:textId="1A435BEB"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r/>
    </w:p>
    <w:p w14:paraId="405112AE" w14:textId="563F17D7" w:rsidR="00713EA1" w:rsidRPr="00DB41E3" w:rsidRDefault="00713EA1" w:rsidP="009D51EB">
      <w:pPr>
        <w:pStyle w:val="ListParagraph"/>
        <w:numPr>
          <w:ilvl w:val="1"/>
          <w:numId w:val="147"/>
        </w:numPr>
        <w:ind w:left="540" w:hanging="540"/>
        <w:jc w:val="both"/>
        <w:rPr>
          <w:szCs w:val="22"/>
          <w:u w:val="single"/>
        </w:rPr>
      </w:pPr>
      <w:r>
        <w:t>Characterisation of income</w:t>
      </w:r>
    </w:p>
    <w:p w14:paraId="157C6BB9" w14:textId="77777777" w:rsidR="00EF5335" w:rsidRPr="00DB41E3" w:rsidRDefault="00EF5335" w:rsidP="009D51EB">
      <w:pPr>
        <w:spacing w:after="0" w:line="240" w:lineRule="auto"/>
        <w:jc w:val="both"/>
        <w:rPr>
          <w:rFonts w:ascii="Times New Roman" w:hAnsi="Times New Roman" w:cs="Times New Roman"/>
        </w:rPr>
      </w:pPr>
      <w:r/>
    </w:p>
    <w:p w14:paraId="014683CB" w14:textId="2BA95E81" w:rsidR="00713EA1" w:rsidRPr="00DB41E3" w:rsidRDefault="00713EA1" w:rsidP="009D51EB">
      <w:pPr>
        <w:spacing w:after="0" w:line="240" w:lineRule="auto"/>
        <w:jc w:val="both"/>
        <w:rPr>
          <w:rFonts w:ascii="Times New Roman" w:hAnsi="Times New Roman" w:cs="Times New Roman"/>
        </w:rPr>
      </w:pPr>
      <w:r>
        <w:t>The income arising from investment in securities may be treated either as “capital gains” or as “business income” or “income from other sources” for tax purposes, depending upon nature of investment and whether such securities were held as a capital asset or trading asset (i.e., stockin-trade). Traditionally, the issue of characterisation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r/>
    </w:p>
    <w:p w14:paraId="093AA96A" w14:textId="2E3AC3F3" w:rsidR="00713EA1" w:rsidRPr="00DB41E3" w:rsidRDefault="00713EA1" w:rsidP="009D51EB">
      <w:pPr>
        <w:spacing w:after="0" w:line="240" w:lineRule="auto"/>
        <w:jc w:val="both"/>
        <w:rPr>
          <w:rFonts w:ascii="Times New Roman" w:hAnsi="Times New Roman" w:cs="Times New Roman"/>
        </w:rPr>
      </w:pPr>
      <w:r>
        <w:t>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characterisation of gains as either capital gains or business income. Following are the key illustrative factors indicative of capital gains characterisation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r/>
    </w:p>
    <w:p w14:paraId="55F404D3" w14:textId="77777777" w:rsidR="00713EA1" w:rsidRPr="00DB41E3" w:rsidRDefault="00713EA1" w:rsidP="009D51EB">
      <w:pPr>
        <w:pStyle w:val="ListParagraph"/>
        <w:numPr>
          <w:ilvl w:val="0"/>
          <w:numId w:val="187"/>
        </w:numPr>
        <w:ind w:left="360"/>
        <w:jc w:val="both"/>
        <w:rPr>
          <w:szCs w:val="22"/>
        </w:rPr>
      </w:pPr>
      <w: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t>Low transaction frequency</w:t>
      </w:r>
    </w:p>
    <w:p w14:paraId="35FCA464" w14:textId="77777777" w:rsidR="00713EA1" w:rsidRPr="00DB41E3" w:rsidRDefault="00713EA1" w:rsidP="009D51EB">
      <w:pPr>
        <w:pStyle w:val="ListParagraph"/>
        <w:numPr>
          <w:ilvl w:val="0"/>
          <w:numId w:val="187"/>
        </w:numPr>
        <w:ind w:left="360"/>
        <w:jc w:val="both"/>
        <w:rPr>
          <w:szCs w:val="22"/>
        </w:rPr>
      </w:pPr>
      <w:r>
        <w:t>Long period of holding</w:t>
      </w:r>
    </w:p>
    <w:p w14:paraId="383B59D5" w14:textId="77777777" w:rsidR="00713EA1" w:rsidRPr="00DB41E3" w:rsidRDefault="00713EA1" w:rsidP="009D51EB">
      <w:pPr>
        <w:pStyle w:val="ListParagraph"/>
        <w:numPr>
          <w:ilvl w:val="0"/>
          <w:numId w:val="187"/>
        </w:numPr>
        <w:ind w:left="360"/>
        <w:jc w:val="both"/>
        <w:rPr>
          <w:szCs w:val="22"/>
        </w:rPr>
      </w:pPr>
      <w: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r/>
    </w:p>
    <w:p w14:paraId="7F694DFA" w14:textId="05E1677A" w:rsidR="0091453C" w:rsidRPr="00DB41E3" w:rsidRDefault="00713EA1" w:rsidP="009D51EB">
      <w:pPr>
        <w:spacing w:after="0" w:line="240" w:lineRule="auto"/>
        <w:jc w:val="both"/>
        <w:rPr>
          <w:rFonts w:ascii="Times New Roman" w:hAnsi="Times New Roman" w:cs="Times New Roman"/>
        </w:rPr>
      </w:pPr>
      <w:r>
        <w:t xml:space="preserve">No single criteria should be decisive to determine whether or not the income is in the nature of capital gains or business income or income from other sources. The characterisation should depend on the total effect of all criteria applicable to the facts of the case. Therefore, in this regard, the characterisation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r/>
    </w:p>
    <w:p w14:paraId="7B7F98F2" w14:textId="0D1BD28E" w:rsidR="00713EA1" w:rsidRPr="00DB41E3" w:rsidRDefault="00713EA1" w:rsidP="009D51EB">
      <w:pPr>
        <w:spacing w:after="0" w:line="240" w:lineRule="auto"/>
        <w:jc w:val="both"/>
        <w:rPr>
          <w:rFonts w:ascii="Times New Roman" w:hAnsi="Times New Roman" w:cs="Times New Roman"/>
        </w:rPr>
      </w:pPr>
      <w:r>
        <w:t>Based on the Fund’s investment strategy it is likely that Scheme - I will comply with the conditions and parameters mentioned in the CBDT circular and instructions. Accordingly, the income from sale of securities in the investee companies should generally be categorised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t xml:space="preserve">Please note that with a view to reduce litigation and maintain consistency, the CBDT has issued a circular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characterisation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characterisation of gains arising on transfer of unlisted shares, the CBDT has issued an instruction providing that income from transfer of unlisted shares (for which no formal market exists for trading) would be treated as 'capital gains' irrespective of period of holding except in certain specified circumstances such as (i)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r/>
    </w:p>
    <w:p w14:paraId="232A83BD" w14:textId="7883BD80" w:rsidR="00713EA1" w:rsidRPr="00DB41E3" w:rsidRDefault="00713EA1" w:rsidP="009D51EB">
      <w:pPr>
        <w:spacing w:after="0" w:line="240" w:lineRule="auto"/>
        <w:jc w:val="both"/>
        <w:rPr>
          <w:rFonts w:ascii="Times New Roman" w:hAnsi="Times New Roman" w:cs="Times New Roman"/>
        </w:rPr>
      </w:pPr>
      <w:r>
        <w:t xml:space="preserve">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r/>
    </w:p>
    <w:p w14:paraId="0B44A142" w14:textId="1A161D45" w:rsidR="00C748F8" w:rsidRPr="00DB41E3" w:rsidRDefault="00713EA1" w:rsidP="009D51EB">
      <w:pPr>
        <w:spacing w:after="0" w:line="240" w:lineRule="auto"/>
        <w:jc w:val="both"/>
        <w:rPr>
          <w:rFonts w:ascii="Times New Roman" w:hAnsi="Times New Roman" w:cs="Times New Roman"/>
          <w:u w:val="single"/>
        </w:rPr>
      </w:pPr>
      <w: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r/>
    </w:p>
    <w:p w14:paraId="44E93C31" w14:textId="1A00EFB7" w:rsidR="00713EA1" w:rsidRPr="00DB41E3" w:rsidRDefault="00713EA1" w:rsidP="009D51EB">
      <w:pPr>
        <w:spacing w:after="0" w:line="240" w:lineRule="auto"/>
        <w:jc w:val="both"/>
        <w:rPr>
          <w:rFonts w:ascii="Times New Roman" w:hAnsi="Times New Roman" w:cs="Times New Roman"/>
        </w:rPr>
      </w:pPr>
      <w:r>
        <w:t>The IT Act provides that income of an Investment Fund other than income characterised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r/>
    </w:p>
    <w:p w14:paraId="42B6F061" w14:textId="77777777" w:rsidR="00713EA1" w:rsidRPr="00DB41E3" w:rsidRDefault="00713EA1" w:rsidP="009D51EB">
      <w:pPr>
        <w:pStyle w:val="ListParagraph"/>
        <w:numPr>
          <w:ilvl w:val="0"/>
          <w:numId w:val="188"/>
        </w:numPr>
        <w:ind w:left="360"/>
        <w:jc w:val="both"/>
        <w:rPr>
          <w:szCs w:val="22"/>
        </w:rPr>
      </w:pPr>
      <w: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r/>
    </w:p>
    <w:p w14:paraId="3AA231EC" w14:textId="1048D27A" w:rsidR="00713EA1" w:rsidRPr="00DB41E3" w:rsidRDefault="00713EA1" w:rsidP="009D51EB">
      <w:pPr>
        <w:spacing w:after="0" w:line="240" w:lineRule="auto"/>
        <w:jc w:val="both"/>
        <w:rPr>
          <w:rFonts w:ascii="Times New Roman" w:hAnsi="Times New Roman" w:cs="Times New Roman"/>
          <w:u w:val="single"/>
        </w:rPr>
      </w:pPr>
      <w: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r/>
    </w:p>
    <w:p w14:paraId="7AEBC659" w14:textId="77777777"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r/>
    </w:p>
    <w:p w14:paraId="244CA28D" w14:textId="46F9638C" w:rsidR="00713EA1" w:rsidRPr="00DB41E3" w:rsidRDefault="00713EA1" w:rsidP="009D51EB">
      <w:pPr>
        <w:spacing w:after="0" w:line="240" w:lineRule="auto"/>
        <w:jc w:val="both"/>
        <w:rPr>
          <w:rFonts w:ascii="Times New Roman" w:hAnsi="Times New Roman" w:cs="Times New Roman"/>
        </w:rPr>
      </w:pPr>
      <w: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r/>
    </w:p>
    <w:p w14:paraId="50151DA6" w14:textId="25B8F078" w:rsidR="00713EA1" w:rsidRPr="00DB41E3" w:rsidRDefault="00713EA1" w:rsidP="009D51EB">
      <w:pPr>
        <w:spacing w:after="0" w:line="240" w:lineRule="auto"/>
        <w:jc w:val="both"/>
        <w:rPr>
          <w:rFonts w:ascii="Times New Roman" w:hAnsi="Times New Roman" w:cs="Times New Roman"/>
        </w:rPr>
      </w:pPr>
      <w: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r/>
    </w:p>
    <w:p w14:paraId="369FEC51" w14:textId="3F7C4E68" w:rsidR="00091F55" w:rsidRPr="00DB41E3" w:rsidRDefault="00713EA1" w:rsidP="009D51EB">
      <w:pPr>
        <w:spacing w:after="0" w:line="240" w:lineRule="auto"/>
        <w:jc w:val="both"/>
        <w:rPr>
          <w:rFonts w:ascii="Times New Roman" w:hAnsi="Times New Roman" w:cs="Times New Roman"/>
        </w:rPr>
      </w:pPr>
      <w: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r/>
    </w:p>
    <w:p w14:paraId="1BD56402" w14:textId="7B170DF8" w:rsidR="00713EA1" w:rsidRPr="00DB41E3" w:rsidRDefault="00713EA1" w:rsidP="009D51EB">
      <w:pPr>
        <w:spacing w:after="0" w:line="240" w:lineRule="auto"/>
        <w:jc w:val="both"/>
        <w:rPr>
          <w:rFonts w:ascii="Times New Roman" w:hAnsi="Times New Roman" w:cs="Times New Roman"/>
        </w:rPr>
      </w:pPr>
      <w: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r/>
    </w:p>
    <w:p w14:paraId="60328948" w14:textId="43D0861F" w:rsidR="00713EA1" w:rsidRPr="00DB41E3" w:rsidRDefault="00713EA1" w:rsidP="009D51EB">
      <w:pPr>
        <w:spacing w:after="0" w:line="240" w:lineRule="auto"/>
        <w:jc w:val="both"/>
        <w:rPr>
          <w:rFonts w:ascii="Times New Roman" w:hAnsi="Times New Roman" w:cs="Times New Roman"/>
        </w:rPr>
      </w:pPr>
      <w: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r/>
    </w:p>
    <w:p w14:paraId="4B6BC2F5" w14:textId="48994AE0" w:rsidR="00091F55" w:rsidRPr="00DB41E3" w:rsidRDefault="00713EA1" w:rsidP="009D51EB">
      <w:pPr>
        <w:spacing w:after="0" w:line="240" w:lineRule="auto"/>
        <w:jc w:val="both"/>
        <w:rPr>
          <w:rFonts w:ascii="Times New Roman" w:hAnsi="Times New Roman" w:cs="Times New Roman"/>
        </w:rPr>
      </w:pPr>
      <w:r>
        <w:t xml:space="preserve">A Company is said to be a resident in India in the financial year if (i)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r/>
    </w:p>
    <w:p w14:paraId="40E1244E" w14:textId="77777777" w:rsidR="00713EA1" w:rsidRPr="00DB41E3" w:rsidRDefault="00713EA1" w:rsidP="009D51EB">
      <w:pPr>
        <w:spacing w:after="0" w:line="240" w:lineRule="auto"/>
        <w:jc w:val="both"/>
        <w:rPr>
          <w:rFonts w:ascii="Times New Roman" w:hAnsi="Times New Roman" w:cs="Times New Roman"/>
        </w:rPr>
      </w:pPr>
      <w: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r/>
    </w:p>
    <w:p w14:paraId="1BAAB7D5" w14:textId="47D06D32" w:rsidR="00713EA1" w:rsidRPr="00DB41E3" w:rsidRDefault="00713EA1" w:rsidP="009D51EB">
      <w:pPr>
        <w:pStyle w:val="ListParagraph"/>
        <w:numPr>
          <w:ilvl w:val="1"/>
          <w:numId w:val="80"/>
        </w:numPr>
        <w:ind w:left="540" w:hanging="540"/>
        <w:jc w:val="both"/>
        <w:rPr>
          <w:szCs w:val="22"/>
          <w:u w:val="single"/>
        </w:rPr>
      </w:pPr>
      <w: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r/>
    </w:p>
    <w:p w14:paraId="67D017A3" w14:textId="77777777" w:rsidR="00713EA1" w:rsidRPr="00DB41E3" w:rsidRDefault="00713EA1" w:rsidP="009D51EB">
      <w:pPr>
        <w:spacing w:after="0" w:line="240" w:lineRule="auto"/>
        <w:jc w:val="both"/>
        <w:rPr>
          <w:rFonts w:ascii="Times New Roman" w:hAnsi="Times New Roman" w:cs="Times New Roman"/>
        </w:rPr>
      </w:pPr>
      <w:r>
        <w:t>The tax implications on the different streams of income in the hands of the resident investors (other than ‘business income’) is as follows:</w:t>
      </w:r>
    </w:p>
    <w:p w14:paraId="3527C56C" w14:textId="77777777" w:rsidR="00713EA1" w:rsidRPr="00DB41E3" w:rsidRDefault="00713EA1" w:rsidP="009D51EB">
      <w:pPr>
        <w:spacing w:after="0" w:line="240" w:lineRule="auto"/>
        <w:jc w:val="both"/>
        <w:rPr>
          <w:rFonts w:ascii="Times New Roman" w:hAnsi="Times New Roman" w:cs="Times New Roman"/>
        </w:rPr>
      </w:pPr>
      <w:r/>
    </w:p>
    <w:p w14:paraId="51CD87B7" w14:textId="77777777" w:rsidR="00713EA1" w:rsidRPr="00DB41E3" w:rsidRDefault="00713EA1" w:rsidP="009D51EB">
      <w:pPr>
        <w:pStyle w:val="ListParagraph"/>
        <w:numPr>
          <w:ilvl w:val="0"/>
          <w:numId w:val="189"/>
        </w:numPr>
        <w:ind w:left="547"/>
        <w:contextualSpacing w:val="0"/>
        <w:jc w:val="both"/>
        <w:rPr>
          <w:szCs w:val="22"/>
        </w:rPr>
      </w:pPr>
      <w:r>
        <w:t>Dividends</w:t>
      </w:r>
    </w:p>
    <w:p w14:paraId="54DC5C42" w14:textId="77777777" w:rsidR="00713EA1" w:rsidRPr="00DB41E3" w:rsidRDefault="00713EA1" w:rsidP="009D51EB">
      <w:pPr>
        <w:spacing w:after="0" w:line="240" w:lineRule="auto"/>
        <w:jc w:val="both"/>
        <w:rPr>
          <w:rFonts w:ascii="Times New Roman" w:hAnsi="Times New Roman" w:cs="Times New Roman"/>
        </w:rPr>
      </w:pPr>
      <w:r/>
    </w:p>
    <w:p w14:paraId="24CC3595" w14:textId="77777777" w:rsidR="00713EA1" w:rsidRPr="00DB41E3" w:rsidRDefault="00713EA1" w:rsidP="009D51EB">
      <w:pPr>
        <w:spacing w:after="0" w:line="240" w:lineRule="auto"/>
        <w:jc w:val="both"/>
        <w:rPr>
          <w:rFonts w:ascii="Times New Roman" w:hAnsi="Times New Roman" w:cs="Times New Roman"/>
        </w:rPr>
      </w:pPr>
      <w: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r/>
    </w:p>
    <w:p w14:paraId="6B7A4C2F" w14:textId="77777777" w:rsidR="00713EA1" w:rsidRPr="00DB41E3" w:rsidRDefault="00713EA1" w:rsidP="00BE6DE4">
      <w:pPr>
        <w:spacing w:after="0" w:line="240" w:lineRule="auto"/>
        <w:rPr>
          <w:rFonts w:ascii="Times New Roman" w:hAnsi="Times New Roman" w:cs="Times New Roman"/>
        </w:rPr>
      </w:pPr>
      <w:r>
        <w:t>Notes:</w:t>
      </w:r>
    </w:p>
    <w:p w14:paraId="710E3992" w14:textId="77777777" w:rsidR="004B7EA3" w:rsidRPr="00DB41E3" w:rsidRDefault="00713EA1" w:rsidP="009D51EB">
      <w:pPr>
        <w:pStyle w:val="ListParagraph"/>
        <w:numPr>
          <w:ilvl w:val="0"/>
          <w:numId w:val="205"/>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t>As per the Finance Act 2021, the surcharge rate with respect to dividend income shall not exceed 15% in case of assessee,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t>The Indian company declaring dividend would be required to deduct tax at 10% in case of payment to resident investors if payment exceeds INR 5,000. However, in view of section 197A(1F)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r/>
    </w:p>
    <w:p w14:paraId="58620FDB" w14:textId="77777777" w:rsidR="00713EA1" w:rsidRPr="00DB41E3" w:rsidRDefault="00713EA1" w:rsidP="009D51EB">
      <w:pPr>
        <w:pStyle w:val="ListParagraph"/>
        <w:numPr>
          <w:ilvl w:val="0"/>
          <w:numId w:val="189"/>
        </w:numPr>
        <w:ind w:left="540"/>
        <w:jc w:val="both"/>
        <w:rPr>
          <w:szCs w:val="22"/>
        </w:rPr>
      </w:pPr>
      <w: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r/>
    </w:p>
    <w:p w14:paraId="41421165" w14:textId="4804FCF3" w:rsidR="00713EA1" w:rsidRPr="00DB41E3" w:rsidRDefault="00713EA1" w:rsidP="009D51EB">
      <w:pPr>
        <w:spacing w:after="0" w:line="240" w:lineRule="auto"/>
        <w:jc w:val="both"/>
        <w:rPr>
          <w:rFonts w:ascii="Times New Roman" w:hAnsi="Times New Roman" w:cs="Times New Roman"/>
        </w:rPr>
      </w:pPr>
      <w:r>
        <w:t>Interest income earned by Category II AIF characterised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r/>
    </w:p>
    <w:p w14:paraId="2D708FF8" w14:textId="0C07696D" w:rsidR="00713EA1" w:rsidRPr="00DB41E3" w:rsidRDefault="00713EA1" w:rsidP="00BE6DE4">
      <w:pPr>
        <w:spacing w:after="0" w:line="240" w:lineRule="auto"/>
        <w:rPr>
          <w:rFonts w:ascii="Times New Roman" w:hAnsi="Times New Roman" w:cs="Times New Roman"/>
        </w:rPr>
      </w:pPr>
      <w:r>
        <w:t>Notes:</w:t>
      </w:r>
    </w:p>
    <w:p w14:paraId="136424DD" w14:textId="77777777" w:rsidR="007D5D63" w:rsidRPr="00DB41E3" w:rsidRDefault="007D5D63" w:rsidP="00BE6DE4">
      <w:pPr>
        <w:spacing w:after="0" w:line="240" w:lineRule="auto"/>
        <w:rPr>
          <w:rFonts w:ascii="Times New Roman" w:hAnsi="Times New Roman" w:cs="Times New Roman"/>
        </w:rPr>
      </w:pPr>
      <w:r/>
    </w:p>
    <w:p w14:paraId="5BD5F924" w14:textId="77777777" w:rsidR="00713EA1" w:rsidRPr="00DB41E3" w:rsidRDefault="00713EA1" w:rsidP="009D51EB">
      <w:pPr>
        <w:pStyle w:val="ListParagraph"/>
        <w:numPr>
          <w:ilvl w:val="0"/>
          <w:numId w:val="190"/>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t>As per the Finance Act, 2022 in case of an association of persons consisting of only companies as its members, the rate of surcharge on the amount of income-tax shall not exceed 15%.and accordingly,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r/>
    </w:p>
    <w:p w14:paraId="1B191FE8" w14:textId="77777777" w:rsidR="00713EA1" w:rsidRPr="00DB41E3" w:rsidRDefault="00713EA1" w:rsidP="009D51EB">
      <w:pPr>
        <w:pStyle w:val="ListParagraph"/>
        <w:numPr>
          <w:ilvl w:val="0"/>
          <w:numId w:val="189"/>
        </w:numPr>
        <w:ind w:left="540"/>
        <w:jc w:val="both"/>
        <w:rPr>
          <w:szCs w:val="22"/>
        </w:rPr>
      </w:pPr>
      <w: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r/>
    </w:p>
    <w:p w14:paraId="7ED8E62A" w14:textId="03E6E77B" w:rsidR="00713EA1" w:rsidRPr="00DB41E3" w:rsidRDefault="00713EA1" w:rsidP="009D51EB">
      <w:pPr>
        <w:spacing w:after="0" w:line="240" w:lineRule="auto"/>
        <w:jc w:val="both"/>
        <w:rPr>
          <w:rFonts w:ascii="Times New Roman" w:hAnsi="Times New Roman" w:cs="Times New Roman"/>
        </w:rPr>
      </w:pPr>
      <w:r>
        <w:t>As stated earlier, the character of income in the hands of the investors should be derived from the character of income earned by the Fund. Where the gains derived by Scheme - I on transfer of securities is characterised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r/>
    </w:p>
    <w:p w14:paraId="2323AC9E" w14:textId="77777777" w:rsidR="00713EA1" w:rsidRPr="00DB41E3" w:rsidRDefault="00713EA1" w:rsidP="009D51EB">
      <w:pPr>
        <w:spacing w:after="0" w:line="240" w:lineRule="auto"/>
        <w:jc w:val="both"/>
        <w:rPr>
          <w:rFonts w:ascii="Times New Roman" w:hAnsi="Times New Roman" w:cs="Times New Roman"/>
        </w:rPr>
      </w:pPr>
      <w: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r/>
    </w:p>
    <w:p w14:paraId="21F348E6" w14:textId="73C7FC36" w:rsidR="00713EA1" w:rsidRPr="00DB41E3" w:rsidRDefault="00713EA1" w:rsidP="009D51EB">
      <w:pPr>
        <w:spacing w:after="0" w:line="240" w:lineRule="auto"/>
        <w:jc w:val="both"/>
        <w:rPr>
          <w:rFonts w:ascii="Times New Roman" w:hAnsi="Times New Roman" w:cs="Times New Roman"/>
        </w:rPr>
      </w:pPr>
      <w:r>
        <w:t>Under the IT Act capital gains will be taxable in the hands of the investors depending on the nature of securities and the period of holding. The capital gains will be classified as long-term capital gains (“LTCG”) or shortterm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Shares of a company (other than shares listed on a recognised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r/>
    </w:p>
    <w:p w14:paraId="6BE51D71" w14:textId="2EDB7AD1"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shall be characterised as LTCG or STCG. Applicable tax rates for resident investors under different scenarios has been provided below:</w:t>
      </w:r>
    </w:p>
    <w:p w14:paraId="350367A9" w14:textId="77777777" w:rsidR="00A952F8" w:rsidRPr="00DB41E3" w:rsidRDefault="00A952F8" w:rsidP="00BE6DE4">
      <w:pPr>
        <w:spacing w:after="0" w:line="240" w:lineRule="auto"/>
        <w:rPr>
          <w:rFonts w:ascii="Times New Roman" w:hAnsi="Times New Roman" w:cs="Times New Roman"/>
        </w:rPr>
      </w:pPr>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STCG on transfer of (i) listed equity shares on a recognised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(i) listed equity shares on a recognised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r/>
    </w:p>
    <w:p w14:paraId="6D9D7480" w14:textId="3907DBB6" w:rsidR="00713EA1" w:rsidRPr="00DB41E3" w:rsidRDefault="00713EA1" w:rsidP="009D51EB">
      <w:pPr>
        <w:spacing w:after="0" w:line="240" w:lineRule="auto"/>
        <w:jc w:val="both"/>
        <w:rPr>
          <w:rFonts w:ascii="Times New Roman" w:hAnsi="Times New Roman" w:cs="Times New Roman"/>
        </w:rPr>
      </w:pPr>
      <w:r>
        <w:t>Notes:</w:t>
      </w:r>
    </w:p>
    <w:p w14:paraId="7D84B147" w14:textId="77777777" w:rsidR="00F474C5" w:rsidRPr="00DB41E3" w:rsidRDefault="00F474C5" w:rsidP="009D51EB">
      <w:pPr>
        <w:spacing w:after="0" w:line="240" w:lineRule="auto"/>
        <w:jc w:val="both"/>
        <w:rPr>
          <w:rFonts w:ascii="Times New Roman" w:hAnsi="Times New Roman" w:cs="Times New Roman"/>
        </w:rPr>
      </w:pPr>
      <w:r/>
    </w:p>
    <w:p w14:paraId="17CB36E5" w14:textId="77777777" w:rsidR="00713EA1" w:rsidRPr="00DB41E3" w:rsidRDefault="00713EA1" w:rsidP="009D51EB">
      <w:pPr>
        <w:pStyle w:val="ListParagraph"/>
        <w:numPr>
          <w:ilvl w:val="0"/>
          <w:numId w:val="191"/>
        </w:numPr>
        <w:ind w:left="540" w:hanging="450"/>
        <w:jc w:val="both"/>
        <w:rPr>
          <w:szCs w:val="22"/>
        </w:rPr>
      </w:pPr>
      <w:r>
        <w:t>LTCG above INR 1 lakh on following transfers shall be taxable at 10% (excluding surcharge and cess):</w:t>
      </w:r>
    </w:p>
    <w:p w14:paraId="2E1F2975" w14:textId="77777777" w:rsidR="00616318" w:rsidRPr="00DB41E3" w:rsidRDefault="00713EA1" w:rsidP="009D51EB">
      <w:pPr>
        <w:pStyle w:val="ListParagraph"/>
        <w:numPr>
          <w:ilvl w:val="0"/>
          <w:numId w:val="192"/>
        </w:numPr>
        <w:ind w:left="900"/>
        <w:jc w:val="both"/>
        <w:rPr>
          <w:szCs w:val="22"/>
        </w:rPr>
      </w:pPr>
      <w:r>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r/>
    </w:p>
    <w:p w14:paraId="10E31FB5" w14:textId="5A303DAE" w:rsidR="00713EA1" w:rsidRPr="00DB41E3" w:rsidRDefault="00713EA1" w:rsidP="009D51EB">
      <w:pPr>
        <w:spacing w:after="0" w:line="240" w:lineRule="auto"/>
        <w:jc w:val="both"/>
        <w:rPr>
          <w:rFonts w:ascii="Times New Roman" w:hAnsi="Times New Roman" w:cs="Times New Roman"/>
        </w:rPr>
      </w:pPr>
      <w:r>
        <w:t>Benefit of the computation of gains in foreign currency and cost inflation index shall not be available on such gains. The CBDT has issued a notification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r/>
    </w:p>
    <w:p w14:paraId="74441A59" w14:textId="77777777" w:rsidR="00713EA1" w:rsidRPr="00DB41E3" w:rsidRDefault="00713EA1" w:rsidP="009D51EB">
      <w:pPr>
        <w:pStyle w:val="ListParagraph"/>
        <w:numPr>
          <w:ilvl w:val="0"/>
          <w:numId w:val="191"/>
        </w:numPr>
        <w:ind w:left="540" w:hanging="450"/>
        <w:jc w:val="both"/>
        <w:rPr>
          <w:szCs w:val="22"/>
        </w:rPr>
      </w:pPr>
      <w:r>
        <w:t xml:space="preserve">Based on judicial precedents, residents may avail the concessional tax rate (as mentioned above). However, the possibility of Indian Tax Authorities disregarding the said position and applying a tax rate of 20% (plus applicable surcharge and cess)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t>The Finance Act, 2022 has reduced the tax rate to 25% (plus applicable surcharge and cess)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t>Section 115BAA of the IT Act provides for a lower tax rate of 22% in case of certain domestic companies subject to fulfilment of certain conditions. Further, surcharge rate at the rate of 10% and cess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t>Section 115BAB of the IT Act provides for a lower tax rate of 22% for short term capital gains on non-depreciable capital assets in case of certain domestic manufacturing companies subject to fulfilment of certain conditions. Further, surcharge rate at the rate of 10% and cess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r/>
    </w:p>
    <w:p w14:paraId="6647764A" w14:textId="68E2441F" w:rsidR="00713EA1" w:rsidRPr="00DB41E3" w:rsidRDefault="00713EA1" w:rsidP="009D51EB">
      <w:pPr>
        <w:pStyle w:val="ListParagraph"/>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 The cost of acquisition of bonus shares should be taken as ‘Nil’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t xml:space="preserve">As per the Finance Act, 2022 in case of long-term capital gains under section 112 of the Act, the rate of surcharge on the amount of income-tax shall not exceed 15%. </w:t>
      </w:r>
    </w:p>
    <w:p w14:paraId="406DA59A" w14:textId="77777777" w:rsidR="00713EA1" w:rsidRPr="00DB41E3" w:rsidRDefault="00713EA1" w:rsidP="009D51EB">
      <w:pPr>
        <w:spacing w:after="0" w:line="240" w:lineRule="auto"/>
        <w:jc w:val="both"/>
        <w:rPr>
          <w:rFonts w:ascii="Times New Roman" w:hAnsi="Times New Roman" w:cs="Times New Roman"/>
        </w:rPr>
      </w:pPr>
      <w: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r/>
    </w:p>
    <w:p w14:paraId="56137F74" w14:textId="74D822D5" w:rsidR="00713EA1" w:rsidRPr="00DB41E3" w:rsidRDefault="00713EA1" w:rsidP="009D51EB">
      <w:pPr>
        <w:spacing w:after="0" w:line="240" w:lineRule="auto"/>
        <w:jc w:val="both"/>
        <w:rPr>
          <w:rFonts w:ascii="Times New Roman" w:hAnsi="Times New Roman" w:cs="Times New Roman"/>
        </w:rPr>
      </w:pPr>
      <w:r>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r/>
    </w:p>
    <w:p w14:paraId="2D0D1457" w14:textId="77777777" w:rsidR="00713EA1" w:rsidRPr="00DB41E3" w:rsidRDefault="00713EA1" w:rsidP="009D51EB">
      <w:pPr>
        <w:spacing w:after="0" w:line="240" w:lineRule="auto"/>
        <w:jc w:val="both"/>
        <w:rPr>
          <w:rFonts w:ascii="Times New Roman" w:hAnsi="Times New Roman" w:cs="Times New Roman"/>
          <w:u w:val="single"/>
        </w:rPr>
      </w:pPr>
      <w: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r/>
    </w:p>
    <w:p w14:paraId="3BB66F50" w14:textId="08AD1D1B" w:rsidR="00713EA1" w:rsidRPr="00DB41E3" w:rsidRDefault="00713EA1" w:rsidP="009D51EB">
      <w:pPr>
        <w:spacing w:after="0" w:line="240" w:lineRule="auto"/>
        <w:jc w:val="both"/>
        <w:rPr>
          <w:rFonts w:ascii="Times New Roman" w:hAnsi="Times New Roman" w:cs="Times New Roman"/>
        </w:rPr>
      </w:pPr>
      <w: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r/>
    </w:p>
    <w:p w14:paraId="07B04301" w14:textId="2F93B668" w:rsidR="00713EA1" w:rsidRPr="00DB41E3" w:rsidRDefault="00713EA1" w:rsidP="009D51EB">
      <w:pPr>
        <w:spacing w:after="0" w:line="240" w:lineRule="auto"/>
        <w:jc w:val="both"/>
        <w:rPr>
          <w:rFonts w:ascii="Times New Roman" w:hAnsi="Times New Roman" w:cs="Times New Roman"/>
        </w:rPr>
      </w:pPr>
      <w:r>
        <w:t xml:space="preserve">The CBDT had vide its Circular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r/>
    </w:p>
    <w:p w14:paraId="011720B1" w14:textId="77777777" w:rsidR="00713EA1" w:rsidRPr="00DB41E3" w:rsidRDefault="00713EA1" w:rsidP="009D51EB">
      <w:pPr>
        <w:spacing w:after="0" w:line="240" w:lineRule="auto"/>
        <w:jc w:val="both"/>
        <w:rPr>
          <w:rFonts w:ascii="Times New Roman" w:hAnsi="Times New Roman" w:cs="Times New Roman"/>
          <w:u w:val="single"/>
        </w:rPr>
      </w:pPr>
      <w: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r/>
    </w:p>
    <w:p w14:paraId="1982EF24" w14:textId="4B4572B3" w:rsidR="00713EA1" w:rsidRPr="00DB41E3" w:rsidRDefault="00713EA1" w:rsidP="009D51EB">
      <w:pPr>
        <w:spacing w:after="0" w:line="240" w:lineRule="auto"/>
        <w:jc w:val="both"/>
        <w:rPr>
          <w:rFonts w:ascii="Times New Roman" w:hAnsi="Times New Roman" w:cs="Times New Roman"/>
        </w:rPr>
      </w:pPr>
      <w: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r/>
    </w:p>
    <w:p w14:paraId="243D6FFC" w14:textId="476304BF" w:rsidR="00713EA1" w:rsidRPr="00DB41E3" w:rsidRDefault="00713EA1" w:rsidP="009D51EB">
      <w:pPr>
        <w:spacing w:after="0" w:line="240" w:lineRule="auto"/>
        <w:jc w:val="both"/>
        <w:rPr>
          <w:rFonts w:ascii="Times New Roman" w:hAnsi="Times New Roman" w:cs="Times New Roman"/>
        </w:rPr>
      </w:pPr>
      <w: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r/>
    </w:p>
    <w:p w14:paraId="63FDCE5E" w14:textId="41AF542F" w:rsidR="00713EA1" w:rsidRPr="00DB41E3" w:rsidRDefault="00713EA1" w:rsidP="009D51EB">
      <w:pPr>
        <w:spacing w:after="0" w:line="240" w:lineRule="auto"/>
        <w:jc w:val="both"/>
        <w:rPr>
          <w:rFonts w:ascii="Times New Roman" w:hAnsi="Times New Roman" w:cs="Times New Roman"/>
        </w:rPr>
      </w:pPr>
      <w: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r/>
    </w:p>
    <w:p w14:paraId="0AAC973F" w14:textId="169AF76A" w:rsidR="00713EA1" w:rsidRPr="00DB41E3" w:rsidRDefault="00713EA1" w:rsidP="009D51EB">
      <w:pPr>
        <w:spacing w:after="0" w:line="240" w:lineRule="auto"/>
        <w:jc w:val="both"/>
        <w:rPr>
          <w:rFonts w:ascii="Times New Roman" w:hAnsi="Times New Roman" w:cs="Times New Roman"/>
          <w:u w:val="single"/>
        </w:rPr>
      </w:pPr>
      <w: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r/>
    </w:p>
    <w:p w14:paraId="32FF7300" w14:textId="12C33ADE" w:rsidR="00713EA1" w:rsidRPr="00DB41E3" w:rsidRDefault="00713EA1" w:rsidP="009D51EB">
      <w:pPr>
        <w:spacing w:after="0" w:line="240" w:lineRule="auto"/>
        <w:jc w:val="both"/>
        <w:rPr>
          <w:rFonts w:ascii="Times New Roman" w:hAnsi="Times New Roman" w:cs="Times New Roman"/>
        </w:rPr>
      </w:pPr>
      <w:r>
        <w:t>Section 90(4) of the IT Act provides that in order to claim DTAA benefits, the non-resident investor has to obtain a TRC as issued by the foreign government. Further, the non-resident investor should be 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r/>
    </w:p>
    <w:p w14:paraId="43922BCA" w14:textId="73B75C60" w:rsidR="00713EA1" w:rsidRPr="00DB41E3" w:rsidRDefault="00713EA1" w:rsidP="009D51EB">
      <w:pPr>
        <w:spacing w:after="0" w:line="240" w:lineRule="auto"/>
        <w:jc w:val="both"/>
        <w:rPr>
          <w:rFonts w:ascii="Times New Roman" w:hAnsi="Times New Roman" w:cs="Times New Roman"/>
        </w:rPr>
      </w:pPr>
      <w: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r/>
    </w:p>
    <w:p w14:paraId="319762B4" w14:textId="77777777" w:rsidR="00FE0E23" w:rsidRPr="00DB41E3" w:rsidRDefault="00713EA1" w:rsidP="009D51EB">
      <w:pPr>
        <w:pStyle w:val="ListParagraph"/>
        <w:numPr>
          <w:ilvl w:val="0"/>
          <w:numId w:val="193"/>
        </w:numPr>
        <w:ind w:left="360"/>
        <w:jc w:val="both"/>
        <w:rPr>
          <w:szCs w:val="22"/>
        </w:rPr>
      </w:pPr>
      <w:r>
        <w:t>Status (individual, company, firm, etc.) of the assessee;</w:t>
      </w:r>
    </w:p>
    <w:p w14:paraId="10E29A19" w14:textId="77777777" w:rsidR="00FE0E23" w:rsidRPr="00DB41E3" w:rsidRDefault="00713EA1" w:rsidP="009D51EB">
      <w:pPr>
        <w:pStyle w:val="ListParagraph"/>
        <w:numPr>
          <w:ilvl w:val="0"/>
          <w:numId w:val="193"/>
        </w:numPr>
        <w:ind w:left="360"/>
        <w:jc w:val="both"/>
        <w:rPr>
          <w:szCs w:val="22"/>
        </w:rPr>
      </w:pPr>
      <w: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r>
        <w:t>Assessee’s tax identification number in the country or specified territory of residence and in case there is no such number, then, a unique number on the basis of which the person is identified by the government of the country or the specified territory of which the assessee claims to be a resident;</w:t>
      </w:r>
    </w:p>
    <w:p w14:paraId="3911FADD" w14:textId="77777777" w:rsidR="00FE0E23" w:rsidRPr="00DB41E3" w:rsidRDefault="00713EA1" w:rsidP="009D51EB">
      <w:pPr>
        <w:pStyle w:val="ListParagraph"/>
        <w:numPr>
          <w:ilvl w:val="0"/>
          <w:numId w:val="193"/>
        </w:numPr>
        <w:ind w:left="360"/>
        <w:jc w:val="both"/>
        <w:rPr>
          <w:szCs w:val="22"/>
        </w:rPr>
      </w:pPr>
      <w: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t>Address of the assessee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r/>
    </w:p>
    <w:p w14:paraId="63FF88F9" w14:textId="6281050C" w:rsidR="009932ED" w:rsidRPr="00DB41E3" w:rsidRDefault="00713EA1" w:rsidP="009D51EB">
      <w:pPr>
        <w:spacing w:after="0" w:line="240" w:lineRule="auto"/>
        <w:jc w:val="both"/>
        <w:rPr>
          <w:rFonts w:ascii="Times New Roman" w:hAnsi="Times New Roman" w:cs="Times New Roman"/>
        </w:rPr>
      </w:pPr>
      <w: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r/>
    </w:p>
    <w:p w14:paraId="38494D22" w14:textId="55672158" w:rsidR="00713EA1" w:rsidRPr="00DB41E3" w:rsidRDefault="00713EA1" w:rsidP="009D51EB">
      <w:pPr>
        <w:spacing w:after="0" w:line="240" w:lineRule="auto"/>
        <w:jc w:val="both"/>
        <w:rPr>
          <w:rFonts w:ascii="Times New Roman" w:hAnsi="Times New Roman" w:cs="Times New Roman"/>
          <w:u w:val="single"/>
        </w:rPr>
      </w:pPr>
      <w: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r/>
    </w:p>
    <w:p w14:paraId="6F20EEB6" w14:textId="09D4694C" w:rsidR="00713EA1" w:rsidRPr="00DB41E3" w:rsidRDefault="00713EA1" w:rsidP="009D51EB">
      <w:pPr>
        <w:spacing w:after="0" w:line="240" w:lineRule="auto"/>
        <w:jc w:val="both"/>
        <w:rPr>
          <w:rFonts w:ascii="Times New Roman" w:hAnsi="Times New Roman" w:cs="Times New Roman"/>
        </w:rPr>
      </w:pPr>
      <w: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r/>
    </w:p>
    <w:p w14:paraId="11CCD449" w14:textId="6878066B" w:rsidR="00713EA1" w:rsidRPr="00DB41E3" w:rsidRDefault="00713EA1" w:rsidP="009D51EB">
      <w:pPr>
        <w:spacing w:after="0" w:line="240" w:lineRule="auto"/>
        <w:jc w:val="both"/>
        <w:rPr>
          <w:rFonts w:ascii="Times New Roman" w:hAnsi="Times New Roman" w:cs="Times New Roman"/>
        </w:rPr>
      </w:pPr>
      <w:r>
        <w:t>The Indian income-tax implications under the IT Act (subject to (i)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r/>
    </w:p>
    <w:p w14:paraId="79F8B4F4" w14:textId="0B0CAEBC" w:rsidR="00713EA1" w:rsidRPr="00DB41E3" w:rsidRDefault="00713EA1" w:rsidP="009D51EB">
      <w:pPr>
        <w:pStyle w:val="ListParagraph"/>
        <w:numPr>
          <w:ilvl w:val="0"/>
          <w:numId w:val="194"/>
        </w:numPr>
        <w:ind w:left="540" w:hanging="450"/>
        <w:jc w:val="both"/>
        <w:rPr>
          <w:szCs w:val="22"/>
        </w:rPr>
      </w:pPr>
      <w:r>
        <w:t>Dividends</w:t>
      </w:r>
    </w:p>
    <w:p w14:paraId="5542FCEF" w14:textId="77777777" w:rsidR="00713EA1" w:rsidRPr="00DB41E3" w:rsidRDefault="00713EA1" w:rsidP="009D51EB">
      <w:pPr>
        <w:spacing w:after="0" w:line="240" w:lineRule="auto"/>
        <w:jc w:val="both"/>
        <w:rPr>
          <w:rFonts w:ascii="Times New Roman" w:hAnsi="Times New Roman" w:cs="Times New Roman"/>
        </w:rPr>
      </w:pPr>
      <w:r/>
    </w:p>
    <w:p w14:paraId="05EE4641" w14:textId="77777777" w:rsidR="00713EA1" w:rsidRPr="00DB41E3" w:rsidRDefault="00713EA1" w:rsidP="009D51EB">
      <w:pPr>
        <w:spacing w:after="0" w:line="240" w:lineRule="auto"/>
        <w:jc w:val="both"/>
        <w:rPr>
          <w:rFonts w:ascii="Times New Roman" w:hAnsi="Times New Roman" w:cs="Times New Roman"/>
        </w:rPr>
      </w:pPr>
      <w: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r/>
    </w:p>
    <w:p w14:paraId="758D9215" w14:textId="77777777" w:rsidR="00713EA1" w:rsidRPr="00DB41E3" w:rsidRDefault="00713EA1" w:rsidP="009D51EB">
      <w:pPr>
        <w:spacing w:after="0" w:line="240" w:lineRule="auto"/>
        <w:jc w:val="both"/>
        <w:rPr>
          <w:rFonts w:ascii="Times New Roman" w:hAnsi="Times New Roman" w:cs="Times New Roman"/>
        </w:rPr>
      </w:pPr>
      <w: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r/>
    </w:p>
    <w:p w14:paraId="1490CF18" w14:textId="77777777" w:rsidR="00713EA1" w:rsidRPr="00DB41E3" w:rsidRDefault="00713EA1" w:rsidP="009D51EB">
      <w:pPr>
        <w:pStyle w:val="ListParagraph"/>
        <w:numPr>
          <w:ilvl w:val="0"/>
          <w:numId w:val="194"/>
        </w:numPr>
        <w:ind w:left="540" w:hanging="450"/>
        <w:jc w:val="both"/>
        <w:rPr>
          <w:szCs w:val="22"/>
        </w:rPr>
      </w:pPr>
      <w: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r/>
    </w:p>
    <w:p w14:paraId="5C967E46" w14:textId="4F3620DB" w:rsidR="00713EA1" w:rsidRPr="00DB41E3" w:rsidRDefault="00713EA1" w:rsidP="009D51EB">
      <w:pPr>
        <w:spacing w:after="0" w:line="240" w:lineRule="auto"/>
        <w:jc w:val="both"/>
        <w:rPr>
          <w:rFonts w:ascii="Times New Roman" w:hAnsi="Times New Roman" w:cs="Times New Roman"/>
        </w:rPr>
      </w:pPr>
      <w:r>
        <w:t>Interest income on borrowing in Indian currency earned by Category II AIF and characterised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r/>
    </w:p>
    <w:p w14:paraId="4C69515D" w14:textId="77777777" w:rsidR="00713EA1" w:rsidRPr="00DB41E3" w:rsidRDefault="00713EA1" w:rsidP="009D51EB">
      <w:pPr>
        <w:spacing w:after="0" w:line="240" w:lineRule="auto"/>
        <w:jc w:val="both"/>
        <w:rPr>
          <w:rFonts w:ascii="Times New Roman" w:hAnsi="Times New Roman" w:cs="Times New Roman"/>
        </w:rPr>
      </w:pPr>
      <w:r>
        <w:t xml:space="preserve">Note: </w:t>
      </w:r>
    </w:p>
    <w:p w14:paraId="54341C66" w14:textId="77777777" w:rsidR="003F2F86" w:rsidRPr="00DB41E3" w:rsidRDefault="00713EA1" w:rsidP="009D51EB">
      <w:pPr>
        <w:pStyle w:val="ListParagraph"/>
        <w:numPr>
          <w:ilvl w:val="0"/>
          <w:numId w:val="206"/>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5E195AE" w14:textId="32FDF887" w:rsidR="00713EA1" w:rsidRPr="00DB41E3" w:rsidRDefault="00713EA1" w:rsidP="009D51EB">
      <w:pPr>
        <w:pStyle w:val="ListParagraph"/>
        <w:numPr>
          <w:ilvl w:val="0"/>
          <w:numId w:val="206"/>
        </w:numPr>
        <w:ind w:left="547"/>
        <w:contextualSpacing w:val="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r/>
    </w:p>
    <w:p w14:paraId="7CCFE0BB" w14:textId="4613743F" w:rsidR="00E0664C" w:rsidRPr="00DB41E3" w:rsidRDefault="00713EA1" w:rsidP="009D51EB">
      <w:pPr>
        <w:pStyle w:val="ListParagraph"/>
        <w:numPr>
          <w:ilvl w:val="0"/>
          <w:numId w:val="194"/>
        </w:numPr>
        <w:ind w:left="540" w:hanging="450"/>
        <w:jc w:val="both"/>
        <w:rPr>
          <w:szCs w:val="22"/>
        </w:rPr>
      </w:pPr>
      <w:r>
        <w:t>Capital Gains</w:t>
      </w:r>
    </w:p>
    <w:p w14:paraId="30F3928D" w14:textId="77777777" w:rsidR="00974EAA" w:rsidRPr="00DB41E3" w:rsidRDefault="00974EAA" w:rsidP="009D51EB">
      <w:pPr>
        <w:spacing w:after="0" w:line="240" w:lineRule="auto"/>
        <w:jc w:val="both"/>
        <w:rPr>
          <w:rFonts w:ascii="Times New Roman" w:hAnsi="Times New Roman" w:cs="Times New Roman"/>
        </w:rPr>
      </w:pPr>
      <w:r/>
    </w:p>
    <w:p w14:paraId="0A2C854C" w14:textId="6F33C756"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would be characterised as LTCG or STCG. The Indian income tax implications in the hands of the Non-resident investors being a non-resident as per the IT Act shall depend on the characterisation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STCG on transfer of (i) listed equity shares through the recognised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(i) listed equity shares through the recognised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r/>
    </w:p>
    <w:p w14:paraId="1B085859" w14:textId="77777777" w:rsidR="00713EA1" w:rsidRPr="00DB41E3" w:rsidRDefault="00713EA1" w:rsidP="009D51EB">
      <w:pPr>
        <w:spacing w:after="0" w:line="240" w:lineRule="auto"/>
        <w:jc w:val="both"/>
        <w:rPr>
          <w:rFonts w:ascii="Times New Roman" w:hAnsi="Times New Roman" w:cs="Times New Roman"/>
        </w:rPr>
      </w:pPr>
      <w:r>
        <w:t>Notes:</w:t>
      </w:r>
    </w:p>
    <w:p w14:paraId="36EEC88A" w14:textId="77777777" w:rsidR="00580C21" w:rsidRPr="00DB41E3" w:rsidRDefault="00713EA1" w:rsidP="009D51EB">
      <w:pPr>
        <w:pStyle w:val="ListParagraph"/>
        <w:numPr>
          <w:ilvl w:val="0"/>
          <w:numId w:val="207"/>
        </w:numPr>
        <w:ind w:left="540"/>
        <w:jc w:val="both"/>
        <w:rPr>
          <w:szCs w:val="22"/>
        </w:rPr>
      </w:pPr>
      <w: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t>LTCG above INR 1 lakh on following transfers shall be taxable at 10% (excluding surcharge and cess):</w:t>
      </w:r>
    </w:p>
    <w:p w14:paraId="1476E12A" w14:textId="77777777" w:rsidR="004D3C3A" w:rsidRPr="00DB41E3" w:rsidRDefault="00713EA1" w:rsidP="009D51EB">
      <w:pPr>
        <w:pStyle w:val="ListParagraph"/>
        <w:numPr>
          <w:ilvl w:val="0"/>
          <w:numId w:val="195"/>
        </w:numPr>
        <w:ind w:left="900"/>
        <w:jc w:val="both"/>
        <w:rPr>
          <w:szCs w:val="22"/>
        </w:rPr>
      </w:pPr>
      <w: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r/>
    </w:p>
    <w:p w14:paraId="173925A1" w14:textId="33C5F7E8" w:rsidR="00713EA1" w:rsidRPr="00DB41E3" w:rsidRDefault="00713EA1" w:rsidP="009D51EB">
      <w:pPr>
        <w:spacing w:after="0" w:line="240" w:lineRule="auto"/>
        <w:ind w:left="630"/>
        <w:jc w:val="both"/>
        <w:rPr>
          <w:rFonts w:ascii="Times New Roman" w:hAnsi="Times New Roman" w:cs="Times New Roman"/>
        </w:rPr>
      </w:pPr>
      <w: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r/>
    </w:p>
    <w:p w14:paraId="75E58B78" w14:textId="6DB78AFF" w:rsidR="00713EA1" w:rsidRPr="00DB41E3" w:rsidRDefault="00713EA1" w:rsidP="009D51EB">
      <w:pPr>
        <w:spacing w:after="0" w:line="240" w:lineRule="auto"/>
        <w:ind w:left="630"/>
        <w:jc w:val="both"/>
        <w:rPr>
          <w:rFonts w:ascii="Times New Roman" w:hAnsi="Times New Roman" w:cs="Times New Roman"/>
        </w:rPr>
      </w:pPr>
      <w:r>
        <w:t>The CBDT has issued a notification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r/>
    </w:p>
    <w:p w14:paraId="4AD88941" w14:textId="5493AD18" w:rsidR="00713EA1" w:rsidRPr="00DB41E3" w:rsidRDefault="00713EA1" w:rsidP="009D51EB">
      <w:pPr>
        <w:spacing w:after="0" w:line="240" w:lineRule="auto"/>
        <w:ind w:left="630"/>
        <w:jc w:val="both"/>
        <w:rPr>
          <w:rFonts w:ascii="Times New Roman" w:hAnsi="Times New Roman" w:cs="Times New Roman"/>
        </w:rPr>
      </w:pPr>
      <w:r>
        <w:t xml:space="preserve">Based on judicial precedents, non-residents may avail the concessional tax rate (as mentioned above). However, the possibility of Indian Tax Authorities disregarding the said position and applying a tax rate of 20% (plus applicable surcharge and cess)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r/>
    </w:p>
    <w:p w14:paraId="70166751" w14:textId="77777777" w:rsidR="00713EA1" w:rsidRPr="00DB41E3" w:rsidRDefault="00713EA1" w:rsidP="009D51EB">
      <w:pPr>
        <w:pStyle w:val="ListParagraph"/>
        <w:numPr>
          <w:ilvl w:val="0"/>
          <w:numId w:val="207"/>
        </w:numPr>
        <w:ind w:left="540"/>
        <w:jc w:val="both"/>
        <w:rPr>
          <w:szCs w:val="22"/>
        </w:rPr>
      </w:pPr>
      <w: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realised.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t>The cost of acquisition of bonus shares should be taken as ‘Nil’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r/>
    </w:p>
    <w:p w14:paraId="22354C1A" w14:textId="730CAC28" w:rsidR="00713EA1" w:rsidRPr="00DB41E3" w:rsidRDefault="00713EA1" w:rsidP="009D51EB">
      <w:pPr>
        <w:spacing w:after="0" w:line="240" w:lineRule="auto"/>
        <w:jc w:val="both"/>
        <w:rPr>
          <w:rFonts w:ascii="Times New Roman" w:hAnsi="Times New Roman" w:cs="Times New Roman"/>
        </w:rPr>
      </w:pPr>
      <w:r>
        <w:t>Gains arising on transfer of units of Scheme - I from one Unit holder to another should be subject to income-tax. Depending on facts of the case of each Unit holder, the gains can be characterised as ‘capital gains’ or as ‘business income’. If the gains are characterised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t xml:space="preserve">Further, the taxability shall depend on DTAA provisions, where applicable, and other facts of such non-resident investors such as, if characterised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r/>
    </w:p>
    <w:p w14:paraId="44B1A942" w14:textId="25CCD789" w:rsidR="00603F7C" w:rsidRPr="00DB41E3" w:rsidRDefault="00713EA1" w:rsidP="009D51EB">
      <w:pPr>
        <w:spacing w:after="0" w:line="240" w:lineRule="auto"/>
        <w:jc w:val="both"/>
        <w:rPr>
          <w:rFonts w:ascii="Times New Roman" w:hAnsi="Times New Roman" w:cs="Times New Roman"/>
        </w:rPr>
      </w:pPr>
      <w:r>
        <w:t>There are no specific provisions under the IT Act, with regard to the characterisation of the premium received on redemption of debentures. Considering the fact that the securities are held as a capital asset, premium on redemption of securities should either be treated as ‘interest’ or as ‘capital gains’. The characterisation of premium on redemption of securities as interest or a capital gains has to be decided based on factors surrounding the relevant case. Taxability of ‘interest’ and ‘capital gains’ in the hands of the investors is provided in earlier paragraphs.</w:t>
      </w:r>
    </w:p>
    <w:p w14:paraId="3E75708C" w14:textId="77777777" w:rsidR="00FE1303" w:rsidRPr="00DB41E3" w:rsidRDefault="00FE1303" w:rsidP="009D51EB">
      <w:pPr>
        <w:spacing w:after="0" w:line="240" w:lineRule="auto"/>
        <w:jc w:val="both"/>
        <w:rPr>
          <w:rFonts w:ascii="Times New Roman" w:hAnsi="Times New Roman" w:cs="Times New Roman"/>
        </w:rPr>
      </w:pPr>
      <w:r/>
    </w:p>
    <w:p w14:paraId="41E86870" w14:textId="5F8A1A9C" w:rsidR="00713EA1" w:rsidRPr="00DB41E3" w:rsidRDefault="00713EA1" w:rsidP="009D51EB">
      <w:pPr>
        <w:pStyle w:val="ListParagraph"/>
        <w:numPr>
          <w:ilvl w:val="1"/>
          <w:numId w:val="196"/>
        </w:numPr>
        <w:ind w:left="540" w:hanging="540"/>
        <w:jc w:val="both"/>
        <w:rPr>
          <w:szCs w:val="22"/>
        </w:rPr>
      </w:pPr>
      <w: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r/>
    </w:p>
    <w:p w14:paraId="0FE7472B" w14:textId="502BC995" w:rsidR="005904A9" w:rsidRPr="00DB41E3" w:rsidRDefault="00713EA1" w:rsidP="009D51EB">
      <w:pPr>
        <w:pStyle w:val="ListParagraph"/>
        <w:numPr>
          <w:ilvl w:val="0"/>
          <w:numId w:val="197"/>
        </w:numPr>
        <w:ind w:left="360"/>
        <w:jc w:val="both"/>
        <w:rPr>
          <w:szCs w:val="22"/>
        </w:rPr>
      </w:pPr>
      <w: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t>Gains arising on transfer of units of Mutual Fund should be subject to income-tax. Where the gains are characterised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t>Where the gains are characterised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r/>
    </w:p>
    <w:p w14:paraId="5487381A" w14:textId="77777777" w:rsidR="00713EA1" w:rsidRPr="00DB41E3" w:rsidRDefault="00713EA1" w:rsidP="009D51EB">
      <w:pPr>
        <w:pStyle w:val="ListParagraph"/>
        <w:numPr>
          <w:ilvl w:val="1"/>
          <w:numId w:val="196"/>
        </w:numPr>
        <w:ind w:left="540" w:hanging="540"/>
        <w:jc w:val="both"/>
        <w:rPr>
          <w:szCs w:val="22"/>
        </w:rPr>
      </w:pPr>
      <w: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r/>
    </w:p>
    <w:p w14:paraId="673DDADD" w14:textId="28162D77" w:rsidR="00713EA1" w:rsidRPr="00DB41E3" w:rsidRDefault="00713EA1" w:rsidP="009D51EB">
      <w:pPr>
        <w:spacing w:after="0" w:line="240" w:lineRule="auto"/>
        <w:jc w:val="both"/>
        <w:rPr>
          <w:rFonts w:ascii="Times New Roman" w:hAnsi="Times New Roman" w:cs="Times New Roman"/>
        </w:rPr>
      </w:pPr>
      <w:r>
        <w:t>As per section 56(2)(x)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r/>
    </w:p>
    <w:p w14:paraId="2D675BAD" w14:textId="6C3695B7" w:rsidR="00713EA1" w:rsidRPr="00DB41E3" w:rsidRDefault="00713EA1" w:rsidP="009D51EB">
      <w:pPr>
        <w:spacing w:after="0" w:line="240" w:lineRule="auto"/>
        <w:jc w:val="both"/>
        <w:rPr>
          <w:rFonts w:ascii="Times New Roman" w:hAnsi="Times New Roman" w:cs="Times New Roman"/>
        </w:rPr>
      </w:pPr>
      <w:r>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r/>
    </w:p>
    <w:p w14:paraId="12D9D3E8" w14:textId="62A9B323" w:rsidR="00713EA1" w:rsidRPr="00DB41E3" w:rsidRDefault="00713EA1" w:rsidP="009D51EB">
      <w:pPr>
        <w:spacing w:after="0" w:line="240" w:lineRule="auto"/>
        <w:jc w:val="both"/>
        <w:rPr>
          <w:rFonts w:ascii="Times New Roman" w:hAnsi="Times New Roman" w:cs="Times New Roman"/>
        </w:rPr>
      </w:pPr>
      <w: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r/>
    </w:p>
    <w:p w14:paraId="123BC603" w14:textId="6DFCB881" w:rsidR="00713EA1" w:rsidRPr="00DB41E3" w:rsidRDefault="00713EA1" w:rsidP="009D51EB">
      <w:pPr>
        <w:spacing w:after="0" w:line="240" w:lineRule="auto"/>
        <w:jc w:val="both"/>
        <w:rPr>
          <w:rFonts w:ascii="Times New Roman" w:hAnsi="Times New Roman" w:cs="Times New Roman"/>
        </w:rPr>
      </w:pPr>
      <w: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r/>
    </w:p>
    <w:p w14:paraId="16B86ED2" w14:textId="6C1CCB86" w:rsidR="00FE1303" w:rsidRPr="00DB41E3" w:rsidRDefault="00713EA1" w:rsidP="009D51EB">
      <w:pPr>
        <w:spacing w:after="0" w:line="240" w:lineRule="auto"/>
        <w:jc w:val="both"/>
        <w:rPr>
          <w:rFonts w:ascii="Times New Roman" w:hAnsi="Times New Roman" w:cs="Times New Roman"/>
        </w:rPr>
      </w:pPr>
      <w: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r/>
    </w:p>
    <w:p w14:paraId="642144E8" w14:textId="76417AC9" w:rsidR="00FE1303" w:rsidRPr="00DB41E3" w:rsidRDefault="00713EA1" w:rsidP="009D51EB">
      <w:pPr>
        <w:pStyle w:val="ListParagraph"/>
        <w:numPr>
          <w:ilvl w:val="1"/>
          <w:numId w:val="196"/>
        </w:numPr>
        <w:ind w:left="540" w:hanging="540"/>
        <w:jc w:val="both"/>
        <w:rPr>
          <w:szCs w:val="22"/>
        </w:rPr>
      </w:pPr>
      <w:r>
        <w:t>Deemed sale consideration on sale of unquoted shares</w:t>
        <w:br/>
      </w:r>
    </w:p>
    <w:p w14:paraId="5B20AE22" w14:textId="766670B6" w:rsidR="00713EA1" w:rsidRPr="00DB41E3" w:rsidRDefault="00713EA1" w:rsidP="009D51EB">
      <w:pPr>
        <w:spacing w:after="0" w:line="240" w:lineRule="auto"/>
        <w:jc w:val="both"/>
        <w:rPr>
          <w:rFonts w:ascii="Times New Roman" w:hAnsi="Times New Roman" w:cs="Times New Roman"/>
        </w:rPr>
      </w:pPr>
      <w: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t xml:space="preserve">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 </w:t>
      </w:r>
    </w:p>
    <w:p w14:paraId="1AA385F7" w14:textId="77777777" w:rsidR="00713EA1" w:rsidRPr="00DB41E3" w:rsidRDefault="00713EA1" w:rsidP="009D51EB">
      <w:pPr>
        <w:spacing w:after="0" w:line="240" w:lineRule="auto"/>
        <w:jc w:val="both"/>
        <w:rPr>
          <w:rFonts w:ascii="Times New Roman" w:hAnsi="Times New Roman" w:cs="Times New Roman"/>
        </w:rPr>
      </w:pPr>
      <w: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r/>
    </w:p>
    <w:p w14:paraId="2A3CC446" w14:textId="70301FB3" w:rsidR="00A80D8C" w:rsidRPr="00DB41E3" w:rsidRDefault="00713EA1" w:rsidP="009D51EB">
      <w:pPr>
        <w:spacing w:after="0" w:line="240" w:lineRule="auto"/>
        <w:jc w:val="both"/>
        <w:rPr>
          <w:rFonts w:ascii="Times New Roman" w:hAnsi="Times New Roman" w:cs="Times New Roman"/>
        </w:rPr>
      </w:pPr>
      <w: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r/>
    </w:p>
    <w:p w14:paraId="0676B696" w14:textId="448053E0" w:rsidR="00713EA1" w:rsidRPr="00DB41E3" w:rsidRDefault="00713EA1" w:rsidP="009D51EB">
      <w:pPr>
        <w:pStyle w:val="ListParagraph"/>
        <w:numPr>
          <w:ilvl w:val="1"/>
          <w:numId w:val="196"/>
        </w:numPr>
        <w:ind w:left="540" w:hanging="540"/>
        <w:jc w:val="both"/>
        <w:rPr>
          <w:szCs w:val="22"/>
        </w:rPr>
      </w:pPr>
      <w:r>
        <w:t>Income stripping</w:t>
      </w:r>
    </w:p>
    <w:p w14:paraId="0A1E8568" w14:textId="77777777" w:rsidR="00A80D8C" w:rsidRPr="00DB41E3" w:rsidRDefault="00A80D8C" w:rsidP="009D51EB">
      <w:pPr>
        <w:pStyle w:val="ListParagraph"/>
        <w:ind w:left="540"/>
        <w:jc w:val="both"/>
        <w:rPr>
          <w:szCs w:val="22"/>
        </w:rPr>
      </w:pPr>
      <w:r/>
    </w:p>
    <w:p w14:paraId="7EAE23BA" w14:textId="77777777" w:rsidR="00CD39EE" w:rsidRPr="00DB41E3" w:rsidRDefault="00713EA1" w:rsidP="009D51EB">
      <w:pPr>
        <w:spacing w:after="0" w:line="240" w:lineRule="auto"/>
        <w:jc w:val="both"/>
        <w:rPr>
          <w:rFonts w:ascii="Times New Roman" w:hAnsi="Times New Roman" w:cs="Times New Roman"/>
        </w:rPr>
      </w:pPr>
      <w:r>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p>
    <w:p w14:paraId="17F77B19" w14:textId="77777777" w:rsidR="00D24B0A" w:rsidRPr="00DB41E3" w:rsidRDefault="00D24B0A" w:rsidP="009D51EB">
      <w:pPr>
        <w:spacing w:after="0" w:line="240" w:lineRule="auto"/>
        <w:jc w:val="both"/>
        <w:rPr>
          <w:rFonts w:ascii="Times New Roman" w:hAnsi="Times New Roman" w:cs="Times New Roman"/>
        </w:rPr>
      </w:pPr>
      <w:r/>
    </w:p>
    <w:p w14:paraId="5B8FD25D" w14:textId="5DDA890C" w:rsidR="00713EA1" w:rsidRPr="00DB41E3" w:rsidRDefault="00713EA1" w:rsidP="009D51EB">
      <w:pPr>
        <w:pStyle w:val="ListParagraph"/>
        <w:numPr>
          <w:ilvl w:val="1"/>
          <w:numId w:val="196"/>
        </w:numPr>
        <w:ind w:left="540" w:hanging="540"/>
        <w:jc w:val="both"/>
        <w:rPr>
          <w:szCs w:val="22"/>
        </w:rPr>
      </w:pPr>
      <w:r>
        <w:t>Dividend stripping</w:t>
      </w:r>
    </w:p>
    <w:p w14:paraId="23C8837A" w14:textId="77777777" w:rsidR="00A80D8C" w:rsidRPr="00DB41E3" w:rsidRDefault="00A80D8C" w:rsidP="009D51EB">
      <w:pPr>
        <w:pStyle w:val="ListParagraph"/>
        <w:ind w:left="540"/>
        <w:jc w:val="both"/>
        <w:rPr>
          <w:szCs w:val="22"/>
        </w:rPr>
      </w:pPr>
      <w:r/>
    </w:p>
    <w:p w14:paraId="378613A0" w14:textId="799D9B7D" w:rsidR="00713EA1" w:rsidRPr="00DB41E3" w:rsidRDefault="00713EA1" w:rsidP="009D51EB">
      <w:pPr>
        <w:spacing w:after="0" w:line="240" w:lineRule="auto"/>
        <w:jc w:val="both"/>
        <w:rPr>
          <w:rFonts w:ascii="Times New Roman" w:hAnsi="Times New Roman" w:cs="Times New Roman"/>
        </w:rPr>
      </w:pPr>
      <w: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(i)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r/>
    </w:p>
    <w:p w14:paraId="58009DB9" w14:textId="29F3EB44" w:rsidR="00713EA1"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r/>
    </w:p>
    <w:p w14:paraId="31A5A021" w14:textId="50D70DFF" w:rsidR="00713EA1" w:rsidRPr="00DB41E3" w:rsidRDefault="00713EA1" w:rsidP="009D51EB">
      <w:pPr>
        <w:pStyle w:val="ListParagraph"/>
        <w:numPr>
          <w:ilvl w:val="1"/>
          <w:numId w:val="196"/>
        </w:numPr>
        <w:ind w:left="540" w:hanging="540"/>
        <w:jc w:val="both"/>
        <w:rPr>
          <w:szCs w:val="22"/>
        </w:rPr>
      </w:pPr>
      <w:r>
        <w:t>Bonus stripping</w:t>
      </w:r>
    </w:p>
    <w:p w14:paraId="6540BE9C" w14:textId="77777777" w:rsidR="00A80D8C" w:rsidRPr="00DB41E3" w:rsidRDefault="00A80D8C" w:rsidP="009D51EB">
      <w:pPr>
        <w:pStyle w:val="ListParagraph"/>
        <w:ind w:left="540"/>
        <w:jc w:val="both"/>
        <w:rPr>
          <w:szCs w:val="22"/>
        </w:rPr>
      </w:pPr>
      <w:r/>
    </w:p>
    <w:p w14:paraId="39FCF2DF" w14:textId="77777777" w:rsidR="00713EA1" w:rsidRPr="00DB41E3" w:rsidRDefault="00713EA1" w:rsidP="009D51EB">
      <w:pPr>
        <w:spacing w:after="0" w:line="240" w:lineRule="auto"/>
        <w:jc w:val="both"/>
        <w:rPr>
          <w:rFonts w:ascii="Times New Roman" w:hAnsi="Times New Roman" w:cs="Times New Roman"/>
        </w:rPr>
      </w:pPr>
      <w: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r/>
    </w:p>
    <w:p w14:paraId="7D568979" w14:textId="45EF53E3" w:rsidR="00713EA1" w:rsidRPr="00DB41E3" w:rsidRDefault="00713EA1" w:rsidP="009D51EB">
      <w:pPr>
        <w:pStyle w:val="ListParagraph"/>
        <w:numPr>
          <w:ilvl w:val="1"/>
          <w:numId w:val="196"/>
        </w:numPr>
        <w:ind w:left="540" w:hanging="540"/>
        <w:jc w:val="both"/>
        <w:rPr>
          <w:szCs w:val="22"/>
        </w:rPr>
      </w:pPr>
      <w: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r/>
    </w:p>
    <w:p w14:paraId="163770A5" w14:textId="151E487F" w:rsidR="00713EA1" w:rsidRPr="00DB41E3" w:rsidRDefault="00713EA1" w:rsidP="009D51EB">
      <w:pPr>
        <w:spacing w:after="0" w:line="240" w:lineRule="auto"/>
        <w:jc w:val="both"/>
        <w:rPr>
          <w:rFonts w:ascii="Times New Roman" w:hAnsi="Times New Roman" w:cs="Times New Roman"/>
        </w:rPr>
      </w:pPr>
      <w:r>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r/>
    </w:p>
    <w:p w14:paraId="78BDB9A3" w14:textId="52A20206" w:rsidR="00713EA1" w:rsidRPr="00DB41E3" w:rsidRDefault="00713EA1" w:rsidP="009D51EB">
      <w:pPr>
        <w:pStyle w:val="ListParagraph"/>
        <w:numPr>
          <w:ilvl w:val="1"/>
          <w:numId w:val="196"/>
        </w:numPr>
        <w:ind w:left="540" w:hanging="540"/>
        <w:jc w:val="both"/>
        <w:rPr>
          <w:szCs w:val="22"/>
        </w:rPr>
      </w:pPr>
      <w:r>
        <w:t>Withholding tax provisions</w:t>
      </w:r>
    </w:p>
    <w:p w14:paraId="2C349020" w14:textId="77777777" w:rsidR="00A80D8C" w:rsidRPr="00DB41E3" w:rsidRDefault="00A80D8C" w:rsidP="009D51EB">
      <w:pPr>
        <w:pStyle w:val="ListParagraph"/>
        <w:ind w:left="540"/>
        <w:jc w:val="both"/>
        <w:rPr>
          <w:szCs w:val="22"/>
        </w:rPr>
      </w:pPr>
      <w:r/>
    </w:p>
    <w:p w14:paraId="6C7CE875" w14:textId="489F3AA8" w:rsidR="00713EA1" w:rsidRPr="00DB41E3" w:rsidRDefault="00713EA1" w:rsidP="009D51EB">
      <w:pPr>
        <w:spacing w:after="0" w:line="240" w:lineRule="auto"/>
        <w:jc w:val="both"/>
        <w:rPr>
          <w:rFonts w:ascii="Times New Roman" w:hAnsi="Times New Roman" w:cs="Times New Roman"/>
          <w:u w:val="single"/>
        </w:rPr>
      </w:pPr>
      <w: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r/>
    </w:p>
    <w:p w14:paraId="7B33DCA3" w14:textId="1A7077CF" w:rsidR="00713EA1" w:rsidRPr="00DB41E3" w:rsidRDefault="00713EA1" w:rsidP="009D51EB">
      <w:pPr>
        <w:spacing w:after="0" w:line="240" w:lineRule="auto"/>
        <w:jc w:val="both"/>
        <w:rPr>
          <w:rFonts w:ascii="Times New Roman" w:hAnsi="Times New Roman" w:cs="Times New Roman"/>
        </w:rPr>
      </w:pPr>
      <w:r>
        <w:t>As per the CBDT notification,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r/>
    </w:p>
    <w:p w14:paraId="2F1B4ECA" w14:textId="0B8C3ECA" w:rsidR="00713EA1" w:rsidRPr="00DB41E3" w:rsidRDefault="00713EA1" w:rsidP="009D51EB">
      <w:pPr>
        <w:spacing w:after="0" w:line="240" w:lineRule="auto"/>
        <w:jc w:val="both"/>
        <w:rPr>
          <w:rFonts w:ascii="Times New Roman" w:hAnsi="Times New Roman" w:cs="Times New Roman"/>
          <w:u w:val="single"/>
        </w:rPr>
      </w:pPr>
      <w: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r/>
    </w:p>
    <w:p w14:paraId="45AA65DD" w14:textId="69AB7A2E" w:rsidR="00713EA1" w:rsidRPr="00DB41E3" w:rsidRDefault="00713EA1" w:rsidP="009D51EB">
      <w:pPr>
        <w:spacing w:after="0" w:line="240" w:lineRule="auto"/>
        <w:jc w:val="both"/>
        <w:rPr>
          <w:rFonts w:ascii="Times New Roman" w:hAnsi="Times New Roman" w:cs="Times New Roman"/>
        </w:rPr>
      </w:pPr>
      <w: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r/>
    </w:p>
    <w:p w14:paraId="61FCEA6C" w14:textId="77777777" w:rsidR="00D83D80" w:rsidRPr="00DB41E3" w:rsidRDefault="00713EA1" w:rsidP="009D51EB">
      <w:pPr>
        <w:pStyle w:val="ListParagraph"/>
        <w:numPr>
          <w:ilvl w:val="0"/>
          <w:numId w:val="198"/>
        </w:numPr>
        <w:ind w:left="360"/>
        <w:jc w:val="both"/>
        <w:rPr>
          <w:szCs w:val="22"/>
        </w:rPr>
      </w:pPr>
      <w: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r/>
    </w:p>
    <w:p w14:paraId="627B7A96" w14:textId="77777777" w:rsidR="00713EA1" w:rsidRPr="00DB41E3" w:rsidRDefault="00713EA1" w:rsidP="009D51EB">
      <w:pPr>
        <w:spacing w:after="0" w:line="240" w:lineRule="auto"/>
        <w:jc w:val="both"/>
        <w:rPr>
          <w:rFonts w:ascii="Times New Roman" w:hAnsi="Times New Roman" w:cs="Times New Roman"/>
        </w:rPr>
      </w:pPr>
      <w: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r/>
    </w:p>
    <w:p w14:paraId="1D448C4F" w14:textId="1A8E633F" w:rsidR="00CD39EE" w:rsidRPr="00DB41E3" w:rsidRDefault="00713EA1" w:rsidP="009D51EB">
      <w:pPr>
        <w:spacing w:after="0" w:line="240" w:lineRule="auto"/>
        <w:jc w:val="both"/>
        <w:rPr>
          <w:rFonts w:ascii="Times New Roman" w:hAnsi="Times New Roman" w:cs="Times New Roman"/>
        </w:rPr>
      </w:pPr>
      <w: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t>Tax deducted at source (“TDS”) on purchase of goods</w:t>
      </w:r>
    </w:p>
    <w:p w14:paraId="6089795E" w14:textId="77777777" w:rsidR="004B4C36" w:rsidRPr="00DB41E3" w:rsidRDefault="004B4C36" w:rsidP="009D51EB">
      <w:pPr>
        <w:pStyle w:val="ListParagraph"/>
        <w:ind w:left="540"/>
        <w:jc w:val="both"/>
        <w:rPr>
          <w:szCs w:val="22"/>
          <w:u w:val="single"/>
        </w:rPr>
      </w:pPr>
      <w:r/>
    </w:p>
    <w:p w14:paraId="244EEEDA" w14:textId="77777777" w:rsidR="00B06FC1" w:rsidRPr="00DB41E3" w:rsidRDefault="00713EA1" w:rsidP="009D51EB">
      <w:pPr>
        <w:spacing w:after="0" w:line="240" w:lineRule="auto"/>
        <w:jc w:val="both"/>
        <w:rPr>
          <w:rFonts w:ascii="Times New Roman" w:hAnsi="Times New Roman" w:cs="Times New Roman"/>
        </w:rPr>
      </w:pPr>
      <w: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r/>
    </w:p>
    <w:p w14:paraId="4C581601" w14:textId="01A96C9F" w:rsidR="00713EA1" w:rsidRPr="00DB41E3" w:rsidRDefault="00713EA1" w:rsidP="009D51EB">
      <w:pPr>
        <w:spacing w:after="0" w:line="240" w:lineRule="auto"/>
        <w:jc w:val="both"/>
        <w:rPr>
          <w:rFonts w:ascii="Times New Roman" w:hAnsi="Times New Roman" w:cs="Times New Roman"/>
        </w:rPr>
      </w:pPr>
      <w:r>
        <w:t xml:space="preserve">It should, however, be noted that the abovementioned provisions are not applicable where </w:t>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r/>
    </w:p>
    <w:p w14:paraId="34141764" w14:textId="58386313" w:rsidR="007E7E57" w:rsidRPr="00DB41E3" w:rsidRDefault="00713EA1" w:rsidP="009D51EB">
      <w:pPr>
        <w:spacing w:after="0" w:line="240" w:lineRule="auto"/>
        <w:jc w:val="both"/>
        <w:rPr>
          <w:rFonts w:ascii="Times New Roman" w:hAnsi="Times New Roman" w:cs="Times New Roman"/>
        </w:rPr>
      </w:pPr>
      <w: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r/>
    </w:p>
    <w:p w14:paraId="1AD89213" w14:textId="0687D898" w:rsidR="00C64896" w:rsidRPr="00DB41E3" w:rsidRDefault="00713EA1" w:rsidP="009D51EB">
      <w:pPr>
        <w:spacing w:after="0" w:line="240" w:lineRule="auto"/>
        <w:jc w:val="both"/>
        <w:rPr>
          <w:rFonts w:ascii="Times New Roman" w:hAnsi="Times New Roman" w:cs="Times New Roman"/>
          <w:u w:val="single"/>
        </w:rPr>
      </w:pPr>
      <w:r>
        <w:t>Withholding at a higher rate</w:t>
      </w:r>
    </w:p>
    <w:p w14:paraId="248CFB77" w14:textId="77777777" w:rsidR="007E7E57" w:rsidRPr="00DB41E3" w:rsidRDefault="007E7E57" w:rsidP="009D51EB">
      <w:pPr>
        <w:pStyle w:val="ListParagraph"/>
        <w:ind w:left="540"/>
        <w:jc w:val="both"/>
        <w:rPr>
          <w:szCs w:val="22"/>
          <w:u w:val="single"/>
        </w:rPr>
      </w:pPr>
      <w:r/>
    </w:p>
    <w:p w14:paraId="72C30C95" w14:textId="0B099D22" w:rsidR="00713EA1" w:rsidRPr="00DB41E3" w:rsidRDefault="00713EA1" w:rsidP="009D51EB">
      <w:pPr>
        <w:spacing w:after="0" w:line="240" w:lineRule="auto"/>
        <w:jc w:val="both"/>
        <w:rPr>
          <w:rFonts w:ascii="Times New Roman" w:hAnsi="Times New Roman" w:cs="Times New Roman"/>
        </w:rPr>
      </w:pPr>
      <w: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r/>
    </w:p>
    <w:p w14:paraId="41652149" w14:textId="7B267B97" w:rsidR="00713EA1" w:rsidRPr="00DB41E3" w:rsidRDefault="00713EA1" w:rsidP="009D51EB">
      <w:pPr>
        <w:spacing w:after="0" w:line="240" w:lineRule="auto"/>
        <w:jc w:val="both"/>
        <w:rPr>
          <w:rFonts w:ascii="Times New Roman" w:hAnsi="Times New Roman" w:cs="Times New Roman"/>
        </w:rPr>
      </w:pPr>
      <w: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r/>
    </w:p>
    <w:p w14:paraId="5FBAC5C9" w14:textId="1E6DD279" w:rsidR="00713EA1" w:rsidRPr="00DB41E3" w:rsidRDefault="00713EA1" w:rsidP="009D51EB">
      <w:pPr>
        <w:spacing w:after="0" w:line="240" w:lineRule="auto"/>
        <w:jc w:val="both"/>
        <w:rPr>
          <w:rFonts w:ascii="Times New Roman" w:hAnsi="Times New Roman" w:cs="Times New Roman"/>
        </w:rPr>
      </w:pPr>
      <w:r>
        <w:t>However, based on the CBDT notification,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 of the IT Rules.</w:t>
      </w:r>
    </w:p>
    <w:p w14:paraId="763037EE" w14:textId="77777777" w:rsidR="00B06FC1" w:rsidRPr="00DB41E3" w:rsidRDefault="00B06FC1" w:rsidP="009D51EB">
      <w:pPr>
        <w:spacing w:after="0" w:line="240" w:lineRule="auto"/>
        <w:jc w:val="both"/>
        <w:rPr>
          <w:rFonts w:ascii="Times New Roman" w:hAnsi="Times New Roman" w:cs="Times New Roman"/>
        </w:rPr>
      </w:pPr>
      <w:r/>
    </w:p>
    <w:p w14:paraId="62875067" w14:textId="77777777" w:rsidR="00713EA1" w:rsidRPr="00DB41E3" w:rsidRDefault="00713EA1" w:rsidP="009D51EB">
      <w:pPr>
        <w:spacing w:after="0" w:line="240" w:lineRule="auto"/>
        <w:jc w:val="both"/>
        <w:rPr>
          <w:rFonts w:ascii="Times New Roman" w:hAnsi="Times New Roman" w:cs="Times New Roman"/>
        </w:rPr>
      </w:pPr>
      <w: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t>5%</w:t>
      </w:r>
    </w:p>
    <w:p w14:paraId="6BB72FD3" w14:textId="32DEACB5" w:rsidR="00847DEE" w:rsidRPr="00DB41E3" w:rsidRDefault="00713EA1" w:rsidP="009D51EB">
      <w:pPr>
        <w:spacing w:after="0" w:line="240" w:lineRule="auto"/>
        <w:jc w:val="both"/>
        <w:rPr>
          <w:rFonts w:ascii="Times New Roman" w:hAnsi="Times New Roman" w:cs="Times New Roman"/>
        </w:rPr>
      </w:pPr>
      <w:r>
        <w:t>on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r/>
    </w:p>
    <w:p w14:paraId="10564B67" w14:textId="10A6E2F2" w:rsidR="00847DEE" w:rsidRPr="00DB41E3" w:rsidRDefault="00713EA1" w:rsidP="009D51EB">
      <w:pPr>
        <w:spacing w:after="0" w:line="240" w:lineRule="auto"/>
        <w:jc w:val="both"/>
        <w:rPr>
          <w:rFonts w:ascii="Times New Roman" w:hAnsi="Times New Roman" w:cs="Times New Roman"/>
        </w:rPr>
      </w:pPr>
      <w: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r/>
    </w:p>
    <w:p w14:paraId="23C44C4C" w14:textId="7FC4463B" w:rsidR="00713EA1" w:rsidRPr="00DB41E3" w:rsidRDefault="00713EA1" w:rsidP="009D51EB">
      <w:pPr>
        <w:spacing w:after="0" w:line="240" w:lineRule="auto"/>
        <w:jc w:val="both"/>
        <w:rPr>
          <w:rFonts w:ascii="Times New Roman" w:hAnsi="Times New Roman" w:cs="Times New Roman"/>
        </w:rPr>
      </w:pPr>
      <w: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r/>
    </w:p>
    <w:p w14:paraId="3E72C244" w14:textId="3DA7044F" w:rsidR="00713EA1" w:rsidRPr="00DB41E3" w:rsidRDefault="00713EA1" w:rsidP="009D51EB">
      <w:pPr>
        <w:spacing w:after="0" w:line="240" w:lineRule="auto"/>
        <w:jc w:val="both"/>
        <w:rPr>
          <w:rFonts w:ascii="Times New Roman" w:hAnsi="Times New Roman" w:cs="Times New Roman"/>
        </w:rPr>
      </w:pPr>
      <w: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r/>
    </w:p>
    <w:p w14:paraId="59F240F7" w14:textId="7FF2B3CB" w:rsidR="00713EA1" w:rsidRPr="00DB41E3" w:rsidRDefault="00713EA1" w:rsidP="009D51EB">
      <w:pPr>
        <w:pStyle w:val="ListParagraph"/>
        <w:numPr>
          <w:ilvl w:val="1"/>
          <w:numId w:val="196"/>
        </w:numPr>
        <w:ind w:left="540" w:hanging="540"/>
        <w:jc w:val="both"/>
        <w:rPr>
          <w:szCs w:val="22"/>
        </w:rPr>
      </w:pPr>
      <w:r>
        <w:t>Tax collected at source (“TCS”) on sale of goods</w:t>
      </w:r>
    </w:p>
    <w:p w14:paraId="1CE85FEB" w14:textId="77777777" w:rsidR="004F56CA" w:rsidRPr="00DB41E3" w:rsidRDefault="004F56CA" w:rsidP="009D51EB">
      <w:pPr>
        <w:pStyle w:val="ListParagraph"/>
        <w:ind w:left="540"/>
        <w:jc w:val="both"/>
        <w:rPr>
          <w:szCs w:val="22"/>
        </w:rPr>
      </w:pPr>
      <w:r/>
    </w:p>
    <w:p w14:paraId="3DB325D0" w14:textId="23D583CF" w:rsidR="00713EA1" w:rsidRPr="00DB41E3" w:rsidRDefault="00713EA1" w:rsidP="009D51EB">
      <w:pPr>
        <w:spacing w:after="0" w:line="240" w:lineRule="auto"/>
        <w:jc w:val="both"/>
        <w:rPr>
          <w:rFonts w:ascii="Times New Roman" w:hAnsi="Times New Roman" w:cs="Times New Roman"/>
        </w:rPr>
      </w:pPr>
      <w:r>
        <w:t>Section 206C(1H)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r/>
    </w:p>
    <w:p w14:paraId="14D1BB7C" w14:textId="5BF289A1" w:rsidR="00713EA1" w:rsidRPr="00DB41E3" w:rsidRDefault="00713EA1" w:rsidP="009D51EB">
      <w:pPr>
        <w:spacing w:after="0" w:line="240" w:lineRule="auto"/>
        <w:jc w:val="both"/>
        <w:rPr>
          <w:rFonts w:ascii="Times New Roman" w:hAnsi="Times New Roman" w:cs="Times New Roman"/>
        </w:rPr>
      </w:pPr>
      <w:r>
        <w:t>It should however be noted that CBDT has issued a circular clarifying that the above provision shall not apply to transactions in shares and commodities transacted through recognised stock exchanges / recognised clearing corporations, including those located in International Financial Service Centres.</w:t>
      </w:r>
    </w:p>
    <w:p w14:paraId="4AAF193A" w14:textId="77777777" w:rsidR="00FE2AC3" w:rsidRPr="00DB41E3" w:rsidRDefault="00FE2AC3" w:rsidP="009D51EB">
      <w:pPr>
        <w:spacing w:after="0" w:line="240" w:lineRule="auto"/>
        <w:jc w:val="both"/>
        <w:rPr>
          <w:rFonts w:ascii="Times New Roman" w:hAnsi="Times New Roman" w:cs="Times New Roman"/>
        </w:rPr>
      </w:pPr>
      <w:r/>
    </w:p>
    <w:p w14:paraId="521C1C7E" w14:textId="6FA9437B" w:rsidR="00713EA1" w:rsidRPr="00DB41E3" w:rsidRDefault="00713EA1" w:rsidP="009D51EB">
      <w:pPr>
        <w:spacing w:after="0" w:line="240" w:lineRule="auto"/>
        <w:jc w:val="both"/>
        <w:rPr>
          <w:rFonts w:ascii="Times New Roman" w:hAnsi="Times New Roman" w:cs="Times New Roman"/>
        </w:rPr>
      </w:pPr>
      <w:r>
        <w:t>However, the aforesaid provisions shall not apply,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r/>
    </w:p>
    <w:p w14:paraId="4A504B01" w14:textId="3F58DD91" w:rsidR="00713EA1" w:rsidRPr="00DB41E3" w:rsidRDefault="00713EA1" w:rsidP="009D51EB">
      <w:pPr>
        <w:spacing w:after="0" w:line="240" w:lineRule="auto"/>
        <w:jc w:val="both"/>
        <w:rPr>
          <w:rFonts w:ascii="Times New Roman" w:hAnsi="Times New Roman" w:cs="Times New Roman"/>
        </w:rPr>
      </w:pPr>
      <w:r>
        <w:t>Further, where the buyer (not being a non-resident who does not have a permanent establishment in India) does not furnish his PAN or Aadhar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r/>
    </w:p>
    <w:p w14:paraId="74EC4064" w14:textId="55DE685F" w:rsidR="00713EA1" w:rsidRPr="00DB41E3" w:rsidRDefault="00713EA1" w:rsidP="009D51EB">
      <w:pPr>
        <w:spacing w:after="0" w:line="240" w:lineRule="auto"/>
        <w:jc w:val="both"/>
        <w:rPr>
          <w:rFonts w:ascii="Times New Roman" w:hAnsi="Times New Roman" w:cs="Times New Roman"/>
        </w:rPr>
      </w:pPr>
      <w: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r/>
    </w:p>
    <w:p w14:paraId="266F405B" w14:textId="77777777" w:rsidR="00713EA1" w:rsidRPr="00DB41E3" w:rsidRDefault="00713EA1" w:rsidP="009D51EB">
      <w:pPr>
        <w:spacing w:after="0" w:line="240" w:lineRule="auto"/>
        <w:jc w:val="both"/>
        <w:rPr>
          <w:rFonts w:ascii="Times New Roman" w:hAnsi="Times New Roman" w:cs="Times New Roman"/>
        </w:rPr>
      </w:pPr>
      <w:r>
        <w:t xml:space="preserve">(i) 5%; or </w:t>
      </w:r>
    </w:p>
    <w:p w14:paraId="150498A3" w14:textId="77777777" w:rsidR="00713EA1" w:rsidRPr="00DB41E3" w:rsidRDefault="00713EA1" w:rsidP="009D51EB">
      <w:pPr>
        <w:spacing w:after="0" w:line="240" w:lineRule="auto"/>
        <w:jc w:val="both"/>
        <w:rPr>
          <w:rFonts w:ascii="Times New Roman" w:hAnsi="Times New Roman" w:cs="Times New Roman"/>
        </w:rPr>
      </w:pPr>
      <w:r>
        <w:t>(ii)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r/>
    </w:p>
    <w:p w14:paraId="3022FA08" w14:textId="747D0636" w:rsidR="00713EA1" w:rsidRPr="00DB41E3" w:rsidRDefault="00713EA1" w:rsidP="009D51EB">
      <w:pPr>
        <w:spacing w:after="0" w:line="240" w:lineRule="auto"/>
        <w:jc w:val="both"/>
        <w:rPr>
          <w:rFonts w:ascii="Times New Roman" w:hAnsi="Times New Roman" w:cs="Times New Roman"/>
        </w:rPr>
      </w:pPr>
      <w:r>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r/>
    </w:p>
    <w:p w14:paraId="0C43AD7A" w14:textId="77777777" w:rsidR="005B2224" w:rsidRPr="00DB41E3" w:rsidRDefault="00713EA1" w:rsidP="009D51EB">
      <w:pPr>
        <w:spacing w:after="0" w:line="240" w:lineRule="auto"/>
        <w:jc w:val="both"/>
        <w:rPr>
          <w:rFonts w:ascii="Times New Roman" w:hAnsi="Times New Roman" w:cs="Times New Roman"/>
        </w:rPr>
      </w:pPr>
      <w:r>
        <w:t>Applicability for the Fund: The provisions of section 206C(1H)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206C(1H)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t>Minimum Alternate Tax (‘MAT’) / Alternate Minimum Tax (‘AMT’)</w:t>
      </w:r>
    </w:p>
    <w:p w14:paraId="2D92A787" w14:textId="77777777" w:rsidR="00BE0900" w:rsidRPr="00DB41E3" w:rsidRDefault="00BE0900" w:rsidP="009D51EB">
      <w:pPr>
        <w:pStyle w:val="ListParagraph"/>
        <w:ind w:left="540"/>
        <w:jc w:val="both"/>
        <w:rPr>
          <w:szCs w:val="22"/>
        </w:rPr>
      </w:pPr>
      <w:r/>
    </w:p>
    <w:p w14:paraId="717F4B09" w14:textId="1B62E283" w:rsidR="00713EA1" w:rsidRPr="00DB41E3" w:rsidRDefault="00713EA1" w:rsidP="009D51EB">
      <w:pPr>
        <w:spacing w:after="0" w:line="240" w:lineRule="auto"/>
        <w:jc w:val="both"/>
        <w:rPr>
          <w:rFonts w:ascii="Times New Roman" w:hAnsi="Times New Roman" w:cs="Times New Roman"/>
        </w:rPr>
      </w:pPr>
      <w:r>
        <w:t>The IT Act provides for levy of MAT on corporates and AMT on non-corporates. If MAT / AMT is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r/>
    </w:p>
    <w:p w14:paraId="18C2FAFC" w14:textId="77777777" w:rsidR="00713EA1" w:rsidRPr="00DB41E3" w:rsidRDefault="00713EA1" w:rsidP="009D51EB">
      <w:pPr>
        <w:pStyle w:val="ListParagraph"/>
        <w:numPr>
          <w:ilvl w:val="0"/>
          <w:numId w:val="200"/>
        </w:numPr>
        <w:ind w:left="360"/>
        <w:jc w:val="both"/>
        <w:rPr>
          <w:szCs w:val="22"/>
          <w:u w:val="single"/>
        </w:rPr>
      </w:pPr>
      <w: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r/>
    </w:p>
    <w:p w14:paraId="09225140" w14:textId="1C66D028" w:rsidR="00270A14" w:rsidRPr="00DB41E3" w:rsidRDefault="00713EA1" w:rsidP="009D51EB">
      <w:pPr>
        <w:spacing w:after="0" w:line="240" w:lineRule="auto"/>
        <w:jc w:val="both"/>
        <w:rPr>
          <w:rFonts w:ascii="Times New Roman" w:hAnsi="Times New Roman" w:cs="Times New Roman"/>
        </w:rPr>
      </w:pPr>
      <w:r>
        <w:t xml:space="preserve">MAT at the rate of 15% plus surcharge and cess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r/>
    </w:p>
    <w:p w14:paraId="5BDD0734" w14:textId="79C0063F" w:rsidR="00713EA1" w:rsidRPr="00DB41E3" w:rsidRDefault="00713EA1" w:rsidP="009D51EB">
      <w:pPr>
        <w:spacing w:after="0" w:line="240" w:lineRule="auto"/>
        <w:jc w:val="both"/>
        <w:rPr>
          <w:rFonts w:ascii="Times New Roman" w:hAnsi="Times New Roman" w:cs="Times New Roman"/>
        </w:rPr>
      </w:pPr>
      <w:r>
        <w:t>For domestic companies exercising option to pay tax at the rate of 22% (plus applicable surcharge and cess)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r/>
    </w:p>
    <w:p w14:paraId="0C95C980" w14:textId="1AFED6A3" w:rsidR="00713EA1" w:rsidRPr="00DB41E3" w:rsidRDefault="00713EA1" w:rsidP="009D51EB">
      <w:pPr>
        <w:spacing w:after="0" w:line="240" w:lineRule="auto"/>
        <w:jc w:val="both"/>
        <w:rPr>
          <w:rFonts w:ascii="Times New Roman" w:hAnsi="Times New Roman" w:cs="Times New Roman"/>
        </w:rPr>
      </w:pPr>
      <w:r>
        <w:t xml:space="preserve">The IT Act provides for the framework for computation of book profit for Indian Accounting Standards (‘IndAS’)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r/>
    </w:p>
    <w:p w14:paraId="21FB762A" w14:textId="1F83CAC0" w:rsidR="00713EA1" w:rsidRPr="00DB41E3" w:rsidRDefault="00713EA1" w:rsidP="009D51EB">
      <w:pPr>
        <w:spacing w:after="0" w:line="240" w:lineRule="auto"/>
        <w:jc w:val="both"/>
        <w:rPr>
          <w:rFonts w:ascii="Times New Roman" w:hAnsi="Times New Roman" w:cs="Times New Roman"/>
        </w:rPr>
      </w:pPr>
      <w:r>
        <w:t>AMT at the rate of 18.5% (plus applicable surcharge and cess)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r/>
    </w:p>
    <w:p w14:paraId="2214612D" w14:textId="2412FDBA" w:rsidR="00713EA1" w:rsidRPr="00DB41E3" w:rsidRDefault="00713EA1" w:rsidP="009D51EB">
      <w:pPr>
        <w:spacing w:after="0" w:line="240" w:lineRule="auto"/>
        <w:jc w:val="both"/>
        <w:rPr>
          <w:rFonts w:ascii="Times New Roman" w:hAnsi="Times New Roman" w:cs="Times New Roman"/>
        </w:rPr>
      </w:pPr>
      <w: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r/>
    </w:p>
    <w:p w14:paraId="02B65824" w14:textId="3F30EC6F" w:rsidR="00D757D9" w:rsidRPr="00DB41E3" w:rsidRDefault="00713EA1" w:rsidP="009D51EB">
      <w:pPr>
        <w:spacing w:after="0" w:line="240" w:lineRule="auto"/>
        <w:jc w:val="both"/>
        <w:rPr>
          <w:rFonts w:ascii="Times New Roman" w:hAnsi="Times New Roman" w:cs="Times New Roman"/>
        </w:rPr>
      </w:pPr>
      <w: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r/>
    </w:p>
    <w:p w14:paraId="7BD918C9" w14:textId="051706D7" w:rsidR="00D757D9" w:rsidRPr="00DB41E3" w:rsidRDefault="00713EA1" w:rsidP="009D51EB">
      <w:pPr>
        <w:pStyle w:val="ListParagraph"/>
        <w:numPr>
          <w:ilvl w:val="0"/>
          <w:numId w:val="200"/>
        </w:numPr>
        <w:ind w:left="360"/>
        <w:jc w:val="both"/>
        <w:rPr>
          <w:szCs w:val="22"/>
          <w:u w:val="single"/>
        </w:rPr>
      </w:pPr>
      <w:r>
        <w:t>Non-resident Unit holders</w:t>
      </w:r>
    </w:p>
    <w:p w14:paraId="5F6E11B6" w14:textId="77777777" w:rsidR="00BE0900" w:rsidRPr="00DB41E3" w:rsidRDefault="00BE0900" w:rsidP="009D51EB">
      <w:pPr>
        <w:pStyle w:val="ListParagraph"/>
        <w:ind w:left="360"/>
        <w:contextualSpacing w:val="0"/>
        <w:jc w:val="both"/>
        <w:rPr>
          <w:szCs w:val="22"/>
        </w:rPr>
      </w:pPr>
      <w:r/>
    </w:p>
    <w:p w14:paraId="1AA156D9" w14:textId="0355515D" w:rsidR="00713EA1" w:rsidRPr="00DB41E3" w:rsidRDefault="00713EA1" w:rsidP="009D51EB">
      <w:pPr>
        <w:spacing w:after="0" w:line="240" w:lineRule="auto"/>
        <w:jc w:val="both"/>
        <w:rPr>
          <w:rFonts w:ascii="Times New Roman" w:hAnsi="Times New Roman" w:cs="Times New Roman"/>
        </w:rPr>
      </w:pPr>
      <w:r>
        <w:t>The MAT provisions are not applicable to a non-resident provided, (a) the assessee is a resident of a country with which India has DTAA and the assessee does not have a PE in India; or (b) the assessee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r/>
    </w:p>
    <w:p w14:paraId="11363F13" w14:textId="5029F2D7" w:rsidR="0099095B" w:rsidRPr="00DB41E3" w:rsidRDefault="00713EA1" w:rsidP="009D51EB">
      <w:pPr>
        <w:pStyle w:val="ListParagraph"/>
        <w:numPr>
          <w:ilvl w:val="1"/>
          <w:numId w:val="196"/>
        </w:numPr>
        <w:ind w:left="540" w:hanging="540"/>
        <w:jc w:val="both"/>
        <w:rPr>
          <w:szCs w:val="22"/>
        </w:rPr>
      </w:pPr>
      <w:r>
        <w:t>Buy-back Proceeds</w:t>
      </w:r>
    </w:p>
    <w:p w14:paraId="7455FB1E" w14:textId="77777777" w:rsidR="00BE0900" w:rsidRPr="00DB41E3" w:rsidRDefault="00BE0900" w:rsidP="009D51EB">
      <w:pPr>
        <w:pStyle w:val="ListParagraph"/>
        <w:ind w:left="540"/>
        <w:jc w:val="both"/>
        <w:rPr>
          <w:szCs w:val="22"/>
        </w:rPr>
      </w:pPr>
      <w:r/>
    </w:p>
    <w:p w14:paraId="7319569B" w14:textId="6FAEC3CF" w:rsidR="00713EA1" w:rsidRPr="00DB41E3" w:rsidRDefault="00713EA1" w:rsidP="009D51EB">
      <w:pPr>
        <w:spacing w:after="0" w:line="240" w:lineRule="auto"/>
        <w:jc w:val="both"/>
        <w:rPr>
          <w:rFonts w:ascii="Times New Roman" w:hAnsi="Times New Roman" w:cs="Times New Roman"/>
        </w:rPr>
      </w:pPr>
      <w: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r/>
    </w:p>
    <w:p w14:paraId="143F973D" w14:textId="78EB47FF" w:rsidR="00713EA1" w:rsidRPr="00DB41E3" w:rsidRDefault="00713EA1" w:rsidP="009D51EB">
      <w:pPr>
        <w:pStyle w:val="ListParagraph"/>
        <w:numPr>
          <w:ilvl w:val="1"/>
          <w:numId w:val="196"/>
        </w:numPr>
        <w:ind w:left="540" w:hanging="540"/>
        <w:jc w:val="both"/>
        <w:rPr>
          <w:szCs w:val="22"/>
        </w:rPr>
      </w:pPr>
      <w:r>
        <w:t xml:space="preserve">Conversion of debentures / preference shares </w:t>
      </w:r>
    </w:p>
    <w:p w14:paraId="7535ED88" w14:textId="77777777" w:rsidR="00BE0900" w:rsidRPr="00DB41E3" w:rsidRDefault="00BE0900" w:rsidP="009D51EB">
      <w:pPr>
        <w:pStyle w:val="ListParagraph"/>
        <w:ind w:left="540"/>
        <w:jc w:val="both"/>
        <w:rPr>
          <w:szCs w:val="22"/>
        </w:rPr>
      </w:pPr>
      <w:r/>
    </w:p>
    <w:p w14:paraId="6699B4A8" w14:textId="325197D8" w:rsidR="00713EA1" w:rsidRPr="00DB41E3" w:rsidRDefault="00713EA1" w:rsidP="009D51EB">
      <w:pPr>
        <w:spacing w:after="0" w:line="240" w:lineRule="auto"/>
        <w:jc w:val="both"/>
        <w:rPr>
          <w:rFonts w:ascii="Times New Roman" w:hAnsi="Times New Roman" w:cs="Times New Roman"/>
          <w:u w:val="single"/>
        </w:rPr>
      </w:pPr>
      <w: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r/>
    </w:p>
    <w:p w14:paraId="756E50E6" w14:textId="16300898" w:rsidR="00713EA1" w:rsidRPr="00DB41E3" w:rsidRDefault="00713EA1" w:rsidP="009D51EB">
      <w:pPr>
        <w:spacing w:after="0" w:line="240" w:lineRule="auto"/>
        <w:jc w:val="both"/>
        <w:rPr>
          <w:rFonts w:ascii="Times New Roman" w:hAnsi="Times New Roman" w:cs="Times New Roman"/>
        </w:rPr>
      </w:pPr>
      <w: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r/>
    </w:p>
    <w:p w14:paraId="5B8571CF" w14:textId="14691C7A" w:rsidR="00713EA1" w:rsidRPr="00DB41E3" w:rsidRDefault="00713EA1" w:rsidP="009D51EB">
      <w:pPr>
        <w:spacing w:after="0" w:line="240" w:lineRule="auto"/>
        <w:jc w:val="both"/>
        <w:rPr>
          <w:rFonts w:ascii="Times New Roman" w:hAnsi="Times New Roman" w:cs="Times New Roman"/>
          <w:u w:val="single"/>
        </w:rPr>
      </w:pPr>
      <w: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r/>
    </w:p>
    <w:p w14:paraId="0D1FAEE8" w14:textId="15543297" w:rsidR="00713EA1" w:rsidRPr="00DB41E3" w:rsidRDefault="00713EA1" w:rsidP="009D51EB">
      <w:pPr>
        <w:spacing w:after="0" w:line="240" w:lineRule="auto"/>
        <w:jc w:val="both"/>
        <w:rPr>
          <w:rFonts w:ascii="Times New Roman" w:hAnsi="Times New Roman" w:cs="Times New Roman"/>
        </w:rPr>
      </w:pPr>
      <w:r>
        <w:t>Scheme - I may, inter alia, invest in debt securities / debentures of Indian portfolio companies which may convert into shares of the company at a later date. Conversion of such debt securities / debentures of a company into shares of that company is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r/>
    </w:p>
    <w:p w14:paraId="0C112A03" w14:textId="175821CA" w:rsidR="00713EA1" w:rsidRPr="00DB41E3" w:rsidRDefault="00713EA1" w:rsidP="009D51EB">
      <w:pPr>
        <w:pStyle w:val="ListParagraph"/>
        <w:numPr>
          <w:ilvl w:val="1"/>
          <w:numId w:val="196"/>
        </w:numPr>
        <w:ind w:left="540" w:hanging="540"/>
        <w:jc w:val="both"/>
        <w:rPr>
          <w:szCs w:val="22"/>
        </w:rPr>
      </w:pPr>
      <w: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r/>
    </w:p>
    <w:p w14:paraId="09856C04" w14:textId="77777777" w:rsidR="00713EA1" w:rsidRPr="00DB41E3" w:rsidRDefault="00713EA1" w:rsidP="009D51EB">
      <w:pPr>
        <w:spacing w:after="0" w:line="240" w:lineRule="auto"/>
        <w:jc w:val="both"/>
        <w:rPr>
          <w:rFonts w:ascii="Times New Roman" w:hAnsi="Times New Roman" w:cs="Times New Roman"/>
        </w:rPr>
      </w:pPr>
      <w: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r/>
    </w:p>
    <w:p w14:paraId="0C9C04AF" w14:textId="110501C4" w:rsidR="00713EA1" w:rsidRPr="00DB41E3" w:rsidRDefault="00713EA1" w:rsidP="009D51EB">
      <w:pPr>
        <w:pStyle w:val="ListParagraph"/>
        <w:numPr>
          <w:ilvl w:val="1"/>
          <w:numId w:val="196"/>
        </w:numPr>
        <w:ind w:left="540" w:hanging="540"/>
        <w:jc w:val="both"/>
        <w:rPr>
          <w:szCs w:val="22"/>
        </w:rPr>
      </w:pPr>
      <w:r>
        <w:t>Advance Tax</w:t>
      </w:r>
    </w:p>
    <w:p w14:paraId="08217B39" w14:textId="77777777" w:rsidR="00BE0900" w:rsidRPr="00DB41E3" w:rsidRDefault="00BE0900" w:rsidP="009D51EB">
      <w:pPr>
        <w:pStyle w:val="ListParagraph"/>
        <w:ind w:left="540"/>
        <w:jc w:val="both"/>
        <w:rPr>
          <w:szCs w:val="22"/>
        </w:rPr>
      </w:pPr>
      <w:r/>
    </w:p>
    <w:p w14:paraId="586C694A" w14:textId="3A06BA10" w:rsidR="00713EA1" w:rsidRPr="00DB41E3" w:rsidRDefault="00713EA1" w:rsidP="009D51EB">
      <w:pPr>
        <w:spacing w:after="0" w:line="240" w:lineRule="auto"/>
        <w:jc w:val="both"/>
        <w:rPr>
          <w:rFonts w:ascii="Times New Roman" w:hAnsi="Times New Roman" w:cs="Times New Roman"/>
        </w:rPr>
      </w:pPr>
      <w: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r/>
    </w:p>
    <w:p w14:paraId="5287D90E" w14:textId="42B5968B" w:rsidR="00713EA1" w:rsidRPr="00DB41E3" w:rsidRDefault="00713EA1" w:rsidP="009D51EB">
      <w:pPr>
        <w:spacing w:after="0" w:line="240" w:lineRule="auto"/>
        <w:jc w:val="both"/>
        <w:rPr>
          <w:rFonts w:ascii="Times New Roman" w:hAnsi="Times New Roman" w:cs="Times New Roman"/>
        </w:rPr>
      </w:pPr>
      <w: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r/>
    </w:p>
    <w:p w14:paraId="25184FE7" w14:textId="508BF023" w:rsidR="00713EA1" w:rsidRPr="00DB41E3" w:rsidRDefault="00713EA1" w:rsidP="009D51EB">
      <w:pPr>
        <w:spacing w:after="0" w:line="240" w:lineRule="auto"/>
        <w:jc w:val="both"/>
        <w:rPr>
          <w:rFonts w:ascii="Times New Roman" w:hAnsi="Times New Roman" w:cs="Times New Roman"/>
        </w:rPr>
      </w:pPr>
      <w: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r/>
    </w:p>
    <w:p w14:paraId="69037403" w14:textId="404E2A7F" w:rsidR="00713EA1" w:rsidRPr="00DB41E3" w:rsidRDefault="00713EA1" w:rsidP="009D51EB">
      <w:pPr>
        <w:spacing w:after="0" w:line="240" w:lineRule="auto"/>
        <w:jc w:val="both"/>
        <w:rPr>
          <w:rFonts w:ascii="Times New Roman" w:hAnsi="Times New Roman" w:cs="Times New Roman"/>
        </w:rPr>
      </w:pPr>
      <w: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r/>
    </w:p>
    <w:p w14:paraId="776A4C51" w14:textId="5BEEBC75" w:rsidR="00713EA1" w:rsidRPr="00DB41E3" w:rsidRDefault="00713EA1" w:rsidP="009D51EB">
      <w:pPr>
        <w:pStyle w:val="ListParagraph"/>
        <w:numPr>
          <w:ilvl w:val="1"/>
          <w:numId w:val="196"/>
        </w:numPr>
        <w:ind w:left="540" w:hanging="540"/>
        <w:jc w:val="both"/>
        <w:rPr>
          <w:szCs w:val="22"/>
        </w:rPr>
      </w:pPr>
      <w:r>
        <w:t>Transfer Pricing</w:t>
      </w:r>
    </w:p>
    <w:p w14:paraId="70C0B3A9" w14:textId="77777777" w:rsidR="00BE0900" w:rsidRPr="00DB41E3" w:rsidRDefault="00BE0900" w:rsidP="009D51EB">
      <w:pPr>
        <w:pStyle w:val="ListParagraph"/>
        <w:ind w:left="540"/>
        <w:jc w:val="both"/>
        <w:rPr>
          <w:szCs w:val="22"/>
        </w:rPr>
      </w:pPr>
      <w:r/>
    </w:p>
    <w:p w14:paraId="1C867235" w14:textId="7248D598" w:rsidR="00713EA1" w:rsidRPr="00DB41E3" w:rsidRDefault="00713EA1" w:rsidP="009D51EB">
      <w:pPr>
        <w:spacing w:after="0" w:line="240" w:lineRule="auto"/>
        <w:jc w:val="both"/>
        <w:rPr>
          <w:rFonts w:ascii="Times New Roman" w:hAnsi="Times New Roman" w:cs="Times New Roman"/>
        </w:rPr>
      </w:pPr>
      <w: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r/>
    </w:p>
    <w:p w14:paraId="390FFE37" w14:textId="7CA167FF" w:rsidR="00713EA1" w:rsidRPr="00DB41E3" w:rsidRDefault="00713EA1" w:rsidP="009D51EB">
      <w:pPr>
        <w:spacing w:after="0" w:line="240" w:lineRule="auto"/>
        <w:jc w:val="both"/>
        <w:rPr>
          <w:rFonts w:ascii="Times New Roman" w:hAnsi="Times New Roman" w:cs="Times New Roman"/>
        </w:rPr>
      </w:pPr>
      <w: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r/>
    </w:p>
    <w:p w14:paraId="3284C541" w14:textId="6BC32591" w:rsidR="00713EA1" w:rsidRPr="00DB41E3" w:rsidRDefault="00713EA1" w:rsidP="009D51EB">
      <w:pPr>
        <w:pStyle w:val="ListParagraph"/>
        <w:numPr>
          <w:ilvl w:val="1"/>
          <w:numId w:val="196"/>
        </w:numPr>
        <w:ind w:left="540" w:hanging="540"/>
        <w:jc w:val="both"/>
        <w:rPr>
          <w:szCs w:val="22"/>
        </w:rPr>
      </w:pPr>
      <w:r>
        <w:t>Provisions related to indirect transfer</w:t>
      </w:r>
    </w:p>
    <w:p w14:paraId="38851866" w14:textId="77777777" w:rsidR="00BE0900" w:rsidRPr="00DB41E3" w:rsidRDefault="00BE0900" w:rsidP="009D51EB">
      <w:pPr>
        <w:pStyle w:val="ListParagraph"/>
        <w:ind w:left="540"/>
        <w:jc w:val="both"/>
        <w:rPr>
          <w:szCs w:val="22"/>
        </w:rPr>
      </w:pPr>
      <w:r/>
    </w:p>
    <w:p w14:paraId="2A90192B" w14:textId="77777777" w:rsidR="00713EA1" w:rsidRPr="00DB41E3" w:rsidRDefault="00713EA1" w:rsidP="009D51EB">
      <w:pPr>
        <w:pStyle w:val="ListParagraph"/>
        <w:numPr>
          <w:ilvl w:val="0"/>
          <w:numId w:val="201"/>
        </w:numPr>
        <w:ind w:left="360"/>
        <w:jc w:val="both"/>
        <w:rPr>
          <w:szCs w:val="22"/>
        </w:rPr>
      </w:pPr>
      <w: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t xml:space="preserve">The CBDT released a circular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realised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t>CBDT has issued a circular clarifying that dividends declared and paid by a foreign company outside India in respect of shares which derive their value substantially from assets situated in India 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r/>
    </w:p>
    <w:p w14:paraId="5E70C47C" w14:textId="421DE23D" w:rsidR="00713EA1" w:rsidRPr="00DB41E3" w:rsidRDefault="00713EA1" w:rsidP="009D51EB">
      <w:pPr>
        <w:pStyle w:val="ListParagraph"/>
        <w:numPr>
          <w:ilvl w:val="1"/>
          <w:numId w:val="196"/>
        </w:numPr>
        <w:ind w:left="540" w:hanging="540"/>
        <w:jc w:val="both"/>
        <w:rPr>
          <w:szCs w:val="22"/>
        </w:rPr>
      </w:pPr>
      <w:r>
        <w:t>General Anti-Avoidance Rules (‘GAAR’)</w:t>
      </w:r>
    </w:p>
    <w:p w14:paraId="0F7D0EB6" w14:textId="77777777" w:rsidR="00BE0900" w:rsidRPr="00DB41E3" w:rsidRDefault="00BE0900" w:rsidP="009D51EB">
      <w:pPr>
        <w:pStyle w:val="ListParagraph"/>
        <w:ind w:left="540"/>
        <w:jc w:val="both"/>
        <w:rPr>
          <w:szCs w:val="22"/>
        </w:rPr>
      </w:pPr>
      <w:r/>
    </w:p>
    <w:p w14:paraId="272EBE16" w14:textId="5B80A958" w:rsidR="00713EA1" w:rsidRPr="00DB41E3" w:rsidRDefault="00713EA1" w:rsidP="009D51EB">
      <w:pPr>
        <w:spacing w:after="0" w:line="240" w:lineRule="auto"/>
        <w:jc w:val="both"/>
        <w:rPr>
          <w:rFonts w:ascii="Times New Roman" w:hAnsi="Times New Roman" w:cs="Times New Roman"/>
        </w:rPr>
      </w:pPr>
      <w: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r/>
    </w:p>
    <w:p w14:paraId="473F2131" w14:textId="77777777" w:rsidR="00713EA1" w:rsidRPr="00DB41E3" w:rsidRDefault="00713EA1" w:rsidP="009D51EB">
      <w:pPr>
        <w:pStyle w:val="ListParagraph"/>
        <w:numPr>
          <w:ilvl w:val="0"/>
          <w:numId w:val="202"/>
        </w:numPr>
        <w:ind w:left="360"/>
        <w:jc w:val="both"/>
        <w:rPr>
          <w:szCs w:val="22"/>
        </w:rPr>
      </w:pPr>
      <w: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r/>
    </w:p>
    <w:p w14:paraId="65725431" w14:textId="58C1C625" w:rsidR="00713EA1" w:rsidRPr="00DB41E3" w:rsidRDefault="00713EA1" w:rsidP="009D51EB">
      <w:pPr>
        <w:spacing w:after="0" w:line="240" w:lineRule="auto"/>
        <w:jc w:val="both"/>
        <w:rPr>
          <w:rFonts w:ascii="Times New Roman" w:hAnsi="Times New Roman" w:cs="Times New Roman"/>
        </w:rPr>
      </w:pPr>
      <w:r>
        <w:t>In such cases, the tax authorities are empowered to reallocate the income from such arrangement or re-characterise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r/>
    </w:p>
    <w:p w14:paraId="6E14D87B" w14:textId="77777777" w:rsidR="00713EA1" w:rsidRPr="00DB41E3" w:rsidRDefault="00713EA1" w:rsidP="009D51EB">
      <w:pPr>
        <w:pStyle w:val="ListParagraph"/>
        <w:numPr>
          <w:ilvl w:val="0"/>
          <w:numId w:val="203"/>
        </w:numPr>
        <w:ind w:left="360"/>
        <w:jc w:val="both"/>
        <w:rPr>
          <w:szCs w:val="22"/>
        </w:rPr>
      </w:pPr>
      <w: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t xml:space="preserve">The provisions of GAAR are be applicable with effect from financial year 2017-18 and onwards. </w:t>
      </w:r>
    </w:p>
    <w:p w14:paraId="6B5D4CC3" w14:textId="77777777" w:rsidR="007E2278" w:rsidRPr="00DB41E3" w:rsidRDefault="007E2278" w:rsidP="009D51EB">
      <w:pPr>
        <w:spacing w:after="0" w:line="240" w:lineRule="auto"/>
        <w:jc w:val="both"/>
        <w:rPr>
          <w:rFonts w:ascii="Times New Roman" w:hAnsi="Times New Roman" w:cs="Times New Roman"/>
        </w:rPr>
      </w:pPr>
      <w:r/>
    </w:p>
    <w:p w14:paraId="2B318A8A" w14:textId="60A9D452" w:rsidR="00713EA1" w:rsidRPr="00DB41E3" w:rsidRDefault="00713EA1" w:rsidP="009D51EB">
      <w:pPr>
        <w:pStyle w:val="ListParagraph"/>
        <w:numPr>
          <w:ilvl w:val="1"/>
          <w:numId w:val="196"/>
        </w:numPr>
        <w:ind w:left="540" w:hanging="540"/>
        <w:jc w:val="both"/>
        <w:rPr>
          <w:szCs w:val="22"/>
        </w:rPr>
      </w:pPr>
      <w:r>
        <w:t>Multilateral Instrument (‘MLI’)</w:t>
      </w:r>
    </w:p>
    <w:p w14:paraId="6E4327C7" w14:textId="77777777" w:rsidR="00BE0900" w:rsidRPr="00DB41E3" w:rsidRDefault="00BE0900" w:rsidP="009D51EB">
      <w:pPr>
        <w:pStyle w:val="ListParagraph"/>
        <w:ind w:left="540"/>
        <w:jc w:val="both"/>
        <w:rPr>
          <w:szCs w:val="22"/>
        </w:rPr>
      </w:pPr>
      <w:r/>
    </w:p>
    <w:p w14:paraId="269C96F1" w14:textId="77777777" w:rsidR="00713EA1" w:rsidRPr="00DB41E3" w:rsidRDefault="00713EA1" w:rsidP="009D51EB">
      <w:pPr>
        <w:spacing w:after="0" w:line="240" w:lineRule="auto"/>
        <w:jc w:val="both"/>
        <w:rPr>
          <w:rFonts w:ascii="Times New Roman" w:hAnsi="Times New Roman" w:cs="Times New Roman"/>
        </w:rPr>
      </w:pPr>
      <w:r>
        <w:t xml:space="preserve">The Organisation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t xml:space="preserve">The MLI, amongst others, includes a "principal purpose test", wherein Tax Treaty benefits can be denied if one of the principal purpose of an arrangement or a transaction was to, directly or indirectly, obtain tax benefit. The MLI has also expanded the scope of permanent establishment to include agent (excluding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r/>
    </w:p>
    <w:p w14:paraId="2EA89242" w14:textId="7556CF0C" w:rsidR="00713EA1" w:rsidRPr="00DB41E3" w:rsidRDefault="00713EA1" w:rsidP="009D51EB">
      <w:pPr>
        <w:spacing w:after="0" w:line="240" w:lineRule="auto"/>
        <w:jc w:val="both"/>
        <w:rPr>
          <w:rFonts w:ascii="Times New Roman" w:hAnsi="Times New Roman" w:cs="Times New Roman"/>
        </w:rPr>
      </w:pPr>
      <w: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r/>
    </w:p>
    <w:p w14:paraId="415F8B66" w14:textId="77777777" w:rsidR="007E2278" w:rsidRPr="00DB41E3" w:rsidRDefault="00713EA1" w:rsidP="009D51EB">
      <w:pPr>
        <w:spacing w:after="0" w:line="240" w:lineRule="auto"/>
        <w:jc w:val="both"/>
        <w:rPr>
          <w:rFonts w:ascii="Times New Roman" w:hAnsi="Times New Roman" w:cs="Times New Roman"/>
        </w:rPr>
      </w:pPr>
      <w:r>
        <w:t xml:space="preserve">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 </w:t>
      </w:r>
    </w:p>
    <w:p w14:paraId="3330AA36" w14:textId="77777777" w:rsidR="007E2278" w:rsidRPr="00DB41E3" w:rsidRDefault="007E2278" w:rsidP="009D51EB">
      <w:pPr>
        <w:spacing w:after="0" w:line="240" w:lineRule="auto"/>
        <w:jc w:val="both"/>
        <w:rPr>
          <w:rFonts w:ascii="Times New Roman" w:hAnsi="Times New Roman" w:cs="Times New Roman"/>
        </w:rPr>
      </w:pPr>
      <w:r/>
    </w:p>
    <w:p w14:paraId="7BAD1193" w14:textId="09739BE7" w:rsidR="00713EA1" w:rsidRPr="00DB41E3" w:rsidRDefault="00713EA1" w:rsidP="009D51EB">
      <w:pPr>
        <w:spacing w:after="0" w:line="240" w:lineRule="auto"/>
        <w:jc w:val="both"/>
        <w:rPr>
          <w:rFonts w:ascii="Times New Roman" w:hAnsi="Times New Roman" w:cs="Times New Roman"/>
        </w:rPr>
      </w:pPr>
      <w: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r/>
    </w:p>
    <w:p w14:paraId="36885063" w14:textId="6CFEA36B" w:rsidR="00713EA1" w:rsidRPr="00DB41E3" w:rsidRDefault="00713EA1" w:rsidP="009D51EB">
      <w:pPr>
        <w:spacing w:after="0" w:line="240" w:lineRule="auto"/>
        <w:jc w:val="both"/>
        <w:rPr>
          <w:rFonts w:ascii="Times New Roman" w:hAnsi="Times New Roman" w:cs="Times New Roman"/>
        </w:rPr>
      </w:pPr>
      <w: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r/>
    </w:p>
    <w:p w14:paraId="347071D4" w14:textId="77777777" w:rsidR="00713EA1" w:rsidRPr="00DB41E3" w:rsidRDefault="00713EA1" w:rsidP="009D51EB">
      <w:pPr>
        <w:spacing w:after="0" w:line="240" w:lineRule="auto"/>
        <w:jc w:val="both"/>
        <w:rPr>
          <w:rFonts w:ascii="Times New Roman" w:hAnsi="Times New Roman" w:cs="Times New Roman"/>
        </w:rPr>
      </w:pPr>
      <w:r>
        <w:t>Once MLI evolves in future, one would need to analyse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r/>
    </w:p>
    <w:p w14:paraId="6387B7AC" w14:textId="4E4C7675" w:rsidR="00713EA1" w:rsidRPr="00DB41E3" w:rsidRDefault="00713EA1" w:rsidP="009D51EB">
      <w:pPr>
        <w:pStyle w:val="ListParagraph"/>
        <w:numPr>
          <w:ilvl w:val="1"/>
          <w:numId w:val="196"/>
        </w:numPr>
        <w:ind w:left="540" w:hanging="540"/>
        <w:jc w:val="both"/>
        <w:rPr>
          <w:szCs w:val="22"/>
        </w:rPr>
      </w:pPr>
      <w:r>
        <w:t>FATCA Guidelines</w:t>
      </w:r>
    </w:p>
    <w:p w14:paraId="66695446" w14:textId="77777777" w:rsidR="00BE0900" w:rsidRPr="00DB41E3" w:rsidRDefault="00BE0900" w:rsidP="009D51EB">
      <w:pPr>
        <w:pStyle w:val="ListParagraph"/>
        <w:ind w:left="540"/>
        <w:jc w:val="both"/>
        <w:rPr>
          <w:szCs w:val="22"/>
        </w:rPr>
      </w:pPr>
      <w:r/>
    </w:p>
    <w:p w14:paraId="689E347F" w14:textId="72BB5022" w:rsidR="00713EA1" w:rsidRPr="00DB41E3" w:rsidRDefault="00713EA1" w:rsidP="009D51EB">
      <w:pPr>
        <w:spacing w:after="0" w:line="240" w:lineRule="auto"/>
        <w:jc w:val="both"/>
        <w:rPr>
          <w:rFonts w:ascii="Times New Roman" w:hAnsi="Times New Roman" w:cs="Times New Roman"/>
        </w:rPr>
      </w:pPr>
      <w: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r/>
    </w:p>
    <w:p w14:paraId="1850E560" w14:textId="77777777" w:rsidR="00713EA1" w:rsidRPr="00DB41E3" w:rsidRDefault="00713EA1" w:rsidP="009D51EB">
      <w:pPr>
        <w:pStyle w:val="ListParagraph"/>
        <w:numPr>
          <w:ilvl w:val="0"/>
          <w:numId w:val="204"/>
        </w:numPr>
        <w:ind w:left="360"/>
        <w:jc w:val="both"/>
        <w:rPr>
          <w:szCs w:val="22"/>
        </w:rPr>
      </w:pPr>
      <w: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r>
        <w:t>the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r/>
    </w:p>
    <w:p w14:paraId="5E656B25" w14:textId="2BF642C8" w:rsidR="00713EA1" w:rsidRPr="00DB41E3" w:rsidRDefault="00713EA1" w:rsidP="009D51EB">
      <w:pPr>
        <w:spacing w:after="0" w:line="240" w:lineRule="auto"/>
        <w:jc w:val="both"/>
        <w:rPr>
          <w:rFonts w:ascii="Times New Roman" w:hAnsi="Times New Roman" w:cs="Times New Roman"/>
        </w:rPr>
      </w:pPr>
      <w: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r/>
    </w:p>
    <w:p w14:paraId="00587954" w14:textId="3251EECA" w:rsidR="00713EA1" w:rsidRPr="00DB41E3" w:rsidRDefault="00713EA1" w:rsidP="009D51EB">
      <w:pPr>
        <w:pStyle w:val="ListParagraph"/>
        <w:numPr>
          <w:ilvl w:val="1"/>
          <w:numId w:val="196"/>
        </w:numPr>
        <w:ind w:left="540" w:hanging="540"/>
        <w:jc w:val="both"/>
        <w:rPr>
          <w:szCs w:val="22"/>
        </w:rPr>
      </w:pPr>
      <w:r>
        <w:t>Other Applicable Taxes</w:t>
      </w:r>
    </w:p>
    <w:p w14:paraId="0C428677" w14:textId="77777777" w:rsidR="00BE0900" w:rsidRPr="00DB41E3" w:rsidRDefault="00BE0900" w:rsidP="009D51EB">
      <w:pPr>
        <w:pStyle w:val="ListParagraph"/>
        <w:ind w:left="540"/>
        <w:jc w:val="both"/>
        <w:rPr>
          <w:szCs w:val="22"/>
        </w:rPr>
      </w:pPr>
      <w:r/>
    </w:p>
    <w:p w14:paraId="5D334A61" w14:textId="2D27BB33" w:rsidR="00713EA1" w:rsidRPr="00DB41E3" w:rsidRDefault="00713EA1" w:rsidP="00BE6DE4">
      <w:pPr>
        <w:spacing w:after="0" w:line="240" w:lineRule="auto"/>
        <w:rPr>
          <w:rFonts w:ascii="Times New Roman" w:hAnsi="Times New Roman" w:cs="Times New Roman"/>
          <w:u w:val="single"/>
        </w:rPr>
      </w:pPr>
      <w: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r/>
    </w:p>
    <w:p w14:paraId="7C356C8C" w14:textId="6441A914" w:rsidR="00713EA1" w:rsidRPr="00DB41E3" w:rsidRDefault="00713EA1" w:rsidP="00BE6DE4">
      <w:pPr>
        <w:spacing w:after="0" w:line="240" w:lineRule="auto"/>
        <w:rPr>
          <w:rFonts w:ascii="Times New Roman" w:hAnsi="Times New Roman" w:cs="Times New Roman"/>
        </w:rPr>
      </w:pPr>
      <w:r>
        <w:t>Scheme - I will be liable to pay STT on the transactions entered on a recognised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Delivery based purchase transaction in equity shares entered into in a recognised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Delivery based sale transaction in equity shares entered in a recognised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Non-delivery based sale transaction in equity shares or units of equity oriented fund entered in a recognised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r/>
    </w:p>
    <w:p w14:paraId="39598FCA" w14:textId="175C22CA" w:rsidR="00713EA1" w:rsidRPr="00DB41E3" w:rsidRDefault="00713EA1" w:rsidP="009D51EB">
      <w:pPr>
        <w:spacing w:after="0" w:line="240" w:lineRule="auto"/>
        <w:jc w:val="both"/>
        <w:rPr>
          <w:rFonts w:ascii="Times New Roman" w:hAnsi="Times New Roman" w:cs="Times New Roman"/>
        </w:rPr>
      </w:pPr>
      <w: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r/>
    </w:p>
    <w:p w14:paraId="343B890A" w14:textId="77777777" w:rsidR="00713EA1" w:rsidRPr="00DB41E3" w:rsidRDefault="00713EA1" w:rsidP="009D51EB">
      <w:pPr>
        <w:spacing w:after="0" w:line="240" w:lineRule="auto"/>
        <w:jc w:val="both"/>
        <w:rPr>
          <w:rFonts w:ascii="Times New Roman" w:hAnsi="Times New Roman" w:cs="Times New Roman"/>
          <w:u w:val="single"/>
        </w:rPr>
      </w:pPr>
      <w: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r/>
    </w:p>
    <w:p w14:paraId="3D27285F" w14:textId="1812B0AE" w:rsidR="00713EA1" w:rsidRPr="00DB41E3" w:rsidRDefault="00713EA1" w:rsidP="009D51EB">
      <w:pPr>
        <w:spacing w:after="0" w:line="240" w:lineRule="auto"/>
        <w:jc w:val="both"/>
        <w:rPr>
          <w:rFonts w:ascii="Times New Roman" w:hAnsi="Times New Roman" w:cs="Times New Roman"/>
        </w:rPr>
      </w:pPr>
      <w: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r/>
    </w:p>
    <w:p w14:paraId="3ED4A4D9" w14:textId="3C2650A5" w:rsidR="00713EA1" w:rsidRPr="00DB41E3" w:rsidRDefault="00713EA1" w:rsidP="009D51EB">
      <w:pPr>
        <w:spacing w:after="0" w:line="240" w:lineRule="auto"/>
        <w:jc w:val="both"/>
        <w:rPr>
          <w:rFonts w:ascii="Times New Roman" w:hAnsi="Times New Roman" w:cs="Times New Roman"/>
        </w:rPr>
      </w:pPr>
      <w: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judice currently. However, the risk of similar position 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r/>
    </w:p>
    <w:p w14:paraId="7EC4F66A" w14:textId="3DE7CB6A" w:rsidR="00713EA1" w:rsidRPr="00DB41E3" w:rsidRDefault="00713EA1" w:rsidP="009D51EB">
      <w:pPr>
        <w:spacing w:after="0" w:line="240" w:lineRule="auto"/>
        <w:jc w:val="both"/>
        <w:rPr>
          <w:rFonts w:ascii="Times New Roman" w:hAnsi="Times New Roman" w:cs="Times New Roman"/>
          <w:u w:val="single"/>
        </w:rPr>
      </w:pPr>
      <w: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r/>
    </w:p>
    <w:p w14:paraId="39B4C074" w14:textId="53321E12" w:rsidR="00713EA1" w:rsidRPr="00DB41E3" w:rsidRDefault="00713EA1" w:rsidP="009D51EB">
      <w:pPr>
        <w:spacing w:after="0" w:line="240" w:lineRule="auto"/>
        <w:jc w:val="both"/>
        <w:rPr>
          <w:rFonts w:ascii="Times New Roman" w:hAnsi="Times New Roman" w:cs="Times New Roman"/>
        </w:rPr>
      </w:pPr>
      <w: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r/>
    </w:p>
    <w:p w14:paraId="6F011067" w14:textId="77777777" w:rsidR="007E2278" w:rsidRPr="00DB41E3" w:rsidRDefault="007E2278" w:rsidP="007E2278">
      <w:pPr>
        <w:pStyle w:val="ListParagraph"/>
        <w:ind w:left="540"/>
        <w:rPr>
          <w:szCs w:val="22"/>
        </w:rPr>
      </w:pPr>
      <w:r/>
    </w:p>
    <w:p w14:paraId="161621D9" w14:textId="7613C1DC" w:rsidR="00713EA1" w:rsidRPr="00DB41E3" w:rsidRDefault="00713EA1" w:rsidP="009D51EB">
      <w:pPr>
        <w:pStyle w:val="ListParagraph"/>
        <w:numPr>
          <w:ilvl w:val="1"/>
          <w:numId w:val="196"/>
        </w:numPr>
        <w:ind w:left="540" w:hanging="540"/>
        <w:jc w:val="both"/>
        <w:rPr>
          <w:szCs w:val="22"/>
        </w:rPr>
      </w:pPr>
      <w:r>
        <w:t>Units of AIF included in the definition of ‘securities’</w:t>
      </w:r>
    </w:p>
    <w:p w14:paraId="242DD7F6" w14:textId="77777777" w:rsidR="002A492C" w:rsidRPr="00DB41E3" w:rsidRDefault="002A492C" w:rsidP="009D51EB">
      <w:pPr>
        <w:pStyle w:val="ListParagraph"/>
        <w:ind w:left="540"/>
        <w:jc w:val="both"/>
        <w:rPr>
          <w:szCs w:val="22"/>
        </w:rPr>
      </w:pPr>
      <w:r/>
    </w:p>
    <w:p w14:paraId="00224BE4" w14:textId="16DF2672" w:rsidR="00713EA1" w:rsidRPr="00DB41E3" w:rsidRDefault="00713EA1" w:rsidP="009D51EB">
      <w:pPr>
        <w:spacing w:after="0" w:line="240" w:lineRule="auto"/>
        <w:jc w:val="both"/>
        <w:rPr>
          <w:rFonts w:ascii="Times New Roman" w:hAnsi="Times New Roman" w:cs="Times New Roman"/>
        </w:rPr>
      </w:pPr>
      <w:r>
        <w:t>The Finance Act, 2021 has amended the definition of ‘securities’ under Securities Contracts (Regulation) Act,1956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r/>
    </w:p>
    <w:p w14:paraId="4E796C60" w14:textId="5FF0D15D" w:rsidR="00713EA1" w:rsidRPr="00DB41E3" w:rsidRDefault="00713EA1" w:rsidP="009D51EB">
      <w:pPr>
        <w:pStyle w:val="ListParagraph"/>
        <w:numPr>
          <w:ilvl w:val="1"/>
          <w:numId w:val="196"/>
        </w:numPr>
        <w:ind w:left="540" w:hanging="540"/>
        <w:jc w:val="both"/>
        <w:rPr>
          <w:szCs w:val="22"/>
        </w:rPr>
      </w:pPr>
      <w:r>
        <w:t>Changes in Law</w:t>
      </w:r>
    </w:p>
    <w:p w14:paraId="349CB3DA" w14:textId="77777777" w:rsidR="002A492C" w:rsidRPr="00DB41E3" w:rsidRDefault="002A492C" w:rsidP="009D51EB">
      <w:pPr>
        <w:pStyle w:val="ListParagraph"/>
        <w:ind w:left="540"/>
        <w:jc w:val="both"/>
        <w:rPr>
          <w:szCs w:val="22"/>
        </w:rPr>
      </w:pPr>
      <w:r/>
    </w:p>
    <w:p w14:paraId="233F7BB7" w14:textId="77777777" w:rsidR="00713EA1" w:rsidRPr="00DB41E3" w:rsidRDefault="00713EA1" w:rsidP="009D51EB">
      <w:pPr>
        <w:spacing w:after="0" w:line="240" w:lineRule="auto"/>
        <w:jc w:val="both"/>
        <w:rPr>
          <w:rFonts w:ascii="Times New Roman" w:hAnsi="Times New Roman" w:cs="Times New Roman"/>
        </w:rPr>
      </w:pPr>
      <w: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r/>
    </w:p>
    <w:p w14:paraId="337B1749" w14:textId="734EC852" w:rsidR="00713EA1" w:rsidRPr="00DB41E3" w:rsidRDefault="00713EA1" w:rsidP="009D51EB">
      <w:pPr>
        <w:spacing w:after="0" w:line="240" w:lineRule="auto"/>
        <w:jc w:val="both"/>
        <w:rPr>
          <w:rFonts w:ascii="Times New Roman" w:hAnsi="Times New Roman" w:cs="Times New Roman"/>
        </w:rPr>
      </w:pPr>
      <w: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r/>
    </w:p>
    <w:p w14:paraId="143923DD" w14:textId="3FC83625" w:rsidR="00713EA1" w:rsidRPr="00DB41E3" w:rsidRDefault="00713EA1" w:rsidP="009D51EB">
      <w:pPr>
        <w:spacing w:after="0" w:line="240" w:lineRule="auto"/>
        <w:jc w:val="both"/>
        <w:rPr>
          <w:rFonts w:ascii="Times New Roman" w:hAnsi="Times New Roman" w:cs="Times New Roman"/>
          <w:b/>
          <w:bCs/>
        </w:rPr>
      </w:pPr>
      <w: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r/>
    </w:p>
    <w:p w14:paraId="3958926B" w14:textId="75DD1C4E" w:rsidR="00713EA1" w:rsidRPr="00DB41E3" w:rsidRDefault="00713EA1" w:rsidP="009D51EB">
      <w:pPr>
        <w:spacing w:after="0" w:line="240" w:lineRule="auto"/>
        <w:jc w:val="both"/>
        <w:rPr>
          <w:rFonts w:ascii="Times New Roman" w:hAnsi="Times New Roman" w:cs="Times New Roman"/>
          <w:b/>
          <w:bCs/>
        </w:rPr>
      </w:pPr>
      <w: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r/>
    </w:p>
    <w:p w14:paraId="15F5DF60" w14:textId="77777777" w:rsidR="00713EA1" w:rsidRPr="00DB41E3" w:rsidRDefault="00713EA1" w:rsidP="009D51EB">
      <w:pPr>
        <w:spacing w:after="0" w:line="240" w:lineRule="auto"/>
        <w:jc w:val="both"/>
        <w:rPr>
          <w:rFonts w:ascii="Times New Roman" w:hAnsi="Times New Roman" w:cs="Times New Roman"/>
        </w:rPr>
      </w:pPr>
      <w: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p>
    <w:p w14:paraId="14872AD0" w14:textId="77777777" w:rsidR="00713EA1" w:rsidRPr="00DB41E3" w:rsidRDefault="00713EA1" w:rsidP="00BE6DE4">
      <w:pPr>
        <w:spacing w:after="0" w:line="240" w:lineRule="auto"/>
        <w:rPr>
          <w:rFonts w:ascii="Times New Roman" w:hAnsi="Times New Roman" w:cs="Times New Roman"/>
        </w:rPr>
      </w:pPr>
      <w: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r/>
    </w:p>
    <w:p w14:paraId="61B064AA" w14:textId="125B4E46" w:rsidR="00EF2F34" w:rsidRPr="00DB41E3" w:rsidRDefault="00EF2F34" w:rsidP="00E15516">
      <w:pPr>
        <w:pStyle w:val="Heading1"/>
        <w:rPr>
          <w:w w:val="0"/>
        </w:rPr>
      </w:pPr>
      <w:r>
        <w:t>SECTION XII: ILLUSTRATION OF FEES, EXPENSES AND OTHER CHARGES</w:t>
      </w:r>
    </w:p>
    <w:p w14:paraId="04EA0BAF" w14:textId="5B7B5010" w:rsidR="007B7A0B" w:rsidRPr="00DB41E3" w:rsidRDefault="007B7A0B" w:rsidP="007B7A0B">
      <w:pPr>
        <w:rPr>
          <w:rFonts w:ascii="Times New Roman" w:hAnsi="Times New Roman" w:cs="Times New Roman"/>
          <w:i/>
          <w:iCs/>
        </w:rPr>
      </w:pPr>
      <w:r>
        <w:t xml:space="preserve">  </w:t>
        <w:tab/>
        <w:tab/>
        <w:tab/>
        <w:tab/>
        <w:tab/>
        <w:tab/>
        <w:t xml:space="preserve">       </w:t>
      </w:r>
    </w:p>
    <w:p w14:paraId="3F16FC82" w14:textId="28EFC5BA" w:rsidR="003F377C" w:rsidRPr="00A259D1" w:rsidRDefault="003F377C" w:rsidP="00A259D1">
      <w:pPr>
        <w:pStyle w:val="ListParagraph"/>
        <w:ind w:left="360"/>
        <w:jc w:val="both"/>
        <w:rPr>
          <w:szCs w:val="22"/>
        </w:rPr>
      </w:pPr>
      <w:r>
        <w:t>.</w:t>
      </w:r>
    </w:p>
    <w:p w14:paraId="1B0461DD" w14:textId="2B757C41" w:rsidR="00A74035" w:rsidRPr="00831BFC" w:rsidRDefault="00831BFC" w:rsidP="00A259D1">
      <w:pPr>
        <w:pStyle w:val="ListParagraph"/>
        <w:numPr>
          <w:ilvl w:val="5"/>
          <w:numId w:val="40"/>
        </w:numPr>
        <w:ind w:left="450"/>
        <w:jc w:val="both"/>
        <w:rPr>
          <w:b/>
          <w:bCs/>
          <w:szCs w:val="22"/>
        </w:rPr>
      </w:pPr>
      <w:r>
        <w:t>Assumptions</w:t>
      </w:r>
    </w:p>
    <w:p w14:paraId="247C5F56" w14:textId="77777777" w:rsidR="00831BFC" w:rsidRPr="00A259D1" w:rsidRDefault="00831BFC" w:rsidP="00831BFC">
      <w:pPr>
        <w:pStyle w:val="ListParagraph"/>
        <w:ind w:left="450"/>
        <w:jc w:val="both"/>
        <w:rPr>
          <w:szCs w:val="22"/>
        </w:rPr>
      </w:pPr>
      <w: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mn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Additional return Phase I (i.e. upto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r/>
    </w:p>
    <w:p w14:paraId="5812F291" w14:textId="62623D83" w:rsidR="00676088" w:rsidRPr="00DB41E3" w:rsidRDefault="00E15516" w:rsidP="00D6458C">
      <w:pPr>
        <w:rPr>
          <w:rFonts w:ascii="Times New Roman" w:hAnsi="Times New Roman" w:cs="Times New Roman"/>
        </w:rPr>
      </w:pPr>
      <w:r>
        <w:t xml:space="preserve"> </w:t>
      </w:r>
    </w:p>
    <w:p w14:paraId="42D8DD3C" w14:textId="28F9D9DA" w:rsidR="003C1243" w:rsidRPr="00DB41E3" w:rsidRDefault="003C1243" w:rsidP="00D6458C">
      <w:pPr>
        <w:rPr>
          <w:rFonts w:ascii="Times New Roman" w:hAnsi="Times New Roman" w:cs="Times New Roman"/>
          <w:b/>
          <w:w w:val="0"/>
        </w:rPr>
      </w:pPr>
      <w:r>
        <w:br/>
      </w:r>
    </w:p>
    <w:p w14:paraId="36CD6F8A" w14:textId="4607A1D0" w:rsidR="00EF2F34" w:rsidRPr="00DB41E3" w:rsidRDefault="00EF2F34" w:rsidP="00E15516">
      <w:pPr>
        <w:pStyle w:val="Heading1"/>
        <w:rPr>
          <w:w w:val="0"/>
        </w:rPr>
      </w:pPr>
      <w:r>
        <w:t>SECTION XIII: DISTRIBUTION WATERFALL</w:t>
      </w:r>
    </w:p>
    <w:p w14:paraId="2DD78EB1" w14:textId="6F9E2A11" w:rsidR="007B7A0B" w:rsidRPr="00DB41E3" w:rsidRDefault="007B7A0B" w:rsidP="007B7A0B">
      <w:pPr>
        <w:ind w:left="3600" w:firstLine="720"/>
        <w:rPr>
          <w:rFonts w:ascii="Times New Roman" w:hAnsi="Times New Roman" w:cs="Times New Roman"/>
          <w:i/>
          <w:iCs/>
        </w:rPr>
      </w:pPr>
      <w: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t xml:space="preserve">Assumptions </w:t>
      </w:r>
    </w:p>
    <w:p w14:paraId="27953517" w14:textId="2BEFB4A7" w:rsidR="00ED5A37" w:rsidRPr="00DB41E3" w:rsidRDefault="00ED5A37" w:rsidP="00ED5A37">
      <w:pPr>
        <w:pStyle w:val="ListParagraph"/>
        <w:ind w:left="360"/>
        <w:rPr>
          <w:szCs w:val="22"/>
        </w:rPr>
      </w:pPr>
      <w: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mn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Additional return Phase I (i.e. upto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r/>
    </w:p>
    <w:p w14:paraId="3C5B87F2" w14:textId="1E7B2B14" w:rsidR="00ED5A37" w:rsidRPr="00DB41E3" w:rsidRDefault="00ED5A37" w:rsidP="00ED5A37">
      <w:pPr>
        <w:pStyle w:val="ListParagraph"/>
        <w:ind w:left="360"/>
        <w:rPr>
          <w:szCs w:val="22"/>
        </w:rPr>
      </w:pPr>
      <w:r/>
    </w:p>
    <w:p w14:paraId="763061C6" w14:textId="2B9AE5DA" w:rsidR="00ED5A37" w:rsidRDefault="00A536E3" w:rsidP="00A536E3">
      <w:pPr>
        <w:pStyle w:val="ListParagraph"/>
        <w:numPr>
          <w:ilvl w:val="0"/>
          <w:numId w:val="210"/>
        </w:numPr>
        <w:rPr>
          <w:b/>
          <w:bCs/>
          <w:szCs w:val="22"/>
        </w:rPr>
      </w:pPr>
      <w:r>
        <w:t xml:space="preserve">Capital commitment received and drawn down </w:t>
      </w:r>
    </w:p>
    <w:p w14:paraId="402DA784" w14:textId="147152C9" w:rsidR="00E529CB" w:rsidRPr="00CC18FA" w:rsidRDefault="00E529CB" w:rsidP="00CC18FA">
      <w:pPr>
        <w:spacing w:after="0"/>
        <w:rPr>
          <w:rFonts w:ascii="Times New Roman" w:hAnsi="Times New Roman" w:cs="Times New Roman"/>
          <w:bCs/>
        </w:rPr>
      </w:pPr>
      <w:r/>
    </w:p>
    <w:p w14:paraId="5A81AC74" w14:textId="37A9D9CB" w:rsidR="00E529CB" w:rsidRDefault="00E529CB" w:rsidP="00CC18FA">
      <w:pPr>
        <w:spacing w:after="0"/>
        <w:jc w:val="right"/>
        <w:rPr>
          <w:rFonts w:ascii="Times New Roman" w:hAnsi="Times New Roman" w:cs="Times New Roman"/>
          <w:bCs/>
          <w:i/>
        </w:rPr>
      </w:pPr>
      <w:r>
        <w:t>Amount in INR million</w:t>
      </w:r>
    </w:p>
    <w:p w14:paraId="08CBC16B" w14:textId="18E519E7" w:rsidR="00E15516" w:rsidRDefault="00E15516" w:rsidP="00E15516">
      <w:pPr>
        <w:spacing w:after="0"/>
        <w:rPr>
          <w:rFonts w:ascii="Times New Roman" w:hAnsi="Times New Roman" w:cs="Times New Roman"/>
          <w:bCs/>
          <w:i/>
        </w:rPr>
      </w:pPr>
      <w:r/>
    </w:p>
    <w:p w14:paraId="281F6BDE" w14:textId="0DC54A52" w:rsidR="00E15516" w:rsidRDefault="00E15516" w:rsidP="00E15516">
      <w:pPr>
        <w:spacing w:after="0"/>
        <w:rPr>
          <w:rFonts w:ascii="Times New Roman" w:hAnsi="Times New Roman" w:cs="Times New Roman"/>
          <w:bCs/>
          <w:i/>
        </w:rPr>
      </w:pPr>
      <w:r/>
    </w:p>
    <w:p w14:paraId="4AC423E9" w14:textId="09850704" w:rsidR="00E15516" w:rsidRDefault="00E15516" w:rsidP="00E15516">
      <w:pPr>
        <w:spacing w:after="0"/>
        <w:rPr>
          <w:b/>
          <w:bCs/>
          <w:i/>
        </w:rPr>
      </w:pPr>
      <w:r/>
    </w:p>
    <w:p w14:paraId="4F6AD3A8" w14:textId="20A87EC4" w:rsidR="00E15516" w:rsidRDefault="00E15516" w:rsidP="00E15516">
      <w:pPr>
        <w:spacing w:after="0"/>
        <w:rPr>
          <w:b/>
          <w:bCs/>
          <w:i/>
        </w:rPr>
      </w:pPr>
      <w:r/>
    </w:p>
    <w:p w14:paraId="7B13F200" w14:textId="3F685DAA" w:rsidR="00DF37CC" w:rsidRDefault="00DF37CC" w:rsidP="00E15516">
      <w:pPr>
        <w:spacing w:after="0"/>
        <w:rPr>
          <w:b/>
          <w:bCs/>
          <w:i/>
        </w:rPr>
      </w:pPr>
      <w:r/>
    </w:p>
    <w:p w14:paraId="21DE1016" w14:textId="765C5130" w:rsidR="00DF37CC" w:rsidRDefault="00DF37CC" w:rsidP="00E15516">
      <w:pPr>
        <w:spacing w:after="0"/>
        <w:rPr>
          <w:b/>
          <w:bCs/>
          <w:i/>
        </w:rPr>
      </w:pPr>
      <w:r/>
    </w:p>
    <w:p w14:paraId="4EA39C3E" w14:textId="43E96FAA" w:rsidR="00DF37CC" w:rsidRDefault="00DF37CC" w:rsidP="00E15516">
      <w:pPr>
        <w:spacing w:after="0"/>
        <w:rPr>
          <w:b/>
          <w:bCs/>
          <w:i/>
        </w:rPr>
      </w:pPr>
      <w:r/>
    </w:p>
    <w:p w14:paraId="6D6DA83E" w14:textId="77777777" w:rsidR="00DF37CC" w:rsidRPr="00CC18FA" w:rsidRDefault="00DF37CC" w:rsidP="0058614F">
      <w:pPr>
        <w:spacing w:after="0"/>
        <w:rPr>
          <w:b/>
          <w:bCs/>
          <w:i/>
        </w:rPr>
      </w:pPr>
      <w:r/>
    </w:p>
    <w:p w14:paraId="465BFB37" w14:textId="77777777" w:rsidR="0016561F" w:rsidRPr="00DB41E3" w:rsidRDefault="0016561F" w:rsidP="0058614F">
      <w:pPr>
        <w:spacing w:after="0"/>
        <w:jc w:val="both"/>
        <w:rPr>
          <w:rFonts w:ascii="Times New Roman" w:hAnsi="Times New Roman" w:cs="Times New Roman"/>
        </w:rPr>
      </w:pPr>
      <w:r/>
    </w:p>
    <w:p w14:paraId="0E45FF78" w14:textId="77777777" w:rsidR="006D0E95" w:rsidRPr="00DB41E3" w:rsidRDefault="002C43FA" w:rsidP="001857EC">
      <w:pPr>
        <w:pStyle w:val="ListParagraph"/>
        <w:numPr>
          <w:ilvl w:val="0"/>
          <w:numId w:val="210"/>
        </w:numPr>
        <w:rPr>
          <w:szCs w:val="22"/>
        </w:rPr>
      </w:pPr>
      <w: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r/>
    </w:p>
    <w:p w14:paraId="3999F27A" w14:textId="54A33487" w:rsidR="002C43FA" w:rsidRDefault="00BA5FD2" w:rsidP="0058614F">
      <w:pPr>
        <w:spacing w:after="0" w:line="240" w:lineRule="auto"/>
        <w:jc w:val="both"/>
        <w:rPr>
          <w:rFonts w:ascii="Times New Roman" w:hAnsi="Times New Roman" w:cs="Times New Roman"/>
        </w:rPr>
      </w:pPr>
      <w:r>
        <w:t>Scenario 1: The scheme is at loss for Class A1 unitholders</w:t>
      </w:r>
    </w:p>
    <w:p w14:paraId="1422F7B0" w14:textId="1C84C9D8" w:rsidR="003A0F87" w:rsidRPr="0058614F" w:rsidRDefault="003A0F87" w:rsidP="009E0156">
      <w:pPr>
        <w:spacing w:after="0" w:line="240" w:lineRule="auto"/>
        <w:rPr>
          <w:rFonts w:ascii="Times New Roman" w:hAnsi="Times New Roman"/>
        </w:rPr>
      </w:pPr>
      <w: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t>Amount in INR million</w:t>
      </w:r>
    </w:p>
    <w:p w14:paraId="60BE79CF" w14:textId="7B79AFC5" w:rsidR="00FE7342" w:rsidRDefault="00FE7342">
      <w:pPr>
        <w:spacing w:after="0" w:line="240" w:lineRule="auto"/>
      </w:pPr>
      <w:r/>
    </w:p>
    <w:p w14:paraId="4ACC8514" w14:textId="0B153A54" w:rsidR="00175698" w:rsidRDefault="00175698" w:rsidP="0058614F">
      <w:pPr>
        <w:spacing w:after="0" w:line="240" w:lineRule="auto"/>
        <w:jc w:val="both"/>
        <w:rPr>
          <w:rFonts w:ascii="Times New Roman" w:hAnsi="Times New Roman" w:cs="Times New Roman"/>
        </w:rPr>
      </w:pPr>
      <w:r>
        <w:t>Scenario 2: The scheme is at no profit or no loss for Class A1 unitholders</w:t>
      </w:r>
    </w:p>
    <w:p w14:paraId="486B65F5" w14:textId="5B333FBE" w:rsidR="002431F0" w:rsidRPr="0058614F" w:rsidRDefault="002431F0" w:rsidP="00175698">
      <w:pPr>
        <w:spacing w:after="0" w:line="240" w:lineRule="auto"/>
        <w:rPr>
          <w:rFonts w:ascii="Times New Roman" w:hAnsi="Times New Roman"/>
        </w:rPr>
      </w:pPr>
      <w: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t>Amount in INR million</w:t>
      </w:r>
    </w:p>
    <w:p w14:paraId="6A85D5C9" w14:textId="5C03D8DF" w:rsidR="00791A71" w:rsidRDefault="00FE7342" w:rsidP="00175698">
      <w:pPr>
        <w:spacing w:after="0" w:line="240" w:lineRule="auto"/>
        <w:rPr>
          <w:rFonts w:ascii="Times New Roman" w:hAnsi="Times New Roman" w:cs="Times New Roman"/>
        </w:rPr>
      </w:pPr>
      <w:r/>
    </w:p>
    <w:p w14:paraId="3CDCDA4F" w14:textId="6ECC20DC" w:rsidR="00791A71" w:rsidRDefault="00B75BD5" w:rsidP="0058614F">
      <w:pPr>
        <w:spacing w:after="0" w:line="240" w:lineRule="auto"/>
        <w:jc w:val="both"/>
        <w:rPr>
          <w:rFonts w:ascii="Times New Roman" w:hAnsi="Times New Roman" w:cs="Times New Roman"/>
        </w:rPr>
      </w:pPr>
      <w:r>
        <w:t>Scenario 3: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r/>
    </w:p>
    <w:p w14:paraId="039BF288" w14:textId="14F9A02B" w:rsidR="00121A06" w:rsidRDefault="00121A06">
      <w:pPr>
        <w:spacing w:after="0" w:line="240" w:lineRule="auto"/>
        <w:jc w:val="both"/>
        <w:rPr>
          <w:rFonts w:ascii="Times New Roman" w:hAnsi="Times New Roman"/>
          <w:b/>
          <w:u w:val="single"/>
        </w:rPr>
      </w:pPr>
      <w:r/>
    </w:p>
    <w:p w14:paraId="5C731F55" w14:textId="583125B5" w:rsidR="00315DAC" w:rsidRDefault="00315DAC" w:rsidP="0058614F">
      <w:pPr>
        <w:spacing w:after="0" w:line="240" w:lineRule="auto"/>
        <w:rPr>
          <w:rFonts w:ascii="Times New Roman" w:hAnsi="Times New Roman" w:cs="Times New Roman"/>
          <w:i/>
        </w:rPr>
      </w:pPr>
      <w:r/>
    </w:p>
    <w:p w14:paraId="6465B0AD" w14:textId="7AC91FDA" w:rsidR="00132DC5" w:rsidRPr="00DB41E3" w:rsidRDefault="00132DC5" w:rsidP="00175698">
      <w:pPr>
        <w:spacing w:after="0" w:line="240" w:lineRule="auto"/>
        <w:rPr>
          <w:rFonts w:ascii="Times New Roman" w:hAnsi="Times New Roman" w:cs="Times New Roman"/>
        </w:rPr>
      </w:pPr>
      <w:r/>
    </w:p>
    <w:p w14:paraId="717A98EA" w14:textId="708080C5" w:rsidR="0058408E" w:rsidRDefault="00132DC5">
      <w:pPr>
        <w:spacing w:after="0" w:line="240" w:lineRule="auto"/>
        <w:jc w:val="both"/>
        <w:rPr>
          <w:rFonts w:ascii="Times New Roman" w:hAnsi="Times New Roman" w:cs="Times New Roman"/>
        </w:rPr>
      </w:pPr>
      <w:r>
        <w:t>Scenario 4: 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t>Amount in INR million</w:t>
      </w:r>
    </w:p>
    <w:p w14:paraId="71F20CD9" w14:textId="5933E8A5" w:rsidR="00DF37CC" w:rsidRDefault="00DF37CC">
      <w:pPr>
        <w:spacing w:after="0" w:line="240" w:lineRule="auto"/>
        <w:jc w:val="both"/>
        <w:rPr>
          <w:rFonts w:ascii="Times New Roman" w:hAnsi="Times New Roman"/>
          <w:b/>
          <w:u w:val="single"/>
        </w:rPr>
      </w:pPr>
      <w:r/>
    </w:p>
    <w:p w14:paraId="5C8B1B91" w14:textId="77777777" w:rsidR="00DF37CC" w:rsidRDefault="00DF37CC">
      <w:pPr>
        <w:spacing w:after="0" w:line="240" w:lineRule="auto"/>
        <w:jc w:val="both"/>
        <w:rPr>
          <w:rFonts w:ascii="Times New Roman" w:hAnsi="Times New Roman"/>
          <w:b/>
          <w:u w:val="single"/>
        </w:rPr>
      </w:pPr>
      <w:r/>
    </w:p>
    <w:p w14:paraId="4F8D5120" w14:textId="77777777" w:rsidR="00DF37CC" w:rsidRDefault="00DF37CC">
      <w:pPr>
        <w:spacing w:after="0" w:line="240" w:lineRule="auto"/>
        <w:jc w:val="both"/>
        <w:rPr>
          <w:rFonts w:ascii="Times New Roman" w:hAnsi="Times New Roman"/>
          <w:b/>
          <w:u w:val="single"/>
        </w:rPr>
      </w:pPr>
      <w:r/>
    </w:p>
    <w:p w14:paraId="7290FCF7" w14:textId="5F14BBF4" w:rsidR="00132DC5" w:rsidRDefault="00DF37CC" w:rsidP="0058614F">
      <w:pPr>
        <w:spacing w:after="0" w:line="240" w:lineRule="auto"/>
        <w:jc w:val="both"/>
        <w:rPr>
          <w:rFonts w:ascii="Times New Roman" w:hAnsi="Times New Roman" w:cs="Times New Roman"/>
        </w:rPr>
      </w:pPr>
      <w:r>
        <w:t>Scenario 5: 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t>Amount in INR million</w:t>
      </w:r>
    </w:p>
    <w:p w14:paraId="10F88F3B" w14:textId="2006BC81" w:rsidR="00DF37CC" w:rsidRDefault="00DF37CC" w:rsidP="00175698">
      <w:pPr>
        <w:spacing w:after="0" w:line="240" w:lineRule="auto"/>
        <w:rPr>
          <w:rFonts w:ascii="Times New Roman" w:hAnsi="Times New Roman"/>
          <w:b/>
          <w:u w:val="single"/>
        </w:rPr>
      </w:pPr>
      <w:r/>
    </w:p>
    <w:p w14:paraId="5E59A839" w14:textId="77777777" w:rsidR="00DF37CC" w:rsidRDefault="00DF37CC" w:rsidP="00175698">
      <w:pPr>
        <w:spacing w:after="0" w:line="240" w:lineRule="auto"/>
        <w:rPr>
          <w:rFonts w:ascii="Times New Roman" w:hAnsi="Times New Roman"/>
          <w:b/>
          <w:u w:val="single"/>
        </w:rPr>
      </w:pPr>
      <w:r/>
    </w:p>
    <w:p w14:paraId="00A5A33C" w14:textId="77777777" w:rsidR="00DF37CC" w:rsidRDefault="00DF37CC" w:rsidP="00175698">
      <w:pPr>
        <w:spacing w:after="0" w:line="240" w:lineRule="auto"/>
        <w:rPr>
          <w:rFonts w:ascii="Times New Roman" w:hAnsi="Times New Roman"/>
          <w:b/>
          <w:u w:val="single"/>
        </w:rPr>
      </w:pPr>
      <w:r/>
    </w:p>
    <w:p w14:paraId="700AFD62" w14:textId="77777777" w:rsidR="00DF37CC" w:rsidRDefault="00DF37CC" w:rsidP="00175698">
      <w:pPr>
        <w:spacing w:after="0" w:line="240" w:lineRule="auto"/>
        <w:rPr>
          <w:rFonts w:ascii="Times New Roman" w:hAnsi="Times New Roman"/>
          <w:b/>
          <w:u w:val="single"/>
        </w:rPr>
      </w:pPr>
      <w:r/>
    </w:p>
    <w:p w14:paraId="1E53FA63" w14:textId="762E79FE" w:rsidR="00132DC5" w:rsidRDefault="00A7420B" w:rsidP="00175698">
      <w:pPr>
        <w:spacing w:after="0" w:line="240" w:lineRule="auto"/>
        <w:rPr>
          <w:rFonts w:ascii="Times New Roman" w:hAnsi="Times New Roman" w:cs="Times New Roman"/>
        </w:rPr>
      </w:pPr>
      <w:r>
        <w:t>Scenario 6: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t>Amount in INR million</w:t>
      </w:r>
    </w:p>
    <w:p w14:paraId="4D0DE270" w14:textId="3402ECD4" w:rsidR="00DF37CC" w:rsidRDefault="00B71F9B">
      <w:pPr>
        <w:spacing w:after="0" w:line="240" w:lineRule="auto"/>
        <w:jc w:val="both"/>
        <w:rPr>
          <w:rFonts w:ascii="Times New Roman" w:hAnsi="Times New Roman"/>
          <w:b/>
          <w:u w:val="single"/>
        </w:rPr>
      </w:pPr>
      <w:r/>
    </w:p>
    <w:p w14:paraId="48EC2BE1" w14:textId="395CE135" w:rsidR="00DF37CC" w:rsidRDefault="00DF37CC">
      <w:pPr>
        <w:spacing w:after="0" w:line="240" w:lineRule="auto"/>
        <w:jc w:val="both"/>
        <w:rPr>
          <w:rFonts w:ascii="Times New Roman" w:hAnsi="Times New Roman"/>
          <w:b/>
          <w:u w:val="single"/>
        </w:rPr>
      </w:pPr>
      <w:r/>
    </w:p>
    <w:p w14:paraId="056E98A2" w14:textId="77777777" w:rsidR="00DF37CC" w:rsidRDefault="00DF37CC">
      <w:pPr>
        <w:spacing w:after="0" w:line="240" w:lineRule="auto"/>
        <w:jc w:val="both"/>
        <w:rPr>
          <w:rFonts w:ascii="Times New Roman" w:hAnsi="Times New Roman"/>
          <w:b/>
          <w:u w:val="single"/>
        </w:rPr>
      </w:pPr>
      <w:r/>
    </w:p>
    <w:p w14:paraId="14651A73" w14:textId="2D5733E5" w:rsidR="00132DC5" w:rsidRDefault="00D8359C" w:rsidP="0058614F">
      <w:pPr>
        <w:spacing w:after="0" w:line="240" w:lineRule="auto"/>
        <w:jc w:val="both"/>
        <w:rPr>
          <w:rFonts w:ascii="Times New Roman" w:hAnsi="Times New Roman" w:cs="Times New Roman"/>
        </w:rPr>
      </w:pPr>
      <w:r>
        <w:t>Scenario 7: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p>
    <w:p w14:paraId="2A146868" w14:textId="77777777" w:rsidR="004B489B" w:rsidRPr="00DB41E3" w:rsidRDefault="004B489B">
      <w:pPr>
        <w:rPr>
          <w:rFonts w:ascii="Times New Roman" w:hAnsi="Times New Roman" w:cs="Times New Roman"/>
        </w:rPr>
      </w:pPr>
      <w:r/>
    </w:p>
    <w:p w14:paraId="00DBA323" w14:textId="6A1A27CA" w:rsidR="00EF2F34" w:rsidRPr="00DB41E3" w:rsidRDefault="00EF2F34" w:rsidP="00E15516">
      <w:pPr>
        <w:pStyle w:val="Heading1"/>
        <w:rPr>
          <w:w w:val="0"/>
        </w:rPr>
      </w:pPr>
      <w:r>
        <w:t>SECTION XIV: DISCIPLINARY HISTORY</w:t>
      </w:r>
    </w:p>
    <w:p w14:paraId="050E382E" w14:textId="77777777" w:rsidR="00EF2F34" w:rsidRPr="00DB41E3" w:rsidRDefault="00EF2F34" w:rsidP="00AF053E">
      <w:pPr>
        <w:rPr>
          <w:rFonts w:ascii="Times New Roman" w:hAnsi="Times New Roman" w:cs="Times New Roman"/>
          <w:w w:val="0"/>
        </w:rPr>
      </w:pPr>
      <w: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t xml:space="preserve">Disciplinary history of the Trust, Trustee, Sponsor/s, Investment Manager and their respective directors, promoters and Associates (as may be applicable) are provided hereunder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t>The Trust, Sponsor/s, Investment Manager and their respective directors and Associates (as may be applicable), Trustee of the Trust/ Fund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r/>
    </w:p>
    <w:p w14:paraId="195527F0" w14:textId="1A4AD4BD" w:rsidR="00EF2F34" w:rsidRPr="00DB41E3" w:rsidRDefault="00EF2F34" w:rsidP="001F604A">
      <w:pPr>
        <w:spacing w:after="0" w:line="276" w:lineRule="auto"/>
        <w:jc w:val="both"/>
        <w:rPr>
          <w:rFonts w:ascii="Times New Roman" w:hAnsi="Times New Roman" w:cs="Times New Roman"/>
          <w:b/>
        </w:rPr>
      </w:pPr>
      <w:r>
        <w:t>None</w:t>
      </w:r>
    </w:p>
    <w:p w14:paraId="72E9EFBC" w14:textId="7DC00746" w:rsidR="00EF2F34" w:rsidRPr="00DB41E3" w:rsidRDefault="00EF2F34" w:rsidP="001F604A">
      <w:pPr>
        <w:spacing w:after="0" w:line="276" w:lineRule="auto"/>
        <w:jc w:val="both"/>
        <w:rPr>
          <w:rFonts w:ascii="Times New Roman" w:hAnsi="Times New Roman" w:cs="Times New Roman"/>
          <w:b/>
        </w:rPr>
      </w:pPr>
      <w: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t>(2) any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r/>
    </w:p>
    <w:p w14:paraId="528BFE39" w14:textId="216C1802" w:rsidR="00EF2F34" w:rsidRPr="00DB41E3" w:rsidRDefault="00EF2F34" w:rsidP="001F604A">
      <w:pPr>
        <w:spacing w:after="0" w:line="276" w:lineRule="auto"/>
        <w:jc w:val="both"/>
        <w:rPr>
          <w:rFonts w:ascii="Times New Roman" w:hAnsi="Times New Roman" w:cs="Times New Roman"/>
          <w:b/>
        </w:rPr>
      </w:pPr>
      <w:r>
        <w:t>None</w:t>
      </w:r>
    </w:p>
    <w:p w14:paraId="5FA4BCAD" w14:textId="15E81046" w:rsidR="00EF2F34" w:rsidRPr="00DB41E3" w:rsidRDefault="00EF2F34" w:rsidP="001F604A">
      <w:pPr>
        <w:spacing w:after="0" w:line="276" w:lineRule="auto"/>
        <w:jc w:val="both"/>
        <w:rPr>
          <w:rFonts w:ascii="Times New Roman" w:hAnsi="Times New Roman" w:cs="Times New Roman"/>
          <w:b/>
        </w:rPr>
      </w:pPr>
      <w: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r/>
    </w:p>
    <w:p w14:paraId="1929C168" w14:textId="50D1AFA6" w:rsidR="00EF2F34" w:rsidRPr="00DB41E3" w:rsidRDefault="00EF2F34" w:rsidP="001F604A">
      <w:pPr>
        <w:spacing w:after="0" w:line="276" w:lineRule="auto"/>
        <w:jc w:val="both"/>
        <w:rPr>
          <w:rFonts w:ascii="Times New Roman" w:hAnsi="Times New Roman" w:cs="Times New Roman"/>
          <w:b/>
        </w:rPr>
      </w:pPr>
      <w:r>
        <w:t>None</w:t>
      </w:r>
    </w:p>
    <w:p w14:paraId="71ED764A" w14:textId="77777777" w:rsidR="00EF2F34" w:rsidRPr="00DB41E3" w:rsidRDefault="00EF2F34" w:rsidP="001F604A">
      <w:pPr>
        <w:spacing w:after="0" w:line="276" w:lineRule="auto"/>
        <w:jc w:val="both"/>
        <w:rPr>
          <w:rFonts w:ascii="Times New Roman" w:hAnsi="Times New Roman" w:cs="Times New Roman"/>
          <w:b/>
        </w:rPr>
      </w:pPr>
      <w: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t>The details with respect to the disciplinary history of Beacon Trusteeship Limited, i.e. the Trustee of the Trust/ Fund 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r/>
    </w:p>
    <w:p w14:paraId="29E4D648" w14:textId="50ECD075" w:rsidR="00EF2F34" w:rsidRPr="00DB41E3" w:rsidRDefault="00EF2F34" w:rsidP="00FD0B7F">
      <w:pPr>
        <w:pStyle w:val="Text"/>
        <w:spacing w:after="0" w:line="276" w:lineRule="auto"/>
        <w:jc w:val="both"/>
        <w:rPr>
          <w:rStyle w:val="PageNumber"/>
          <w:sz w:val="22"/>
          <w:szCs w:val="22"/>
        </w:rPr>
      </w:pPr>
      <w:r>
        <w:t>(1)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t>(2) any disciplinary action taken by SEBI or any other regulatory authority (including the overseas regulator).</w:t>
      </w:r>
    </w:p>
    <w:p w14:paraId="4B3CBC8A" w14:textId="77777777" w:rsidR="00EF2F34" w:rsidRPr="00DB41E3" w:rsidRDefault="00EF2F34" w:rsidP="00EF2F34">
      <w:pPr>
        <w:pStyle w:val="Text"/>
        <w:spacing w:after="0" w:line="276" w:lineRule="auto"/>
        <w:jc w:val="both"/>
        <w:rPr>
          <w:rFonts w:eastAsia="Arial"/>
          <w:sz w:val="22"/>
          <w:szCs w:val="22"/>
          <w:lang w:val="en-US"/>
        </w:rPr>
      </w:pPr>
      <w:r/>
    </w:p>
    <w:p w14:paraId="7419CA87" w14:textId="1A1F9B98" w:rsidR="00EF2F34" w:rsidRPr="00DB41E3" w:rsidRDefault="00EF2F34" w:rsidP="006B3B0E">
      <w:pPr>
        <w:spacing w:line="276" w:lineRule="auto"/>
        <w:jc w:val="both"/>
        <w:rPr>
          <w:rFonts w:ascii="Times New Roman" w:hAnsi="Times New Roman" w:cs="Times New Roman"/>
          <w:b/>
        </w:rPr>
      </w:pPr>
      <w:r>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r/>
    </w:p>
    <w:p w14:paraId="5E298B7D" w14:textId="38A000C0" w:rsidR="00EF2F34" w:rsidRPr="00DB41E3" w:rsidRDefault="00EB6264" w:rsidP="00EF2F34">
      <w:pPr>
        <w:rPr>
          <w:rFonts w:ascii="Times New Roman" w:hAnsi="Times New Roman" w:cs="Times New Roman"/>
          <w:b/>
          <w:color w:val="000000" w:themeColor="text1"/>
          <w:w w:val="0"/>
        </w:rPr>
      </w:pPr>
      <w:r>
        <w:t>None</w:t>
        <w:br/>
      </w:r>
    </w:p>
    <w:p w14:paraId="7AD9204F" w14:textId="76E28A5A" w:rsidR="00EF2F34" w:rsidRPr="00DB41E3" w:rsidRDefault="00EF2F34" w:rsidP="00E15516">
      <w:pPr>
        <w:pStyle w:val="Heading1"/>
        <w:rPr>
          <w:w w:val="0"/>
        </w:rPr>
      </w:pPr>
      <w:r>
        <w:t>SECTION XV: GLOSSARY</w:t>
      </w:r>
    </w:p>
    <w:p w14:paraId="656D7FCE" w14:textId="77777777" w:rsidR="007E044C" w:rsidRPr="00DB41E3" w:rsidRDefault="007E044C" w:rsidP="007E044C">
      <w:pPr>
        <w:rPr>
          <w:rFonts w:ascii="Times New Roman" w:hAnsi="Times New Roman" w:cs="Times New Roman"/>
        </w:rPr>
      </w:pPr>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r w:rsidRPr="00DB41E3">
              <w:rPr>
                <w:rStyle w:val="Doubleunderline"/>
                <w:b w:val="0"/>
                <w:bCs w:val="0"/>
                <w:color w:val="0D0D0D" w:themeColor="text1" w:themeTint="F2"/>
                <w:sz w:val="22"/>
                <w:szCs w:val="22"/>
                <w:u w:val="none"/>
              </w:rPr>
              <w:t>has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r w:rsidRPr="00DB41E3">
              <w:rPr>
                <w:rStyle w:val="PageNumber"/>
                <w:color w:val="0D0D0D" w:themeColor="text1" w:themeTint="F2"/>
                <w:sz w:val="22"/>
                <w:szCs w:val="22"/>
              </w:rPr>
              <w:t>has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r w:rsidRPr="00DB41E3">
              <w:rPr>
                <w:rStyle w:val="PageNumber"/>
                <w:color w:val="0D0D0D" w:themeColor="text1" w:themeTint="F2"/>
                <w:sz w:val="22"/>
                <w:szCs w:val="22"/>
              </w:rPr>
              <w:t>has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r w:rsidRPr="00DB41E3">
              <w:rPr>
                <w:rStyle w:val="Doubleunderline"/>
                <w:b w:val="0"/>
                <w:bCs w:val="0"/>
                <w:color w:val="0D0D0D" w:themeColor="text1" w:themeTint="F2"/>
                <w:sz w:val="22"/>
                <w:szCs w:val="22"/>
                <w:u w:val="none"/>
              </w:rPr>
              <w:t xml:space="preserve">means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means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r w:rsidRPr="00DB41E3">
              <w:rPr>
                <w:color w:val="0D0D0D" w:themeColor="text1" w:themeTint="F2"/>
                <w:sz w:val="22"/>
                <w:szCs w:val="22"/>
                <w:lang w:val="en-US"/>
              </w:rPr>
              <w:t xml:space="preserve">has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Subclass/es,</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Rs.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in accordance with the terms of their respective Contribution Agreement, which represents Beneficial Interest of the respective Contributor in the Fund, the face value of which shall be Rs.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in accordance with the terms of their respective Contribution Agreement, which represents Beneficial Interest of the respective Contributor in the Fund, the face value of which shall be Rs.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Subclass/es,</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r w:rsidR="00027C7E" w:rsidRPr="00DB41E3">
              <w:rPr>
                <w:rStyle w:val="Doubleunderline"/>
                <w:b w:val="0"/>
                <w:bCs w:val="0"/>
                <w:color w:val="0D0D0D" w:themeColor="text1" w:themeTint="F2"/>
                <w:sz w:val="22"/>
                <w:szCs w:val="22"/>
                <w:u w:val="none"/>
              </w:rPr>
              <w:t>Rs.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the face value of each shall be Rs.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the face value of each shall be Rs.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r w:rsidRPr="00DB41E3">
              <w:rPr>
                <w:rStyle w:val="Doubleunderline"/>
                <w:b w:val="0"/>
                <w:color w:val="0D0D0D" w:themeColor="text1" w:themeTint="F2"/>
                <w:sz w:val="22"/>
                <w:szCs w:val="22"/>
                <w:u w:val="none"/>
              </w:rPr>
              <w:t>means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the face value of each shall be Rs.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to the Contributors resident outside India</w:t>
            </w:r>
            <w:r w:rsidR="00D53DE3" w:rsidRPr="00DB41E3">
              <w:rPr>
                <w:rStyle w:val="Doubleunderline"/>
                <w:b w:val="0"/>
                <w:bCs w:val="0"/>
                <w:color w:val="0D0D0D" w:themeColor="text1" w:themeTint="F2"/>
                <w:sz w:val="22"/>
                <w:szCs w:val="22"/>
                <w:u w:val="none"/>
              </w:rPr>
              <w:t>(including Units of Subclass/es,</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Subclass/es,</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means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to Accredited Investors,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shall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r w:rsidRPr="00DB41E3">
              <w:rPr>
                <w:rFonts w:ascii="Times New Roman" w:hAnsi="Times New Roman" w:cs="Times New Roman"/>
                <w:color w:val="0D0D0D" w:themeColor="text1" w:themeTint="F2"/>
              </w:rPr>
              <w:t xml:space="preserve">means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 Person who: (i)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r w:rsidRPr="007043BC">
              <w:rPr>
                <w:rStyle w:val="Doubleunderline"/>
                <w:b w:val="0"/>
                <w:bCs w:val="0"/>
                <w:color w:val="0D0D0D" w:themeColor="text1" w:themeTint="F2"/>
                <w:sz w:val="22"/>
                <w:szCs w:val="22"/>
                <w:u w:val="none"/>
              </w:rPr>
              <w:t xml:space="preserve">means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color w:val="0D0D0D" w:themeColor="text1" w:themeTint="F2"/>
                <w:sz w:val="22"/>
                <w:szCs w:val="22"/>
              </w:rPr>
              <w:t xml:space="preserve">means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r w:rsidRPr="00DB41E3">
              <w:rPr>
                <w:rStyle w:val="Doubleunderline"/>
                <w:b w:val="0"/>
                <w:bCs w:val="0"/>
                <w:color w:val="0D0D0D" w:themeColor="text1" w:themeTint="F2"/>
                <w:sz w:val="22"/>
                <w:szCs w:val="22"/>
                <w:u w:val="none"/>
              </w:rPr>
              <w:t>means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r w:rsidRPr="00DB41E3">
              <w:rPr>
                <w:color w:val="0D0D0D" w:themeColor="text1" w:themeTint="F2"/>
                <w:sz w:val="22"/>
                <w:szCs w:val="22"/>
                <w:lang w:val="en-US"/>
              </w:rPr>
              <w:t>with respect to a Contributor or Class (including a Subclass), shall mean aggregate amounts utilised from Capital Contributions of such Contributor or Class (post appropriating/adjusting the Fund Expenses/charges, as applicable) 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Indian Rupees or Rs.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sum of Rs.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sz w:val="22"/>
                <w:szCs w:val="22"/>
                <w:u w:val="none"/>
                <w:lang w:val="en-IN"/>
              </w:rPr>
              <w:t xml:space="preserve">means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means and includes an individual, banks, insurance companies, bodies corporate, estates, family offices, non-banking finance companies, societies, hindu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r w:rsidRPr="00DB41E3">
              <w:rPr>
                <w:rStyle w:val="Doubleunderline"/>
                <w:b w:val="0"/>
                <w:bCs w:val="0"/>
                <w:color w:val="0D0D0D" w:themeColor="text1" w:themeTint="F2"/>
                <w:sz w:val="22"/>
                <w:szCs w:val="22"/>
                <w:u w:val="none"/>
              </w:rPr>
              <w:t xml:space="preserve">means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r w:rsidRPr="00DB41E3">
              <w:rPr>
                <w:color w:val="0D0D0D" w:themeColor="text1" w:themeTint="F2"/>
                <w:sz w:val="22"/>
                <w:szCs w:val="22"/>
              </w:rPr>
              <w:t>means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r w:rsidRPr="00DB41E3">
              <w:rPr>
                <w:rStyle w:val="Doubleunderline"/>
                <w:b w:val="0"/>
                <w:bCs w:val="0"/>
                <w:color w:val="0D0D0D" w:themeColor="text1" w:themeTint="F2"/>
                <w:sz w:val="22"/>
                <w:szCs w:val="22"/>
                <w:u w:val="none"/>
              </w:rPr>
              <w:t xml:space="preserve">means Mr. </w:t>
            </w:r>
            <w:r w:rsidRPr="00DB41E3">
              <w:rPr>
                <w:bCs/>
                <w:iCs/>
                <w:color w:val="0D0D0D" w:themeColor="text1" w:themeTint="F2"/>
                <w:sz w:val="22"/>
                <w:szCs w:val="22"/>
              </w:rPr>
              <w:t>Mehul Sohanraj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 xml:space="preserve">s </w:t>
            </w:r>
            <w:r w:rsidR="000C767C" w:rsidRPr="00DB41E3">
              <w:rPr>
                <w:b/>
                <w:bCs/>
                <w:color w:val="0D0D0D" w:themeColor="text1" w:themeTint="F2"/>
                <w:sz w:val="22"/>
                <w:szCs w:val="22"/>
                <w:lang w:val="en-IN"/>
              </w:rPr>
              <w:t>Mr. Atul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with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in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all forms of tax, levy, duty, fee, surcharge, cess, impost, withholding tax, equalisation levy, tax collected at source including income tax, goods &amp; services tax, tax payable in a representative assessee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all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color w:val="0D0D0D" w:themeColor="text1" w:themeTint="F2"/>
              </w:rPr>
              <w:t>means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r/>
    </w:p>
    <w:p w14:paraId="0C14CED3" w14:textId="77777777" w:rsidR="00673C15" w:rsidRPr="00DB41E3" w:rsidRDefault="00673C15">
      <w:pPr>
        <w:rPr>
          <w:rFonts w:ascii="Times New Roman" w:hAnsi="Times New Roman" w:cs="Times New Roman"/>
          <w:color w:val="000000"/>
          <w:lang w:val="en-IN"/>
        </w:rPr>
      </w:pPr>
      <w:r>
        <w:br/>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t>PART - B</w:t>
      </w:r>
    </w:p>
    <w:p w14:paraId="18B20C70" w14:textId="63866323" w:rsidR="00EF2F34" w:rsidRPr="00DB41E3" w:rsidRDefault="00EF2F34" w:rsidP="00E15516">
      <w:pPr>
        <w:pStyle w:val="Heading1"/>
        <w:rPr>
          <w:w w:val="0"/>
        </w:rPr>
      </w:pPr>
      <w:r>
        <w:t>SECTION XVI: SUPPLEMENTARY INFORMATION</w:t>
      </w:r>
    </w:p>
    <w:p w14:paraId="23C0F309" w14:textId="4090490D" w:rsidR="00D06377" w:rsidRPr="00DB41E3" w:rsidRDefault="0091030B" w:rsidP="009D51EB">
      <w:pPr>
        <w:rPr>
          <w:rFonts w:ascii="Times New Roman" w:hAnsi="Times New Roman" w:cs="Times New Roman"/>
        </w:rPr>
      </w:pPr>
      <w:r>
        <w:t>There is no additional information in relation to the Fund, Investment Manager, Sponsor/s, key investment team that does not form part of the above sections.</w:t>
      </w:r>
    </w:p>
    <w:p w14:paraId="23AEA6AE" w14:textId="77777777" w:rsidR="00D06377" w:rsidRPr="00DB41E3" w:rsidRDefault="00D06377">
      <w:pPr>
        <w:rPr>
          <w:rFonts w:ascii="Times New Roman" w:hAnsi="Times New Roman" w:cs="Times New Roman"/>
        </w:rPr>
      </w:pPr>
      <w:r>
        <w:br/>
      </w:r>
    </w:p>
    <w:p w14:paraId="26135310" w14:textId="6E07B466" w:rsidR="00D06377" w:rsidRPr="00DB41E3" w:rsidRDefault="00D06377" w:rsidP="00E15516">
      <w:pPr>
        <w:pStyle w:val="Heading1"/>
        <w:rPr>
          <w:w w:val="0"/>
        </w:rPr>
      </w:pPr>
      <w:r>
        <w:t>SECTION XVII: INVESTOR CHARTER AND COMPLAINTS DATA</w:t>
      </w:r>
    </w:p>
    <w:p w14:paraId="63E547F7" w14:textId="77777777" w:rsidR="00532642" w:rsidRPr="00DB41E3" w:rsidRDefault="00532642" w:rsidP="00532642">
      <w:pPr>
        <w:pStyle w:val="NoSpacing"/>
        <w:jc w:val="center"/>
        <w:rPr>
          <w:b/>
          <w:bCs/>
          <w:sz w:val="22"/>
          <w:szCs w:val="22"/>
          <w:u w:val="single"/>
        </w:rPr>
      </w:pPr>
      <w:r>
        <w:t>Annexure X</w:t>
      </w:r>
    </w:p>
    <w:p w14:paraId="6E06B4A1" w14:textId="77777777" w:rsidR="00532642" w:rsidRPr="00DB41E3" w:rsidRDefault="00532642" w:rsidP="00532642">
      <w:pPr>
        <w:pStyle w:val="NoSpacing"/>
        <w:jc w:val="center"/>
        <w:rPr>
          <w:b/>
          <w:sz w:val="22"/>
          <w:szCs w:val="22"/>
        </w:rPr>
      </w:pPr>
      <w:r/>
    </w:p>
    <w:p w14:paraId="124C85E4" w14:textId="77777777" w:rsidR="00532642" w:rsidRPr="00DB41E3" w:rsidRDefault="00532642" w:rsidP="00532642">
      <w:pPr>
        <w:pStyle w:val="NoSpacing"/>
        <w:jc w:val="center"/>
        <w:rPr>
          <w:b/>
          <w:sz w:val="22"/>
          <w:szCs w:val="22"/>
          <w:u w:val="single"/>
        </w:rPr>
      </w:pPr>
      <w:r>
        <w:t>Investor charter for the AIF</w:t>
      </w:r>
    </w:p>
    <w:p w14:paraId="1CB949FB" w14:textId="77777777" w:rsidR="00532642" w:rsidRPr="00DB41E3" w:rsidRDefault="00532642" w:rsidP="00532642">
      <w:pPr>
        <w:pStyle w:val="NoSpacing"/>
        <w:jc w:val="both"/>
        <w:rPr>
          <w:b/>
          <w:sz w:val="22"/>
          <w:szCs w:val="22"/>
        </w:rPr>
      </w:pPr>
      <w: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Vision and Mission Statement:</w:t>
      </w:r>
    </w:p>
    <w:p w14:paraId="46448831" w14:textId="77777777" w:rsidR="00532642" w:rsidRPr="00DB41E3" w:rsidRDefault="00532642" w:rsidP="00532642">
      <w:pPr>
        <w:pStyle w:val="NoSpacing"/>
        <w:jc w:val="both"/>
        <w:rPr>
          <w:b/>
          <w:sz w:val="22"/>
          <w:szCs w:val="22"/>
        </w:rPr>
      </w:pPr>
      <w:r/>
    </w:p>
    <w:p w14:paraId="4E29A04F" w14:textId="77777777" w:rsidR="00532642" w:rsidRPr="00DB41E3" w:rsidRDefault="00532642" w:rsidP="00532642">
      <w:pPr>
        <w:pStyle w:val="NoSpacing"/>
        <w:jc w:val="both"/>
        <w:rPr>
          <w:b/>
          <w:sz w:val="22"/>
          <w:szCs w:val="22"/>
        </w:rPr>
      </w:pPr>
      <w:r>
        <w:t>Vision</w:t>
      </w:r>
    </w:p>
    <w:p w14:paraId="2DF7CEBE" w14:textId="77777777" w:rsidR="00532642" w:rsidRPr="00DB41E3" w:rsidRDefault="00532642" w:rsidP="00532642">
      <w:pPr>
        <w:pStyle w:val="NoSpacing"/>
        <w:jc w:val="both"/>
        <w:rPr>
          <w:sz w:val="22"/>
          <w:szCs w:val="22"/>
        </w:rPr>
      </w:pPr>
      <w:r>
        <w:t>To develop the Alternative Investment Fund (“AIF”) industry on professional and ethical lines and maintain high standards of governance and transparency.</w:t>
      </w:r>
    </w:p>
    <w:p w14:paraId="16C312E9" w14:textId="77777777" w:rsidR="00532642" w:rsidRPr="00DB41E3" w:rsidRDefault="00532642" w:rsidP="00532642">
      <w:pPr>
        <w:pStyle w:val="NoSpacing"/>
        <w:jc w:val="both"/>
        <w:rPr>
          <w:sz w:val="22"/>
          <w:szCs w:val="22"/>
        </w:rPr>
      </w:pPr>
      <w:r/>
    </w:p>
    <w:p w14:paraId="54B93DD9" w14:textId="77777777" w:rsidR="00532642" w:rsidRPr="00DB41E3" w:rsidRDefault="00532642" w:rsidP="00532642">
      <w:pPr>
        <w:pStyle w:val="NoSpacing"/>
        <w:jc w:val="both"/>
        <w:rPr>
          <w:b/>
          <w:bCs/>
          <w:sz w:val="22"/>
          <w:szCs w:val="22"/>
        </w:rPr>
      </w:pPr>
      <w: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Maintain high professional and ethical standards within the AIF 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Comply with all applicable regulations and co-operate with the regulators in all aspects of the AIF 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Act in a fiduciary capacity towards the Investors.</w:t>
      </w:r>
    </w:p>
    <w:p w14:paraId="48368204" w14:textId="77777777" w:rsidR="00532642" w:rsidRPr="00DB41E3" w:rsidRDefault="00532642" w:rsidP="00532642">
      <w:pPr>
        <w:pStyle w:val="NoSpacing"/>
        <w:jc w:val="both"/>
        <w:rPr>
          <w:sz w:val="22"/>
          <w:szCs w:val="22"/>
        </w:rPr>
      </w:pPr>
      <w: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business transacted by the organization with respect to the investors:</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raise capital from domestic and global 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invest in portfolio companies in accordance with investment strategy stated in fund documents, with an objective to generate positive returns for the stakeholders including investors.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distribute returns to the investors as per the fund documents.</w:t>
      </w:r>
    </w:p>
    <w:p w14:paraId="41325FB9" w14:textId="77777777" w:rsidR="00532642" w:rsidRPr="00DB41E3" w:rsidRDefault="00532642" w:rsidP="00532642">
      <w:pPr>
        <w:pStyle w:val="NoSpacing"/>
        <w:jc w:val="both"/>
        <w:rPr>
          <w:sz w:val="22"/>
          <w:szCs w:val="22"/>
        </w:rPr>
      </w:pPr>
      <w: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services provided to investors:</w:t>
      </w:r>
    </w:p>
    <w:p w14:paraId="3F7045FD" w14:textId="77777777" w:rsidR="00532642" w:rsidRPr="00DB41E3" w:rsidRDefault="00532642" w:rsidP="00532642">
      <w:pPr>
        <w:pStyle w:val="NoSpacing"/>
        <w:jc w:val="both"/>
        <w:rPr>
          <w:b/>
          <w:sz w:val="22"/>
          <w:szCs w:val="22"/>
        </w:rPr>
      </w:pPr>
      <w: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On-boarding of 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Sharing of the Private Placement Memorandum (“PPM”).</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Account opening with the 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Completing KYC of Investors and registration of KYC with 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Sharing of copies of fund documents with investors.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Entering into contribution agreement with investor.</w:t>
      </w:r>
    </w:p>
    <w:p w14:paraId="10DCA38B" w14:textId="77777777" w:rsidR="00532642" w:rsidRPr="00DB41E3" w:rsidRDefault="00532642" w:rsidP="00532642">
      <w:pPr>
        <w:pStyle w:val="NoSpacing"/>
        <w:jc w:val="both"/>
        <w:rPr>
          <w:sz w:val="22"/>
          <w:szCs w:val="22"/>
        </w:rPr>
      </w:pPr>
      <w: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the sponsor or the investment manager of the 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control of the sponsor or the investment manager of the 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Material changes to terms of 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Winding up of fund prior to expiry of tenure.</w:t>
      </w:r>
    </w:p>
    <w:p w14:paraId="696EAE37" w14:textId="77777777" w:rsidR="00532642" w:rsidRPr="00DB41E3" w:rsidRDefault="00532642" w:rsidP="00532642">
      <w:pPr>
        <w:pStyle w:val="NoSpacing"/>
        <w:jc w:val="both"/>
        <w:rPr>
          <w:sz w:val="22"/>
          <w:szCs w:val="22"/>
        </w:rPr>
      </w:pPr>
      <w: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net asset value of fund.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Information on performance of fund.</w:t>
      </w:r>
    </w:p>
    <w:p w14:paraId="79A87FBF" w14:textId="77777777" w:rsidR="00532642" w:rsidRPr="00DB41E3" w:rsidRDefault="00532642" w:rsidP="00532642">
      <w:pPr>
        <w:pStyle w:val="NoSpacing"/>
        <w:ind w:left="1134"/>
        <w:jc w:val="both"/>
        <w:rPr>
          <w:b/>
          <w:sz w:val="22"/>
          <w:szCs w:val="22"/>
        </w:rPr>
      </w:pPr>
      <w: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Redressal of Investor complaints received directly from investors and/or from SEBI / SCORES.</w:t>
      </w:r>
    </w:p>
    <w:p w14:paraId="67E79A40" w14:textId="77777777" w:rsidR="00532642" w:rsidRPr="00DB41E3" w:rsidRDefault="00532642" w:rsidP="00532642">
      <w:pPr>
        <w:pStyle w:val="NoSpacing"/>
        <w:jc w:val="both"/>
        <w:rPr>
          <w:sz w:val="22"/>
          <w:szCs w:val="22"/>
        </w:rPr>
      </w:pPr>
      <w: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Timelines of the activity/services provided to investors:</w:t>
      </w:r>
    </w:p>
    <w:p w14:paraId="3F72F06C" w14:textId="77777777" w:rsidR="00532642" w:rsidRPr="00DB41E3" w:rsidRDefault="00532642" w:rsidP="00532642">
      <w:pPr>
        <w:pStyle w:val="NoSpacing"/>
        <w:jc w:val="both"/>
        <w:rPr>
          <w:b/>
          <w:bCs/>
          <w:sz w:val="22"/>
          <w:szCs w:val="22"/>
          <w:u w:val="single"/>
        </w:rPr>
      </w:pPr>
      <w: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r w:rsidRPr="00DB41E3">
              <w:rPr>
                <w:sz w:val="22"/>
                <w:szCs w:val="22"/>
              </w:rPr>
              <w:t>i.</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r/>
    </w:p>
    <w:p w14:paraId="03A3AB52" w14:textId="77777777" w:rsidR="00532642" w:rsidRPr="00DB41E3" w:rsidRDefault="00532642" w:rsidP="00532642">
      <w:pPr>
        <w:pStyle w:val="NoSpacing"/>
        <w:jc w:val="both"/>
        <w:rPr>
          <w:b/>
          <w:sz w:val="22"/>
          <w:szCs w:val="22"/>
        </w:rPr>
      </w:pPr>
      <w: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t>AIFs are required to redress all investor complaints in timely 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may send their complaints to: Office of Investor Assistance and Education, Securities and Exchange Board of India, SEBI Bhavan. Plot No. C4-A, ‘G’ Block, Bandra-Kurla Complex, Bandra (E), Mumbai - 400 051.</w:t>
      </w:r>
    </w:p>
    <w:p w14:paraId="2F44D591" w14:textId="77777777" w:rsidR="00532642" w:rsidRPr="00DB41E3" w:rsidRDefault="00532642" w:rsidP="00532642">
      <w:pPr>
        <w:pStyle w:val="NoSpacing"/>
        <w:jc w:val="both"/>
        <w:rPr>
          <w:sz w:val="22"/>
          <w:szCs w:val="22"/>
        </w:rPr>
      </w:pPr>
      <w: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inform and educate 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Read thoroughly all fund documents including PPM, Contribution Agreement, sales literature, newsletters and understand 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Provide complete and accurate information in your KYC documents, including financial/ 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Timely updation of KYC information.</w:t>
      </w:r>
    </w:p>
    <w:p w14:paraId="10E37CFF" w14:textId="77777777" w:rsidR="00532642" w:rsidRPr="00DB41E3" w:rsidRDefault="00532642" w:rsidP="00532642">
      <w:pPr>
        <w:pStyle w:val="NoSpacing"/>
        <w:jc w:val="both"/>
        <w:rPr>
          <w:sz w:val="22"/>
          <w:szCs w:val="22"/>
        </w:rPr>
      </w:pPr>
      <w: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validity and reliability of investment information obtained from all sources, especially unsolicited information obtained over the Internet.</w:t>
      </w:r>
    </w:p>
    <w:p w14:paraId="3AC23D83" w14:textId="77777777" w:rsidR="00532642" w:rsidRPr="00DB41E3" w:rsidRDefault="00532642" w:rsidP="00532642">
      <w:pPr>
        <w:pStyle w:val="NoSpacing"/>
        <w:ind w:left="1134"/>
        <w:jc w:val="both"/>
        <w:rPr>
          <w:b/>
          <w:sz w:val="22"/>
          <w:szCs w:val="22"/>
        </w:rPr>
      </w:pPr>
      <w: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Investors shall not disclose any material non-public information that is received by virtue of being investors of the fund, except as may be guided by the terms of the fund documents.</w:t>
      </w:r>
    </w:p>
    <w:p w14:paraId="4296FA67" w14:textId="77777777" w:rsidR="00532642" w:rsidRPr="00DB41E3" w:rsidRDefault="00532642" w:rsidP="00532642">
      <w:pPr>
        <w:pStyle w:val="NoSpacing"/>
        <w:jc w:val="both"/>
        <w:rPr>
          <w:sz w:val="22"/>
          <w:szCs w:val="22"/>
        </w:rPr>
      </w:pPr>
      <w:r/>
    </w:p>
    <w:p w14:paraId="351117F6" w14:textId="77777777" w:rsidR="00532642" w:rsidRPr="00DB41E3" w:rsidRDefault="00532642" w:rsidP="00532642">
      <w:pPr>
        <w:rPr>
          <w:rFonts w:ascii="Times New Roman" w:hAnsi="Times New Roman" w:cs="Times New Roman"/>
        </w:rPr>
      </w:pPr>
      <w:r>
        <w:br/>
      </w:r>
    </w:p>
    <w:p w14:paraId="6BD10A56" w14:textId="77777777" w:rsidR="00532642" w:rsidRPr="00DB41E3" w:rsidRDefault="00532642" w:rsidP="00532642">
      <w:pPr>
        <w:pStyle w:val="NoSpacing"/>
        <w:jc w:val="center"/>
        <w:rPr>
          <w:b/>
          <w:bCs/>
          <w:sz w:val="22"/>
          <w:szCs w:val="22"/>
          <w:u w:val="single"/>
        </w:rPr>
      </w:pPr>
      <w:r>
        <w:t>Annexure- Y</w:t>
      </w:r>
    </w:p>
    <w:p w14:paraId="4D867A81" w14:textId="77777777" w:rsidR="00532642" w:rsidRPr="00DB41E3" w:rsidRDefault="00532642" w:rsidP="00532642">
      <w:pPr>
        <w:pStyle w:val="NoSpacing"/>
        <w:jc w:val="center"/>
        <w:rPr>
          <w:b/>
          <w:bCs/>
          <w:sz w:val="22"/>
          <w:szCs w:val="22"/>
          <w:u w:val="single"/>
        </w:rPr>
      </w:pPr>
      <w:r/>
    </w:p>
    <w:p w14:paraId="3B168B0B" w14:textId="77777777" w:rsidR="00532642" w:rsidRPr="00DB41E3" w:rsidRDefault="00532642" w:rsidP="00532642">
      <w:pPr>
        <w:pStyle w:val="NoSpacing"/>
        <w:jc w:val="center"/>
        <w:rPr>
          <w:b/>
          <w:bCs/>
          <w:sz w:val="22"/>
          <w:szCs w:val="22"/>
          <w:u w:val="single"/>
        </w:rPr>
      </w:pPr>
      <w:r/>
    </w:p>
    <w:p w14:paraId="6AE0F937" w14:textId="77777777" w:rsidR="00532642" w:rsidRPr="00DB41E3" w:rsidRDefault="00532642" w:rsidP="00532642">
      <w:pPr>
        <w:pStyle w:val="NoSpacing"/>
        <w:jc w:val="center"/>
        <w:rPr>
          <w:b/>
          <w:bCs/>
          <w:sz w:val="22"/>
          <w:szCs w:val="22"/>
          <w:u w:val="single"/>
        </w:rPr>
      </w:pPr>
      <w:r>
        <w:t>Complaints data to be displayed by AIFs for each scheme</w:t>
      </w:r>
    </w:p>
    <w:p w14:paraId="53C5931D" w14:textId="77777777" w:rsidR="00532642" w:rsidRPr="00DB41E3" w:rsidRDefault="00532642" w:rsidP="00532642">
      <w:pPr>
        <w:pStyle w:val="NoSpacing"/>
        <w:rPr>
          <w:b/>
          <w:sz w:val="22"/>
          <w:szCs w:val="22"/>
        </w:rPr>
      </w:pPr>
      <w: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the quarter ending (March/June/September/December)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^Average resolution time is the sum total of time taken to resolve each complaint in days in the current quarter divided by total number of complaints resolved in the current quarter.</w:t>
      </w:r>
    </w:p>
    <w:p w14:paraId="6397BF57" w14:textId="77777777" w:rsidR="00532642" w:rsidRPr="00DB41E3" w:rsidRDefault="00532642" w:rsidP="00532642">
      <w:pPr>
        <w:pStyle w:val="NoSpacing"/>
        <w:jc w:val="both"/>
        <w:rPr>
          <w:sz w:val="22"/>
          <w:szCs w:val="22"/>
        </w:rPr>
      </w:pPr>
      <w: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r/>
    </w:p>
    <w:p w14:paraId="3045D719" w14:textId="77777777" w:rsidR="00D06377" w:rsidRPr="00DB41E3" w:rsidRDefault="00D06377" w:rsidP="00CD421C">
      <w:pPr>
        <w:jc w:val="center"/>
        <w:rPr>
          <w:rFonts w:ascii="Times New Roman" w:hAnsi="Times New Roman" w:cs="Times New Roman"/>
          <w:b/>
        </w:rPr>
      </w:pPr>
      <w:r/>
    </w:p>
    <w:p w14:paraId="3FA3FD7A" w14:textId="77777777" w:rsidR="00D06377" w:rsidRPr="00DB41E3" w:rsidRDefault="00D06377" w:rsidP="00CD421C">
      <w:pPr>
        <w:jc w:val="center"/>
        <w:rPr>
          <w:rFonts w:ascii="Times New Roman" w:hAnsi="Times New Roman" w:cs="Times New Roman"/>
          <w:b/>
        </w:rPr>
      </w:pPr>
      <w:r/>
    </w:p>
    <w:p w14:paraId="0193F072" w14:textId="339D9683" w:rsidR="0084183A" w:rsidRPr="00DB41E3" w:rsidRDefault="0084183A" w:rsidP="00CD421C">
      <w:pPr>
        <w:jc w:val="center"/>
        <w:rPr>
          <w:rFonts w:ascii="Times New Roman" w:hAnsi="Times New Roman" w:cs="Times New Roman"/>
          <w:b/>
        </w:rPr>
      </w:pPr>
      <w:r>
        <w:br/>
      </w:r>
    </w:p>
    <w:p w14:paraId="32B3067A" w14:textId="4F14C79E" w:rsidR="0084183A" w:rsidRPr="00DB41E3" w:rsidRDefault="0084183A" w:rsidP="00E15516">
      <w:pPr>
        <w:pStyle w:val="Heading1"/>
        <w:rPr>
          <w:w w:val="0"/>
        </w:rPr>
      </w:pPr>
      <w:r>
        <w:t>ANNEXURE A: Reporting Timelines</w:t>
      </w:r>
    </w:p>
    <w:p w14:paraId="190C49DE" w14:textId="74FED36D" w:rsidR="0084183A" w:rsidRPr="00DB41E3" w:rsidRDefault="007E044C" w:rsidP="0084183A">
      <w:pPr>
        <w:shd w:val="clear" w:color="auto" w:fill="FFFFFF"/>
        <w:spacing w:after="240"/>
        <w:jc w:val="both"/>
        <w:rPr>
          <w:rFonts w:ascii="Times New Roman" w:hAnsi="Times New Roman" w:cs="Times New Roman"/>
        </w:rPr>
      </w:pPr>
      <w:r>
        <w:b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D221D" w14:textId="77777777" w:rsidR="00E86D61" w:rsidRDefault="00E86D61" w:rsidP="003D5A4D">
      <w:pPr>
        <w:spacing w:after="0" w:line="240" w:lineRule="auto"/>
      </w:pPr>
      <w:r>
        <w:separator/>
      </w:r>
    </w:p>
  </w:endnote>
  <w:endnote w:type="continuationSeparator" w:id="0">
    <w:p w14:paraId="7E20B69C" w14:textId="77777777" w:rsidR="00E86D61" w:rsidRDefault="00E86D61" w:rsidP="003D5A4D">
      <w:pPr>
        <w:spacing w:after="0" w:line="240" w:lineRule="auto"/>
      </w:pPr>
      <w:r>
        <w:continuationSeparator/>
      </w:r>
    </w:p>
  </w:endnote>
  <w:endnote w:type="continuationNotice" w:id="1">
    <w:p w14:paraId="524570A4" w14:textId="77777777" w:rsidR="00E86D61" w:rsidRDefault="00E86D61"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0D629B">
          <w:rPr>
            <w:noProof/>
            <w:sz w:val="18"/>
            <w:szCs w:val="18"/>
          </w:rPr>
          <w:t>184</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0B25D0">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0B25D0">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839ED" w14:textId="77777777" w:rsidR="00E86D61" w:rsidRDefault="00E86D61" w:rsidP="003D5A4D">
      <w:pPr>
        <w:spacing w:after="0" w:line="240" w:lineRule="auto"/>
      </w:pPr>
      <w:r>
        <w:separator/>
      </w:r>
    </w:p>
  </w:footnote>
  <w:footnote w:type="continuationSeparator" w:id="0">
    <w:p w14:paraId="127DA909" w14:textId="77777777" w:rsidR="00E86D61" w:rsidRDefault="00E86D61" w:rsidP="003D5A4D">
      <w:pPr>
        <w:spacing w:after="0" w:line="240" w:lineRule="auto"/>
      </w:pPr>
      <w:r>
        <w:continuationSeparator/>
      </w:r>
    </w:p>
  </w:footnote>
  <w:footnote w:type="continuationNotice" w:id="1">
    <w:p w14:paraId="689405DF" w14:textId="77777777" w:rsidR="00E86D61" w:rsidRDefault="00E86D61"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SEBI seeking an approval for the change in Sponsor 1, i.e., from Mr. Atul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HS Markit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r w:rsidRPr="009C1923">
        <w:rPr>
          <w:lang w:val="en-IN"/>
        </w:rPr>
        <w:t>Dr. Rumki Majumdar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r w:rsidRPr="009C1923">
        <w:rPr>
          <w:lang w:val="en-IN"/>
        </w:rPr>
        <w:t>Charles Wolf, Jr., Siddhartha Dalal, et al (2020), ‘China and India 2025’, The National Defense Research Institute.</w:t>
      </w:r>
    </w:p>
  </w:footnote>
  <w:footnote w:id="6">
    <w:p w14:paraId="39C432C8" w14:textId="059B8340" w:rsidR="00862E13" w:rsidRDefault="00862E13">
      <w:pPr>
        <w:pStyle w:val="FootnoteText"/>
      </w:pPr>
      <w:r>
        <w:rPr>
          <w:rStyle w:val="FootnoteReference"/>
        </w:rPr>
        <w:footnoteRef/>
      </w:r>
      <w:r>
        <w:t xml:space="preserve"> </w:t>
      </w:r>
      <w:r w:rsidRPr="009C1923">
        <w:rPr>
          <w:lang w:val="en-IN"/>
        </w:rPr>
        <w:t>Ram Sewak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r w:rsidRPr="009C1923">
        <w:rPr>
          <w:lang w:val="en-IN"/>
        </w:rPr>
        <w:t>Charles Wolf, Jr., Siddhartha Dalal, et al (2020), ‘China and India 2025’, The National Defense Research Institute.</w:t>
      </w:r>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Other Assessees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assessees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Health and Education Cess (‘cess’) at the rate of 4% (irrespective of the level of income) is leviable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r w:rsidRPr="003D3770">
        <w:t>F.No.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deductee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DB14355C">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484CDB32">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8DCC69E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86ECA0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C7D6D32C">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F5D4787E">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D73CB8EE">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382698E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8FD8C932">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3D241D36">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5D0"/>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29B"/>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228"/>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6D61"/>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54F48-FD82-45A2-BC34-263EFAA8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75510</Words>
  <Characters>430409</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9</cp:revision>
  <cp:lastPrinted>2022-06-03T06:06:00Z</cp:lastPrinted>
  <dcterms:created xsi:type="dcterms:W3CDTF">2023-04-18T09:37:00Z</dcterms:created>
  <dcterms:modified xsi:type="dcterms:W3CDTF">2023-04-19T10:59:00Z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