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Rallies have a smaller local effect (let’s say effect y on a constituency/seat) and a roadshow has a higher local effect (s) where s &gt; y.</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have effect on surrounding seats inversely proportional to the distance, and a constant effect globally, on all seats.</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global constant “c” + y_d where y_d can tend to 0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diminishing effect s_d on surrounding seats but this diminishing happens much faster and steeper than that of a rally.</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pPr>
        <w:numPr>
          <w:ilvl w:val="0"/>
          <w:numId w:val="5"/>
        </w:numPr>
        <w:jc w:val="both"/>
      </w:pPr>
      <w:commentRangeStart w:id="90"/>
      <w:r>
        <w:rPr>
          <w:rtl w:val="0"/>
        </w:rPr>
        <w:t xml:space="preserve">World map values: budget W₹50,000 per player (doubled on 20 Oct, and all amounts rewritten as plain round numbers instead of crores); rally W₹2,000 (up to 25 rallies); roadshow W₹400 (up to 125 roadshows).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roadshow local effect s = 3 × rally local effect y; rally global effect c = 1% of y in every seat; rally spill-over halves every 150 km and stops beyond 800 km; roadshow spill-over halves every 40 km and stops beyond 200 km.</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+0.5 if its first action was a rally, +1.5 if it was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