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2E94" w14:textId="596E613E" w:rsidR="00F00E88" w:rsidRDefault="00F00E88" w:rsidP="00781E5F">
      <w:pPr>
        <w:spacing w:after="160" w:line="276" w:lineRule="auto"/>
        <w:rPr>
          <w:rFonts w:ascii="Calibri" w:hAnsi="Calibri" w:cs="Calibri"/>
          <w:sz w:val="22"/>
          <w:szCs w:val="22"/>
        </w:rPr>
      </w:pPr>
    </w:p>
    <w:p w14:paraId="32C3B83A" w14:textId="77777777" w:rsidR="00F00E88" w:rsidRDefault="00F00E88" w:rsidP="00781E5F">
      <w:pPr>
        <w:spacing w:after="160" w:line="276" w:lineRule="auto"/>
        <w:rPr>
          <w:rFonts w:ascii="Calibri" w:hAnsi="Calibri" w:cs="Calibri"/>
          <w:sz w:val="22"/>
          <w:szCs w:val="22"/>
        </w:rPr>
      </w:pPr>
    </w:p>
    <w:p w14:paraId="0D1381BD" w14:textId="77777777" w:rsidR="000763F2" w:rsidRDefault="00061A01" w:rsidP="006A5F09">
      <w:pPr>
        <w:spacing w:after="160" w:line="276" w:lineRule="auto"/>
        <w:ind w:left="720" w:firstLine="720"/>
        <w:rPr>
          <w:rFonts w:ascii="Calibri" w:hAnsi="Calibri" w:cs="Calibri"/>
          <w:sz w:val="22"/>
          <w:szCs w:val="22"/>
        </w:rPr>
      </w:pPr>
      <w:r>
        <w:rPr>
          <w:rFonts w:ascii="Calibri" w:hAnsi="Calibri" w:cs="Calibri"/>
          <w:sz w:val="22"/>
          <w:szCs w:val="22"/>
        </w:rPr>
        <w:t xml:space="preserve"> </w:t>
      </w:r>
      <w:r w:rsidR="006A5F09">
        <w:rPr>
          <w:rFonts w:ascii="Calibri" w:hAnsi="Calibri" w:cs="Calibri"/>
          <w:sz w:val="22"/>
          <w:szCs w:val="22"/>
        </w:rPr>
        <w:t xml:space="preserve">                              </w:t>
      </w:r>
    </w:p>
    <w:p w14:paraId="78AFAFCA" w14:textId="77777777" w:rsidR="000763F2" w:rsidRDefault="000763F2" w:rsidP="006A5F09">
      <w:pPr>
        <w:spacing w:after="160" w:line="276" w:lineRule="auto"/>
        <w:ind w:left="720" w:firstLine="720"/>
        <w:rPr>
          <w:rFonts w:ascii="Calibri" w:hAnsi="Calibri" w:cs="Calibri"/>
          <w:sz w:val="22"/>
          <w:szCs w:val="22"/>
        </w:rPr>
      </w:pPr>
    </w:p>
    <w:p w14:paraId="6D11A61A" w14:textId="77777777" w:rsidR="000763F2" w:rsidRDefault="000763F2" w:rsidP="006A5F09">
      <w:pPr>
        <w:spacing w:after="160" w:line="276" w:lineRule="auto"/>
        <w:ind w:left="720" w:firstLine="720"/>
        <w:rPr>
          <w:rFonts w:ascii="Calibri" w:hAnsi="Calibri" w:cs="Calibri"/>
          <w:sz w:val="22"/>
          <w:szCs w:val="22"/>
        </w:rPr>
      </w:pPr>
    </w:p>
    <w:p w14:paraId="0F80BD33" w14:textId="4597BCBB" w:rsidR="00744DE0" w:rsidRPr="00DF2D67" w:rsidRDefault="006A5F09" w:rsidP="006A5F09">
      <w:pPr>
        <w:spacing w:after="160" w:line="276" w:lineRule="auto"/>
        <w:ind w:left="720" w:firstLine="720"/>
        <w:rPr>
          <w:rFonts w:ascii="Calibri" w:hAnsi="Calibri" w:cs="Calibri"/>
          <w:b/>
          <w:bCs/>
          <w:color w:val="156082" w:themeColor="accent1"/>
          <w:sz w:val="72"/>
          <w:szCs w:val="72"/>
          <w14:shadow w14:blurRad="63500" w14:dist="0" w14:dir="0" w14:sx="102000" w14:sy="102000" w14:kx="0" w14:ky="0" w14:algn="ctr">
            <w14:srgbClr w14:val="000000">
              <w14:alpha w14:val="60000"/>
            </w14:srgbClr>
          </w14:shadow>
        </w:rPr>
      </w:pPr>
      <w:r w:rsidRPr="00DF2D67">
        <w:rPr>
          <w:rFonts w:ascii="Calibri" w:hAnsi="Calibri" w:cs="Calibri"/>
          <w:color w:val="156082" w:themeColor="accent1"/>
          <w:sz w:val="22"/>
          <w:szCs w:val="22"/>
          <w14:shadow w14:blurRad="63500" w14:dist="0" w14:dir="0" w14:sx="102000" w14:sy="102000" w14:kx="0" w14:ky="0" w14:algn="ctr">
            <w14:srgbClr w14:val="000000">
              <w14:alpha w14:val="60000"/>
            </w14:srgbClr>
          </w14:shadow>
        </w:rPr>
        <w:t xml:space="preserve">   </w:t>
      </w:r>
      <w:r w:rsidR="00061A01" w:rsidRPr="00DF2D67">
        <w:rPr>
          <w:rFonts w:ascii="Calibri" w:hAnsi="Calibri" w:cs="Calibri"/>
          <w:color w:val="156082" w:themeColor="accent1"/>
          <w:sz w:val="22"/>
          <w:szCs w:val="22"/>
          <w14:shadow w14:blurRad="63500" w14:dist="0" w14:dir="0" w14:sx="102000" w14:sy="102000" w14:kx="0" w14:ky="0" w14:algn="ctr">
            <w14:srgbClr w14:val="000000">
              <w14:alpha w14:val="60000"/>
            </w14:srgbClr>
          </w14:shadow>
        </w:rPr>
        <w:t xml:space="preserve"> </w:t>
      </w:r>
      <w:r w:rsidR="00A92FCF" w:rsidRPr="00DF2D67">
        <w:rPr>
          <w:rFonts w:ascii="Calibri" w:hAnsi="Calibri" w:cs="Calibri"/>
          <w:color w:val="156082" w:themeColor="accent1"/>
          <w:sz w:val="22"/>
          <w:szCs w:val="22"/>
          <w14:shadow w14:blurRad="63500" w14:dist="0" w14:dir="0" w14:sx="102000" w14:sy="102000" w14:kx="0" w14:ky="0" w14:algn="ctr">
            <w14:srgbClr w14:val="000000">
              <w14:alpha w14:val="60000"/>
            </w14:srgbClr>
          </w14:shadow>
        </w:rPr>
        <w:t xml:space="preserve">     </w:t>
      </w:r>
      <w:r w:rsidR="00744DE0" w:rsidRPr="00DF2D67">
        <w:rPr>
          <w:rFonts w:ascii="Calibri" w:hAnsi="Calibri" w:cs="Calibri"/>
          <w:b/>
          <w:bCs/>
          <w:color w:val="156082" w:themeColor="accent1"/>
          <w:sz w:val="72"/>
          <w:szCs w:val="72"/>
          <w14:shadow w14:blurRad="63500" w14:dist="0" w14:dir="0" w14:sx="102000" w14:sy="102000" w14:kx="0" w14:ky="0" w14:algn="ctr">
            <w14:srgbClr w14:val="000000">
              <w14:alpha w14:val="60000"/>
            </w14:srgbClr>
          </w14:shadow>
        </w:rPr>
        <w:t>Statistics and Trends</w:t>
      </w:r>
    </w:p>
    <w:p w14:paraId="58E714A2" w14:textId="77777777" w:rsidR="00744DE0" w:rsidRDefault="00744DE0" w:rsidP="00744DE0">
      <w:pPr>
        <w:spacing w:after="160" w:line="276" w:lineRule="auto"/>
        <w:rPr>
          <w:rFonts w:ascii="Calibri" w:hAnsi="Calibri" w:cs="Calibri"/>
          <w:sz w:val="22"/>
          <w:szCs w:val="22"/>
        </w:rPr>
      </w:pPr>
    </w:p>
    <w:p w14:paraId="6CF547C8" w14:textId="77777777" w:rsidR="000763F2" w:rsidRDefault="000763F2" w:rsidP="00744DE0">
      <w:pPr>
        <w:spacing w:after="160" w:line="276" w:lineRule="auto"/>
        <w:rPr>
          <w:rFonts w:ascii="Calibri" w:hAnsi="Calibri" w:cs="Calibri"/>
          <w:sz w:val="22"/>
          <w:szCs w:val="22"/>
        </w:rPr>
      </w:pPr>
    </w:p>
    <w:p w14:paraId="74EA48A1" w14:textId="77777777" w:rsidR="000763F2" w:rsidRDefault="000763F2" w:rsidP="00744DE0">
      <w:pPr>
        <w:spacing w:after="160" w:line="276" w:lineRule="auto"/>
        <w:rPr>
          <w:rFonts w:ascii="Calibri" w:hAnsi="Calibri" w:cs="Calibri"/>
          <w:sz w:val="22"/>
          <w:szCs w:val="22"/>
        </w:rPr>
      </w:pPr>
    </w:p>
    <w:p w14:paraId="1F6128F2" w14:textId="77777777" w:rsidR="000763F2" w:rsidRDefault="000763F2" w:rsidP="00744DE0">
      <w:pPr>
        <w:spacing w:after="160" w:line="276" w:lineRule="auto"/>
        <w:rPr>
          <w:rFonts w:ascii="Calibri" w:hAnsi="Calibri" w:cs="Calibri"/>
          <w:sz w:val="22"/>
          <w:szCs w:val="22"/>
        </w:rPr>
      </w:pPr>
    </w:p>
    <w:p w14:paraId="78AA569D" w14:textId="77777777" w:rsidR="000763F2" w:rsidRDefault="000763F2" w:rsidP="00744DE0">
      <w:pPr>
        <w:spacing w:after="160" w:line="276" w:lineRule="auto"/>
        <w:rPr>
          <w:rFonts w:ascii="Calibri" w:hAnsi="Calibri" w:cs="Calibri"/>
          <w:sz w:val="22"/>
          <w:szCs w:val="22"/>
        </w:rPr>
      </w:pPr>
    </w:p>
    <w:p w14:paraId="6EF7F55C" w14:textId="77777777" w:rsidR="000763F2" w:rsidRPr="00DF2D67" w:rsidRDefault="000763F2" w:rsidP="000763F2">
      <w:pPr>
        <w:rPr>
          <w:rFonts w:ascii="Calibri" w:hAnsi="Calibri" w:cs="Calibri"/>
          <w:sz w:val="32"/>
          <w:szCs w:val="32"/>
        </w:rPr>
      </w:pPr>
      <w:r w:rsidRPr="00DF2D67">
        <w:rPr>
          <w:rFonts w:ascii="Calibri" w:hAnsi="Calibri" w:cs="Calibri"/>
          <w:b/>
          <w:bCs/>
          <w:sz w:val="32"/>
          <w:szCs w:val="32"/>
        </w:rPr>
        <w:t xml:space="preserve">Student </w:t>
      </w:r>
      <w:proofErr w:type="gramStart"/>
      <w:r w:rsidRPr="00DF2D67">
        <w:rPr>
          <w:rFonts w:ascii="Calibri" w:hAnsi="Calibri" w:cs="Calibri"/>
          <w:b/>
          <w:bCs/>
          <w:sz w:val="32"/>
          <w:szCs w:val="32"/>
        </w:rPr>
        <w:t>Name :</w:t>
      </w:r>
      <w:proofErr w:type="gramEnd"/>
      <w:r w:rsidRPr="00DF2D67">
        <w:rPr>
          <w:rFonts w:ascii="Calibri" w:hAnsi="Calibri" w:cs="Calibri"/>
          <w:sz w:val="32"/>
          <w:szCs w:val="32"/>
        </w:rPr>
        <w:t xml:space="preserve"> Vishal Kumar Senthil Kumar</w:t>
      </w:r>
    </w:p>
    <w:p w14:paraId="398CAAC8" w14:textId="77777777" w:rsidR="000763F2" w:rsidRPr="00DF2D67" w:rsidRDefault="000763F2" w:rsidP="000763F2">
      <w:pPr>
        <w:rPr>
          <w:rFonts w:ascii="Calibri" w:hAnsi="Calibri" w:cs="Calibri"/>
          <w:sz w:val="32"/>
          <w:szCs w:val="32"/>
        </w:rPr>
      </w:pPr>
      <w:r w:rsidRPr="00DF2D67">
        <w:rPr>
          <w:rFonts w:ascii="Calibri" w:hAnsi="Calibri" w:cs="Calibri"/>
          <w:b/>
          <w:bCs/>
          <w:sz w:val="32"/>
          <w:szCs w:val="32"/>
        </w:rPr>
        <w:t xml:space="preserve">Student </w:t>
      </w:r>
      <w:proofErr w:type="gramStart"/>
      <w:r w:rsidRPr="00DF2D67">
        <w:rPr>
          <w:rFonts w:ascii="Calibri" w:hAnsi="Calibri" w:cs="Calibri"/>
          <w:b/>
          <w:bCs/>
          <w:sz w:val="32"/>
          <w:szCs w:val="32"/>
        </w:rPr>
        <w:t>ID :</w:t>
      </w:r>
      <w:proofErr w:type="gramEnd"/>
      <w:r w:rsidRPr="00DF2D67">
        <w:rPr>
          <w:rFonts w:ascii="Calibri" w:hAnsi="Calibri" w:cs="Calibri"/>
          <w:sz w:val="32"/>
          <w:szCs w:val="32"/>
        </w:rPr>
        <w:t xml:space="preserve"> 23076841</w:t>
      </w:r>
    </w:p>
    <w:p w14:paraId="16226CFE" w14:textId="4E07DDF5" w:rsidR="00B06229" w:rsidRPr="00DF2D67" w:rsidRDefault="000763F2" w:rsidP="000763F2">
      <w:pPr>
        <w:rPr>
          <w:rFonts w:ascii="Calibri" w:hAnsi="Calibri" w:cs="Calibri"/>
          <w:sz w:val="32"/>
          <w:szCs w:val="32"/>
        </w:rPr>
        <w:sectPr w:rsidR="00B06229" w:rsidRPr="00DF2D67" w:rsidSect="00306A77">
          <w:headerReference w:type="even" r:id="rId8"/>
          <w:headerReference w:type="first" r:id="rId9"/>
          <w:pgSz w:w="12240" w:h="15840"/>
          <w:pgMar w:top="1440" w:right="1080" w:bottom="1440" w:left="1080" w:header="720" w:footer="288" w:gutter="0"/>
          <w:cols w:space="720"/>
          <w:docGrid w:linePitch="360"/>
        </w:sectPr>
      </w:pPr>
      <w:proofErr w:type="spellStart"/>
      <w:r w:rsidRPr="00DF2D67">
        <w:rPr>
          <w:rFonts w:ascii="Calibri" w:hAnsi="Calibri" w:cs="Calibri"/>
          <w:b/>
          <w:bCs/>
          <w:sz w:val="32"/>
          <w:szCs w:val="32"/>
        </w:rPr>
        <w:t>Github</w:t>
      </w:r>
      <w:proofErr w:type="spellEnd"/>
      <w:r w:rsidRPr="00DF2D67">
        <w:rPr>
          <w:rFonts w:ascii="Calibri" w:hAnsi="Calibri" w:cs="Calibri"/>
          <w:b/>
          <w:bCs/>
          <w:sz w:val="32"/>
          <w:szCs w:val="32"/>
        </w:rPr>
        <w:t xml:space="preserve"> </w:t>
      </w:r>
      <w:proofErr w:type="gramStart"/>
      <w:r w:rsidRPr="00DF2D67">
        <w:rPr>
          <w:rFonts w:ascii="Calibri" w:hAnsi="Calibri" w:cs="Calibri"/>
          <w:b/>
          <w:bCs/>
          <w:sz w:val="32"/>
          <w:szCs w:val="32"/>
        </w:rPr>
        <w:t>link :</w:t>
      </w:r>
      <w:proofErr w:type="gramEnd"/>
      <w:r w:rsidRPr="00DF2D67">
        <w:rPr>
          <w:rFonts w:ascii="Calibri" w:hAnsi="Calibri" w:cs="Calibri"/>
          <w:sz w:val="32"/>
          <w:szCs w:val="32"/>
        </w:rPr>
        <w:t xml:space="preserve"> </w:t>
      </w:r>
      <w:hyperlink r:id="rId10" w:history="1">
        <w:r w:rsidRPr="00080ED2">
          <w:rPr>
            <w:rStyle w:val="Hyperlink"/>
            <w:rFonts w:ascii="Calibri" w:hAnsi="Calibri" w:cs="Calibri"/>
            <w:sz w:val="32"/>
            <w:szCs w:val="32"/>
          </w:rPr>
          <w:t>https://github.com/vishalkumar041298/statistics_and_trends</w:t>
        </w:r>
      </w:hyperlink>
    </w:p>
    <w:p w14:paraId="47E84D14" w14:textId="37142427" w:rsidR="00C61E6A" w:rsidRDefault="00C61E6A">
      <w:pPr>
        <w:rPr>
          <w:rFonts w:ascii="Calibri" w:hAnsi="Calibri" w:cs="Calibri"/>
          <w:sz w:val="22"/>
          <w:szCs w:val="22"/>
        </w:rPr>
      </w:pPr>
    </w:p>
    <w:p w14:paraId="505E2E1B" w14:textId="7B0D4A4C" w:rsidR="00C34F46" w:rsidRPr="00BF726F" w:rsidRDefault="00C34F46" w:rsidP="00781E5F">
      <w:pPr>
        <w:spacing w:after="160" w:line="276" w:lineRule="auto"/>
        <w:rPr>
          <w:rFonts w:ascii="Calibri" w:hAnsi="Calibri" w:cs="Calibri"/>
          <w:sz w:val="22"/>
          <w:szCs w:val="22"/>
        </w:rPr>
      </w:pPr>
      <w:r w:rsidRPr="00C34F46">
        <w:rPr>
          <w:rFonts w:ascii="Calibri" w:hAnsi="Calibri" w:cs="Calibri"/>
          <w:sz w:val="22"/>
          <w:szCs w:val="22"/>
        </w:rPr>
        <w:t>This report analyzes a credit risk dataset, focusing on characteristics that may influence loan approval and default rates. By examining demographic, financial, and loan-specific attributes, we aim to uncover insights that help understand applicant behavior and potential risk factors. Through visual exploration, we can interpret the relationships between variables such as age, income, home ownership, and loan intent. This approach supports data-driven lending decisions, providing valuable guidance for financial institutions to manage risk more effectively.</w:t>
      </w:r>
    </w:p>
    <w:p w14:paraId="7EAAF9DE" w14:textId="18131BE2" w:rsidR="004B21E4" w:rsidRPr="00BF726F" w:rsidRDefault="00755A3F" w:rsidP="00781E5F">
      <w:pPr>
        <w:spacing w:after="160" w:line="276" w:lineRule="auto"/>
        <w:rPr>
          <w:rFonts w:ascii="Calibri" w:hAnsi="Calibri" w:cs="Calibri"/>
          <w:sz w:val="22"/>
          <w:szCs w:val="22"/>
        </w:rPr>
      </w:pPr>
      <w:r>
        <w:rPr>
          <w:noProof/>
        </w:rPr>
        <w:drawing>
          <wp:inline distT="0" distB="0" distL="0" distR="0" wp14:anchorId="7523ECB0" wp14:editId="6745FB25">
            <wp:extent cx="3032760" cy="3032760"/>
            <wp:effectExtent l="0" t="0" r="0" b="0"/>
            <wp:docPr id="860934389" name="Picture 1"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34389" name="Picture 1" descr="A graph of a number of individua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22C47F23" w14:textId="494466D5" w:rsidR="00320F97" w:rsidRPr="00BF726F" w:rsidRDefault="00320F97" w:rsidP="00320F97">
      <w:pPr>
        <w:spacing w:after="160" w:line="276" w:lineRule="auto"/>
        <w:rPr>
          <w:rFonts w:ascii="Calibri" w:hAnsi="Calibri" w:cs="Calibri"/>
          <w:sz w:val="22"/>
          <w:szCs w:val="22"/>
        </w:rPr>
      </w:pPr>
      <w:r w:rsidRPr="00C34F46">
        <w:rPr>
          <w:rFonts w:ascii="Calibri" w:hAnsi="Calibri" w:cs="Calibri"/>
          <w:sz w:val="22"/>
          <w:szCs w:val="22"/>
        </w:rPr>
        <w:t>The</w:t>
      </w:r>
      <w:r w:rsidRPr="00BF726F">
        <w:rPr>
          <w:rFonts w:ascii="Calibri" w:hAnsi="Calibri" w:cs="Calibri"/>
          <w:sz w:val="22"/>
          <w:szCs w:val="22"/>
        </w:rPr>
        <w:t xml:space="preserve"> first chart shows the </w:t>
      </w:r>
      <w:r w:rsidRPr="00C34F46">
        <w:rPr>
          <w:rFonts w:ascii="Calibri" w:hAnsi="Calibri" w:cs="Calibri"/>
          <w:sz w:val="22"/>
          <w:szCs w:val="22"/>
        </w:rPr>
        <w:t>histogram</w:t>
      </w:r>
      <w:r w:rsidRPr="00BF726F">
        <w:rPr>
          <w:rFonts w:ascii="Calibri" w:hAnsi="Calibri" w:cs="Calibri"/>
          <w:sz w:val="22"/>
          <w:szCs w:val="22"/>
        </w:rPr>
        <w:t xml:space="preserve"> of</w:t>
      </w:r>
      <w:r w:rsidRPr="00C34F46">
        <w:rPr>
          <w:rFonts w:ascii="Calibri" w:hAnsi="Calibri" w:cs="Calibri"/>
          <w:sz w:val="22"/>
          <w:szCs w:val="22"/>
        </w:rPr>
        <w:t xml:space="preserve"> age distribution that most loan applicants are between 20 and 40 years old, with fewer applications from those above 50. This trend could indicate that </w:t>
      </w:r>
      <w:r w:rsidRPr="00C34F46">
        <w:rPr>
          <w:rFonts w:ascii="Calibri" w:hAnsi="Calibri" w:cs="Calibri"/>
          <w:b/>
          <w:bCs/>
          <w:sz w:val="22"/>
          <w:szCs w:val="22"/>
        </w:rPr>
        <w:t>younger individuals are more likely to seek loans</w:t>
      </w:r>
      <w:r w:rsidRPr="00C34F46">
        <w:rPr>
          <w:rFonts w:ascii="Calibri" w:hAnsi="Calibri" w:cs="Calibri"/>
          <w:sz w:val="22"/>
          <w:szCs w:val="22"/>
        </w:rPr>
        <w:t>, potentially for ventures or education. Additionally, age may correlate with factors like employment length and income, as younger applicants often have shorter job histories and lower incomes. Age data helps financial institutions consider generational trends in borrowing, informing policies that balance access and risk management.</w:t>
      </w:r>
    </w:p>
    <w:p w14:paraId="4B7F8428" w14:textId="5FDBF989" w:rsidR="00320F97" w:rsidRPr="00C34F46" w:rsidRDefault="00017FAA" w:rsidP="00781E5F">
      <w:pPr>
        <w:spacing w:after="160" w:line="276" w:lineRule="auto"/>
        <w:rPr>
          <w:rFonts w:ascii="Calibri" w:hAnsi="Calibri" w:cs="Calibri"/>
          <w:sz w:val="22"/>
          <w:szCs w:val="22"/>
        </w:rPr>
      </w:pPr>
      <w:r>
        <w:rPr>
          <w:noProof/>
        </w:rPr>
        <w:drawing>
          <wp:inline distT="0" distB="0" distL="0" distR="0" wp14:anchorId="6B902529" wp14:editId="7D7B3051">
            <wp:extent cx="2971800" cy="2733040"/>
            <wp:effectExtent l="0" t="0" r="0" b="0"/>
            <wp:docPr id="342532437" name="Picture 3" descr="A graph of a graph of a loa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32437" name="Picture 3" descr="A graph of a graph of a loa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733040"/>
                    </a:xfrm>
                    <a:prstGeom prst="rect">
                      <a:avLst/>
                    </a:prstGeom>
                    <a:noFill/>
                    <a:ln>
                      <a:noFill/>
                    </a:ln>
                  </pic:spPr>
                </pic:pic>
              </a:graphicData>
            </a:graphic>
          </wp:inline>
        </w:drawing>
      </w:r>
    </w:p>
    <w:p w14:paraId="65742961" w14:textId="4673C1E8" w:rsidR="00C34F46" w:rsidRPr="00BF726F"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w:t>
      </w:r>
      <w:r w:rsidR="00320F97" w:rsidRPr="00BF726F">
        <w:rPr>
          <w:rFonts w:ascii="Calibri" w:hAnsi="Calibri" w:cs="Calibri"/>
          <w:sz w:val="22"/>
          <w:szCs w:val="22"/>
        </w:rPr>
        <w:t>second</w:t>
      </w:r>
      <w:r w:rsidRPr="00C34F46">
        <w:rPr>
          <w:rFonts w:ascii="Calibri" w:hAnsi="Calibri" w:cs="Calibri"/>
          <w:sz w:val="22"/>
          <w:szCs w:val="22"/>
        </w:rPr>
        <w:t xml:space="preserve"> chart displays the distribution of </w:t>
      </w:r>
      <w:r w:rsidR="009A3429" w:rsidRPr="00BF726F">
        <w:rPr>
          <w:rFonts w:ascii="Calibri" w:hAnsi="Calibri" w:cs="Calibri"/>
          <w:sz w:val="22"/>
          <w:szCs w:val="22"/>
        </w:rPr>
        <w:t>defaulters</w:t>
      </w:r>
      <w:r w:rsidRPr="00C34F46">
        <w:rPr>
          <w:rFonts w:ascii="Calibri" w:hAnsi="Calibri" w:cs="Calibri"/>
          <w:sz w:val="22"/>
          <w:szCs w:val="22"/>
        </w:rPr>
        <w:t xml:space="preserve"> across different loan purposes. Categories like "</w:t>
      </w:r>
      <w:r w:rsidR="009A3429" w:rsidRPr="00BF726F">
        <w:rPr>
          <w:rFonts w:ascii="Calibri" w:hAnsi="Calibri" w:cs="Calibri"/>
          <w:sz w:val="22"/>
          <w:szCs w:val="22"/>
        </w:rPr>
        <w:t>MEDICAL</w:t>
      </w:r>
      <w:r w:rsidRPr="00C34F46">
        <w:rPr>
          <w:rFonts w:ascii="Calibri" w:hAnsi="Calibri" w:cs="Calibri"/>
          <w:sz w:val="22"/>
          <w:szCs w:val="22"/>
        </w:rPr>
        <w:t>" and "</w:t>
      </w:r>
      <w:r w:rsidR="009A3429" w:rsidRPr="00BF726F">
        <w:rPr>
          <w:rFonts w:ascii="Calibri" w:hAnsi="Calibri" w:cs="Calibri"/>
          <w:sz w:val="22"/>
          <w:szCs w:val="22"/>
        </w:rPr>
        <w:t>DEBT CONSOLIDATION</w:t>
      </w:r>
      <w:r w:rsidRPr="00C34F46">
        <w:rPr>
          <w:rFonts w:ascii="Calibri" w:hAnsi="Calibri" w:cs="Calibri"/>
          <w:sz w:val="22"/>
          <w:szCs w:val="22"/>
        </w:rPr>
        <w:t xml:space="preserve">" show the highest frequencies, indicating a high demand for loans in these areas. In contrast, "Venture" and "Home Improvement" have fewer applicants, reflecting a lower demand. </w:t>
      </w:r>
      <w:r w:rsidR="009A3429" w:rsidRPr="00BF726F">
        <w:rPr>
          <w:rFonts w:ascii="Calibri" w:hAnsi="Calibri" w:cs="Calibri"/>
          <w:sz w:val="22"/>
          <w:szCs w:val="22"/>
        </w:rPr>
        <w:t xml:space="preserve">This trend, when examined alongside age distribution, suggests that </w:t>
      </w:r>
      <w:r w:rsidR="009A3429" w:rsidRPr="00BF726F">
        <w:rPr>
          <w:rFonts w:ascii="Calibri" w:hAnsi="Calibri" w:cs="Calibri"/>
          <w:b/>
          <w:bCs/>
          <w:sz w:val="22"/>
          <w:szCs w:val="22"/>
        </w:rPr>
        <w:t>younger adults are more inclined to take out loans for medical expenses</w:t>
      </w:r>
      <w:r w:rsidR="009A3429" w:rsidRPr="00BF726F">
        <w:rPr>
          <w:rFonts w:ascii="Calibri" w:hAnsi="Calibri" w:cs="Calibri"/>
          <w:sz w:val="22"/>
          <w:szCs w:val="22"/>
        </w:rPr>
        <w:t>, likely because they are less likely to have medical insurance.</w:t>
      </w:r>
    </w:p>
    <w:p w14:paraId="5168C46B" w14:textId="4579B953" w:rsidR="004B21E4" w:rsidRPr="00C34F46" w:rsidRDefault="002825CC" w:rsidP="00781E5F">
      <w:pPr>
        <w:spacing w:after="160" w:line="276" w:lineRule="auto"/>
        <w:rPr>
          <w:rFonts w:ascii="Calibri" w:hAnsi="Calibri" w:cs="Calibri"/>
          <w:sz w:val="22"/>
          <w:szCs w:val="22"/>
        </w:rPr>
      </w:pPr>
      <w:r>
        <w:rPr>
          <w:noProof/>
        </w:rPr>
        <w:drawing>
          <wp:inline distT="0" distB="0" distL="0" distR="0" wp14:anchorId="4089E7D1" wp14:editId="3B3DF568">
            <wp:extent cx="3624782" cy="2827020"/>
            <wp:effectExtent l="0" t="0" r="0" b="0"/>
            <wp:docPr id="91388642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86425" name="Picture 2"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4782" cy="2827020"/>
                    </a:xfrm>
                    <a:prstGeom prst="rect">
                      <a:avLst/>
                    </a:prstGeom>
                    <a:noFill/>
                    <a:ln>
                      <a:noFill/>
                    </a:ln>
                  </pic:spPr>
                </pic:pic>
              </a:graphicData>
            </a:graphic>
          </wp:inline>
        </w:drawing>
      </w:r>
    </w:p>
    <w:p w14:paraId="0BC298AB" w14:textId="633079C7" w:rsidR="00C34F46" w:rsidRPr="00C34F46" w:rsidRDefault="00C34F46" w:rsidP="00781E5F">
      <w:pPr>
        <w:spacing w:after="160" w:line="276" w:lineRule="auto"/>
        <w:rPr>
          <w:rFonts w:ascii="Calibri" w:hAnsi="Calibri" w:cs="Calibri"/>
          <w:sz w:val="22"/>
          <w:szCs w:val="22"/>
        </w:rPr>
      </w:pPr>
      <w:r w:rsidRPr="00C34F46">
        <w:rPr>
          <w:rFonts w:ascii="Calibri" w:hAnsi="Calibri" w:cs="Calibri"/>
          <w:sz w:val="22"/>
          <w:szCs w:val="22"/>
        </w:rPr>
        <w:lastRenderedPageBreak/>
        <w:t xml:space="preserve">The heatmap visualizes the correlations between key numerical features, such as age, income, employment length, loan amount, and interest rate. A high positive correlation exists between credit history length and age, suggesting that older applicants </w:t>
      </w:r>
      <w:r w:rsidR="009D052F" w:rsidRPr="009D052F">
        <w:rPr>
          <w:rFonts w:ascii="Calibri" w:hAnsi="Calibri" w:cs="Calibri"/>
          <w:sz w:val="22"/>
          <w:szCs w:val="22"/>
        </w:rPr>
        <w:t>generally have lengthier credit histories</w:t>
      </w:r>
      <w:r w:rsidRPr="00C34F46">
        <w:rPr>
          <w:rFonts w:ascii="Calibri" w:hAnsi="Calibri" w:cs="Calibri"/>
          <w:sz w:val="22"/>
          <w:szCs w:val="22"/>
        </w:rPr>
        <w:t>. Moderate correlation between loan amount and percent income indicates that larger loans often represent a higher percentage of the applicant's income. Low correlation with loan status suggests that individual features may not strongly predict default, emphasizing the need for a combined approach in assessing credit risk.</w:t>
      </w:r>
    </w:p>
    <w:p w14:paraId="0EDB6608" w14:textId="23ECEE41" w:rsidR="009A3429" w:rsidRPr="00BF726F" w:rsidRDefault="00EB422B" w:rsidP="00781E5F">
      <w:pPr>
        <w:spacing w:after="160" w:line="276" w:lineRule="auto"/>
        <w:rPr>
          <w:rFonts w:ascii="Calibri" w:hAnsi="Calibri" w:cs="Calibri"/>
          <w:b/>
          <w:bCs/>
          <w:sz w:val="22"/>
          <w:szCs w:val="22"/>
        </w:rPr>
      </w:pPr>
      <w:r>
        <w:rPr>
          <w:noProof/>
        </w:rPr>
        <w:drawing>
          <wp:inline distT="0" distB="0" distL="0" distR="0" wp14:anchorId="08DFCDA9" wp14:editId="408D3714">
            <wp:extent cx="2795905" cy="3253740"/>
            <wp:effectExtent l="0" t="0" r="4445" b="3810"/>
            <wp:docPr id="2053274099" name="Picture 6" descr="A graph of a loan amount in pou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4099" name="Picture 6" descr="A graph of a loan amount in poun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1484" cy="3260233"/>
                    </a:xfrm>
                    <a:prstGeom prst="rect">
                      <a:avLst/>
                    </a:prstGeom>
                    <a:noFill/>
                    <a:ln>
                      <a:noFill/>
                    </a:ln>
                  </pic:spPr>
                </pic:pic>
              </a:graphicData>
            </a:graphic>
          </wp:inline>
        </w:drawing>
      </w:r>
    </w:p>
    <w:p w14:paraId="23414406" w14:textId="5C5C67A9" w:rsidR="00C34F46" w:rsidRPr="00BF726F"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box plot illustrates the distribution of loan amounts, </w:t>
      </w:r>
      <w:r w:rsidRPr="00C34F46">
        <w:rPr>
          <w:rFonts w:ascii="Calibri" w:hAnsi="Calibri" w:cs="Calibri"/>
          <w:b/>
          <w:bCs/>
          <w:sz w:val="22"/>
          <w:szCs w:val="22"/>
        </w:rPr>
        <w:t xml:space="preserve">with a median value near </w:t>
      </w:r>
      <w:r w:rsidR="00663DF4" w:rsidRPr="00BF726F">
        <w:rPr>
          <w:rFonts w:ascii="Calibri" w:hAnsi="Calibri" w:cs="Calibri"/>
          <w:b/>
          <w:bCs/>
          <w:sz w:val="22"/>
          <w:szCs w:val="22"/>
        </w:rPr>
        <w:t>£</w:t>
      </w:r>
      <w:r w:rsidRPr="00C34F46">
        <w:rPr>
          <w:rFonts w:ascii="Calibri" w:hAnsi="Calibri" w:cs="Calibri"/>
          <w:b/>
          <w:bCs/>
          <w:sz w:val="22"/>
          <w:szCs w:val="22"/>
        </w:rPr>
        <w:t xml:space="preserve">9,600 and an average of around </w:t>
      </w:r>
      <w:r w:rsidR="00663DF4" w:rsidRPr="00BF726F">
        <w:rPr>
          <w:rFonts w:ascii="Calibri" w:hAnsi="Calibri" w:cs="Calibri"/>
          <w:b/>
          <w:bCs/>
          <w:sz w:val="22"/>
          <w:szCs w:val="22"/>
        </w:rPr>
        <w:t>£</w:t>
      </w:r>
      <w:r w:rsidRPr="00C34F46">
        <w:rPr>
          <w:rFonts w:ascii="Calibri" w:hAnsi="Calibri" w:cs="Calibri"/>
          <w:b/>
          <w:bCs/>
          <w:sz w:val="22"/>
          <w:szCs w:val="22"/>
        </w:rPr>
        <w:t>10,850</w:t>
      </w:r>
      <w:r w:rsidRPr="00C34F46">
        <w:rPr>
          <w:rFonts w:ascii="Calibri" w:hAnsi="Calibri" w:cs="Calibri"/>
          <w:sz w:val="22"/>
          <w:szCs w:val="22"/>
        </w:rPr>
        <w:t xml:space="preserve">. Outliers indicate that some applicants have received loans above </w:t>
      </w:r>
      <w:r w:rsidR="00663DF4" w:rsidRPr="00BF726F">
        <w:rPr>
          <w:rFonts w:ascii="Calibri" w:hAnsi="Calibri" w:cs="Calibri"/>
          <w:sz w:val="22"/>
          <w:szCs w:val="22"/>
        </w:rPr>
        <w:t>£</w:t>
      </w:r>
      <w:r w:rsidRPr="00C34F46">
        <w:rPr>
          <w:rFonts w:ascii="Calibri" w:hAnsi="Calibri" w:cs="Calibri"/>
          <w:sz w:val="22"/>
          <w:szCs w:val="22"/>
        </w:rPr>
        <w:t>30,000, reflecting a range in borrowing needs. This variability can guide lenders in segmenting their customer base, potentially offering different loan products to applicants with varying financial needs. Outlier loans may carry higher risk, so institutions might adjust lending strategies for high-value loans.</w:t>
      </w:r>
    </w:p>
    <w:p w14:paraId="4B1DEE24" w14:textId="5258605E" w:rsidR="004B21E4" w:rsidRPr="00C34F46" w:rsidRDefault="00A42972" w:rsidP="00781E5F">
      <w:pPr>
        <w:spacing w:after="160" w:line="276" w:lineRule="auto"/>
        <w:rPr>
          <w:rFonts w:ascii="Calibri" w:hAnsi="Calibri" w:cs="Calibri"/>
          <w:sz w:val="22"/>
          <w:szCs w:val="22"/>
        </w:rPr>
      </w:pPr>
      <w:r>
        <w:rPr>
          <w:noProof/>
        </w:rPr>
        <w:drawing>
          <wp:inline distT="0" distB="0" distL="0" distR="0" wp14:anchorId="42EF46ED" wp14:editId="1B3C28D2">
            <wp:extent cx="3139440" cy="2043319"/>
            <wp:effectExtent l="0" t="0" r="3810" b="0"/>
            <wp:docPr id="65940657" name="Picture 4"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0657" name="Picture 4" descr="A graph of a number of blue and orang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091" cy="2046997"/>
                    </a:xfrm>
                    <a:prstGeom prst="rect">
                      <a:avLst/>
                    </a:prstGeom>
                    <a:noFill/>
                    <a:ln>
                      <a:noFill/>
                    </a:ln>
                  </pic:spPr>
                </pic:pic>
              </a:graphicData>
            </a:graphic>
          </wp:inline>
        </w:drawing>
      </w:r>
    </w:p>
    <w:p w14:paraId="0FD6F9D5" w14:textId="60F586D6" w:rsidR="00C34F46" w:rsidRPr="00C34F46" w:rsidRDefault="00C34F46" w:rsidP="00781E5F">
      <w:pPr>
        <w:spacing w:after="160" w:line="276" w:lineRule="auto"/>
        <w:rPr>
          <w:rFonts w:ascii="Calibri" w:hAnsi="Calibri" w:cs="Calibri"/>
          <w:sz w:val="22"/>
          <w:szCs w:val="22"/>
        </w:rPr>
      </w:pPr>
      <w:r w:rsidRPr="00C34F46">
        <w:rPr>
          <w:rFonts w:ascii="Calibri" w:hAnsi="Calibri" w:cs="Calibri"/>
          <w:sz w:val="22"/>
          <w:szCs w:val="22"/>
        </w:rPr>
        <w:t xml:space="preserve">The bar chart compares loan status (default vs. non-default) across different home ownership categories. Renters and mortgage holders make up the majority, with renters showing a higher tendency to default. This relationship suggests that </w:t>
      </w:r>
      <w:r w:rsidRPr="00C34F46">
        <w:rPr>
          <w:rFonts w:ascii="Calibri" w:hAnsi="Calibri" w:cs="Calibri"/>
          <w:b/>
          <w:bCs/>
          <w:sz w:val="22"/>
          <w:szCs w:val="22"/>
        </w:rPr>
        <w:t>applicants who own their homes or have mortgages might be more financially stable compared to renters</w:t>
      </w:r>
      <w:r w:rsidRPr="00C34F46">
        <w:rPr>
          <w:rFonts w:ascii="Calibri" w:hAnsi="Calibri" w:cs="Calibri"/>
          <w:sz w:val="22"/>
          <w:szCs w:val="22"/>
        </w:rPr>
        <w:t>.</w:t>
      </w:r>
    </w:p>
    <w:p w14:paraId="07755EB9" w14:textId="35FE1DA3" w:rsidR="00C34F46" w:rsidRPr="00C34F46" w:rsidRDefault="00EB422B" w:rsidP="00781E5F">
      <w:pPr>
        <w:spacing w:after="160" w:line="276" w:lineRule="auto"/>
        <w:rPr>
          <w:rFonts w:ascii="Calibri" w:hAnsi="Calibri" w:cs="Calibri"/>
          <w:sz w:val="22"/>
          <w:szCs w:val="22"/>
        </w:rPr>
      </w:pPr>
      <w:r>
        <w:rPr>
          <w:noProof/>
        </w:rPr>
        <w:drawing>
          <wp:inline distT="0" distB="0" distL="0" distR="0" wp14:anchorId="40F452D7" wp14:editId="32A84C13">
            <wp:extent cx="3223260" cy="2417445"/>
            <wp:effectExtent l="0" t="0" r="0" b="1905"/>
            <wp:docPr id="1646864962" name="Picture 7" descr="A graph of a graph showing a number of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64962" name="Picture 7" descr="A graph of a graph showing a number of blue and orange dot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3260" cy="2417445"/>
                    </a:xfrm>
                    <a:prstGeom prst="rect">
                      <a:avLst/>
                    </a:prstGeom>
                    <a:noFill/>
                    <a:ln>
                      <a:noFill/>
                    </a:ln>
                  </pic:spPr>
                </pic:pic>
              </a:graphicData>
            </a:graphic>
          </wp:inline>
        </w:drawing>
      </w:r>
      <w:r w:rsidR="00C34F46" w:rsidRPr="00C34F46">
        <w:rPr>
          <w:rFonts w:ascii="Calibri" w:hAnsi="Calibri" w:cs="Calibri"/>
          <w:sz w:val="22"/>
          <w:szCs w:val="22"/>
        </w:rPr>
        <w:t xml:space="preserve">The scatter plot shows the </w:t>
      </w:r>
      <w:r w:rsidR="0081796F">
        <w:rPr>
          <w:rFonts w:ascii="Calibri" w:hAnsi="Calibri" w:cs="Calibri"/>
          <w:sz w:val="22"/>
          <w:szCs w:val="22"/>
        </w:rPr>
        <w:t>correspondence</w:t>
      </w:r>
      <w:r w:rsidR="00C34F46" w:rsidRPr="00C34F46">
        <w:rPr>
          <w:rFonts w:ascii="Calibri" w:hAnsi="Calibri" w:cs="Calibri"/>
          <w:sz w:val="22"/>
          <w:szCs w:val="22"/>
        </w:rPr>
        <w:t xml:space="preserve"> between income </w:t>
      </w:r>
      <w:r w:rsidR="0081796F">
        <w:rPr>
          <w:rFonts w:ascii="Calibri" w:hAnsi="Calibri" w:cs="Calibri"/>
          <w:sz w:val="22"/>
          <w:szCs w:val="22"/>
        </w:rPr>
        <w:t xml:space="preserve">per annum </w:t>
      </w:r>
      <w:r w:rsidR="00C34F46" w:rsidRPr="00C34F46">
        <w:rPr>
          <w:rFonts w:ascii="Calibri" w:hAnsi="Calibri" w:cs="Calibri"/>
          <w:sz w:val="22"/>
          <w:szCs w:val="22"/>
        </w:rPr>
        <w:t>and loan amount, with loan status (default or non-default) color-coded. Higher incomes generally correspond with larger loans, but defaults (highlighted in orange) appear across all income levels, indicating that higher income does not necessarily eliminate the risk of default. This visualization underscores the importance of a holistic approach in evaluating creditworthiness</w:t>
      </w:r>
      <w:r w:rsidR="002B1B1C">
        <w:rPr>
          <w:rFonts w:ascii="Calibri" w:hAnsi="Calibri" w:cs="Calibri"/>
          <w:sz w:val="22"/>
          <w:szCs w:val="22"/>
        </w:rPr>
        <w:t>.</w:t>
      </w:r>
    </w:p>
    <w:sectPr w:rsidR="00C34F46" w:rsidRPr="00C34F46" w:rsidSect="002714B6">
      <w:pgSz w:w="12240" w:h="15840"/>
      <w:pgMar w:top="1440" w:right="1080" w:bottom="1440" w:left="1080" w:header="720"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79D48" w14:textId="77777777" w:rsidR="00A93157" w:rsidRDefault="00A93157" w:rsidP="00A93157">
      <w:pPr>
        <w:spacing w:after="0"/>
      </w:pPr>
      <w:r>
        <w:separator/>
      </w:r>
    </w:p>
  </w:endnote>
  <w:endnote w:type="continuationSeparator" w:id="0">
    <w:p w14:paraId="2153C11E" w14:textId="77777777" w:rsidR="00A93157" w:rsidRDefault="00A93157" w:rsidP="00A93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8BF76" w14:textId="77777777" w:rsidR="00A93157" w:rsidRDefault="00A93157" w:rsidP="00A93157">
      <w:pPr>
        <w:spacing w:after="0"/>
      </w:pPr>
      <w:r>
        <w:separator/>
      </w:r>
    </w:p>
  </w:footnote>
  <w:footnote w:type="continuationSeparator" w:id="0">
    <w:p w14:paraId="70CBE414" w14:textId="77777777" w:rsidR="00A93157" w:rsidRDefault="00A93157" w:rsidP="00A931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C0C95" w14:textId="1D483929" w:rsidR="00C61E6A" w:rsidRPr="00CC166C" w:rsidRDefault="00744DE0" w:rsidP="002714B6">
    <w:pPr>
      <w:pStyle w:val="Header"/>
      <w:jc w:val="center"/>
      <w:rPr>
        <w:color w:val="0E2841" w:themeColor="text2"/>
      </w:rPr>
    </w:pPr>
    <w:r w:rsidRPr="00CC166C">
      <w:rPr>
        <w:rFonts w:asciiTheme="majorHAnsi" w:hAnsiTheme="majorHAnsi"/>
        <w:b/>
        <w:bCs/>
        <w:color w:val="0E2841" w:themeColor="text2"/>
        <w:sz w:val="36"/>
        <w:szCs w:val="36"/>
      </w:rPr>
      <w:t>LO</w:t>
    </w:r>
    <w:r w:rsidR="002714B6" w:rsidRPr="00CC166C">
      <w:rPr>
        <w:rFonts w:asciiTheme="majorHAnsi" w:hAnsiTheme="majorHAnsi"/>
        <w:b/>
        <w:bCs/>
        <w:color w:val="0E2841" w:themeColor="text2"/>
        <w:sz w:val="36"/>
        <w:szCs w:val="36"/>
      </w:rPr>
      <w:t>AN DEFAULTERS ANALYSIS REPORT</w:t>
    </w:r>
  </w:p>
  <w:p w14:paraId="749F46DD" w14:textId="77777777" w:rsidR="00CC166C" w:rsidRDefault="00CC16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FB971" w14:textId="674E5A48" w:rsidR="00BF5A3E" w:rsidRPr="00C23797" w:rsidRDefault="00BF5A3E" w:rsidP="00BF5A3E">
    <w:pPr>
      <w:pStyle w:val="Header"/>
      <w:rPr>
        <w:rFonts w:asciiTheme="majorHAnsi" w:hAnsiTheme="majorHAnsi"/>
        <w:b/>
        <w:bCs/>
        <w:color w:val="0B769F" w:themeColor="accent4" w:themeShade="BF"/>
        <w:sz w:val="36"/>
        <w:szCs w:val="36"/>
      </w:rPr>
    </w:pPr>
    <w:r w:rsidRPr="00C23797">
      <w:rPr>
        <w:rFonts w:asciiTheme="majorHAnsi" w:hAnsiTheme="majorHAnsi"/>
        <w:b/>
        <w:bCs/>
        <w:color w:val="0B769F" w:themeColor="accent4" w:themeShade="BF"/>
        <w:sz w:val="36"/>
        <w:szCs w:val="36"/>
      </w:rPr>
      <w:tab/>
    </w:r>
  </w:p>
  <w:p w14:paraId="2E2EA47A" w14:textId="77777777" w:rsidR="0098385C" w:rsidRDefault="00983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09"/>
    <w:rsid w:val="00004157"/>
    <w:rsid w:val="00017FAA"/>
    <w:rsid w:val="00061A01"/>
    <w:rsid w:val="000763F2"/>
    <w:rsid w:val="00080ED2"/>
    <w:rsid w:val="000A6A61"/>
    <w:rsid w:val="00131050"/>
    <w:rsid w:val="00145913"/>
    <w:rsid w:val="001733AF"/>
    <w:rsid w:val="001913CE"/>
    <w:rsid w:val="001F1CF4"/>
    <w:rsid w:val="00200394"/>
    <w:rsid w:val="002222D4"/>
    <w:rsid w:val="0025492B"/>
    <w:rsid w:val="002714B6"/>
    <w:rsid w:val="0027231E"/>
    <w:rsid w:val="002825CC"/>
    <w:rsid w:val="002B1B1C"/>
    <w:rsid w:val="002D43BF"/>
    <w:rsid w:val="00306A77"/>
    <w:rsid w:val="00320F97"/>
    <w:rsid w:val="0035120B"/>
    <w:rsid w:val="00361A92"/>
    <w:rsid w:val="003C5BEF"/>
    <w:rsid w:val="00456421"/>
    <w:rsid w:val="004B21E4"/>
    <w:rsid w:val="00551115"/>
    <w:rsid w:val="005C7FA3"/>
    <w:rsid w:val="006514F6"/>
    <w:rsid w:val="00655139"/>
    <w:rsid w:val="00663DF4"/>
    <w:rsid w:val="006A28A0"/>
    <w:rsid w:val="006A5F09"/>
    <w:rsid w:val="006E5A97"/>
    <w:rsid w:val="007147BF"/>
    <w:rsid w:val="00744DE0"/>
    <w:rsid w:val="00755A3F"/>
    <w:rsid w:val="007717D7"/>
    <w:rsid w:val="00772E51"/>
    <w:rsid w:val="00781E5F"/>
    <w:rsid w:val="0081796F"/>
    <w:rsid w:val="008329AC"/>
    <w:rsid w:val="008B4C24"/>
    <w:rsid w:val="00912F09"/>
    <w:rsid w:val="0098385C"/>
    <w:rsid w:val="009A3429"/>
    <w:rsid w:val="009D052F"/>
    <w:rsid w:val="009D3493"/>
    <w:rsid w:val="009E677B"/>
    <w:rsid w:val="00A42972"/>
    <w:rsid w:val="00A92FCF"/>
    <w:rsid w:val="00A93157"/>
    <w:rsid w:val="00AA2AA2"/>
    <w:rsid w:val="00AA2F41"/>
    <w:rsid w:val="00AF7FB2"/>
    <w:rsid w:val="00B06229"/>
    <w:rsid w:val="00BF5A3E"/>
    <w:rsid w:val="00BF726F"/>
    <w:rsid w:val="00C23797"/>
    <w:rsid w:val="00C34F46"/>
    <w:rsid w:val="00C61E6A"/>
    <w:rsid w:val="00CC166C"/>
    <w:rsid w:val="00D31B99"/>
    <w:rsid w:val="00D86109"/>
    <w:rsid w:val="00DF2D67"/>
    <w:rsid w:val="00E06159"/>
    <w:rsid w:val="00E302D0"/>
    <w:rsid w:val="00E33D04"/>
    <w:rsid w:val="00E82021"/>
    <w:rsid w:val="00EB422B"/>
    <w:rsid w:val="00ED44F1"/>
    <w:rsid w:val="00EE0D05"/>
    <w:rsid w:val="00F00E88"/>
    <w:rsid w:val="00F1207B"/>
    <w:rsid w:val="00F244BB"/>
    <w:rsid w:val="00F307A0"/>
    <w:rsid w:val="00F817A8"/>
    <w:rsid w:val="00FB07E8"/>
    <w:rsid w:val="00FE6B20"/>
    <w:rsid w:val="00FF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03AD49"/>
  <w15:chartTrackingRefBased/>
  <w15:docId w15:val="{194D28A6-7526-4FBD-88F6-204EB5EF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F97"/>
  </w:style>
  <w:style w:type="paragraph" w:styleId="Heading1">
    <w:name w:val="heading 1"/>
    <w:basedOn w:val="Normal"/>
    <w:next w:val="Normal"/>
    <w:link w:val="Heading1Char"/>
    <w:uiPriority w:val="9"/>
    <w:qFormat/>
    <w:rsid w:val="009D3493"/>
    <w:pPr>
      <w:keepNext/>
      <w:keepLines/>
      <w:spacing w:before="360" w:after="40"/>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9D3493"/>
    <w:pPr>
      <w:keepNext/>
      <w:keepLines/>
      <w:spacing w:before="80" w:after="0"/>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9D3493"/>
    <w:pPr>
      <w:keepNext/>
      <w:keepLines/>
      <w:spacing w:before="80" w:after="0"/>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9D3493"/>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9D3493"/>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9D3493"/>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9D3493"/>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9D3493"/>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9D3493"/>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93"/>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9D3493"/>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9D3493"/>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9D3493"/>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9D3493"/>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9D3493"/>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9D3493"/>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9D3493"/>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9D3493"/>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9D3493"/>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D349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D3493"/>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D3493"/>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9D349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D3493"/>
    <w:rPr>
      <w:i/>
      <w:iCs/>
      <w:color w:val="262626" w:themeColor="text1" w:themeTint="D9"/>
    </w:rPr>
  </w:style>
  <w:style w:type="paragraph" w:styleId="ListParagraph">
    <w:name w:val="List Paragraph"/>
    <w:basedOn w:val="Normal"/>
    <w:uiPriority w:val="34"/>
    <w:qFormat/>
    <w:rsid w:val="00D86109"/>
    <w:pPr>
      <w:ind w:left="720"/>
      <w:contextualSpacing/>
    </w:pPr>
  </w:style>
  <w:style w:type="character" w:styleId="IntenseEmphasis">
    <w:name w:val="Intense Emphasis"/>
    <w:basedOn w:val="DefaultParagraphFont"/>
    <w:uiPriority w:val="21"/>
    <w:qFormat/>
    <w:rsid w:val="009D3493"/>
    <w:rPr>
      <w:b/>
      <w:bCs/>
      <w:i/>
      <w:iCs/>
    </w:rPr>
  </w:style>
  <w:style w:type="paragraph" w:styleId="IntenseQuote">
    <w:name w:val="Intense Quote"/>
    <w:basedOn w:val="Normal"/>
    <w:next w:val="Normal"/>
    <w:link w:val="IntenseQuoteChar"/>
    <w:uiPriority w:val="30"/>
    <w:qFormat/>
    <w:rsid w:val="009D3493"/>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9D3493"/>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9D3493"/>
    <w:rPr>
      <w:b/>
      <w:bCs/>
      <w:smallCaps/>
      <w:color w:val="4EA72E" w:themeColor="accent6"/>
    </w:rPr>
  </w:style>
  <w:style w:type="paragraph" w:styleId="Caption">
    <w:name w:val="caption"/>
    <w:basedOn w:val="Normal"/>
    <w:next w:val="Normal"/>
    <w:uiPriority w:val="35"/>
    <w:semiHidden/>
    <w:unhideWhenUsed/>
    <w:qFormat/>
    <w:rsid w:val="009D3493"/>
    <w:rPr>
      <w:b/>
      <w:bCs/>
      <w:smallCaps/>
      <w:color w:val="595959" w:themeColor="text1" w:themeTint="A6"/>
    </w:rPr>
  </w:style>
  <w:style w:type="character" w:styleId="Strong">
    <w:name w:val="Strong"/>
    <w:basedOn w:val="DefaultParagraphFont"/>
    <w:uiPriority w:val="22"/>
    <w:qFormat/>
    <w:rsid w:val="009D3493"/>
    <w:rPr>
      <w:b/>
      <w:bCs/>
    </w:rPr>
  </w:style>
  <w:style w:type="character" w:styleId="Emphasis">
    <w:name w:val="Emphasis"/>
    <w:basedOn w:val="DefaultParagraphFont"/>
    <w:uiPriority w:val="20"/>
    <w:qFormat/>
    <w:rsid w:val="009D3493"/>
    <w:rPr>
      <w:i/>
      <w:iCs/>
      <w:color w:val="4EA72E" w:themeColor="accent6"/>
    </w:rPr>
  </w:style>
  <w:style w:type="paragraph" w:styleId="NoSpacing">
    <w:name w:val="No Spacing"/>
    <w:uiPriority w:val="1"/>
    <w:qFormat/>
    <w:rsid w:val="009D3493"/>
    <w:pPr>
      <w:spacing w:after="0"/>
    </w:pPr>
  </w:style>
  <w:style w:type="character" w:styleId="SubtleEmphasis">
    <w:name w:val="Subtle Emphasis"/>
    <w:basedOn w:val="DefaultParagraphFont"/>
    <w:uiPriority w:val="19"/>
    <w:qFormat/>
    <w:rsid w:val="009D3493"/>
    <w:rPr>
      <w:i/>
      <w:iCs/>
    </w:rPr>
  </w:style>
  <w:style w:type="character" w:styleId="SubtleReference">
    <w:name w:val="Subtle Reference"/>
    <w:basedOn w:val="DefaultParagraphFont"/>
    <w:uiPriority w:val="31"/>
    <w:qFormat/>
    <w:rsid w:val="009D3493"/>
    <w:rPr>
      <w:smallCaps/>
      <w:color w:val="595959" w:themeColor="text1" w:themeTint="A6"/>
    </w:rPr>
  </w:style>
  <w:style w:type="character" w:styleId="BookTitle">
    <w:name w:val="Book Title"/>
    <w:basedOn w:val="DefaultParagraphFont"/>
    <w:uiPriority w:val="33"/>
    <w:qFormat/>
    <w:rsid w:val="009D3493"/>
    <w:rPr>
      <w:b/>
      <w:bCs/>
      <w:caps w:val="0"/>
      <w:smallCaps/>
      <w:spacing w:val="7"/>
      <w:sz w:val="21"/>
      <w:szCs w:val="21"/>
    </w:rPr>
  </w:style>
  <w:style w:type="paragraph" w:styleId="TOCHeading">
    <w:name w:val="TOC Heading"/>
    <w:basedOn w:val="Heading1"/>
    <w:next w:val="Normal"/>
    <w:uiPriority w:val="39"/>
    <w:semiHidden/>
    <w:unhideWhenUsed/>
    <w:qFormat/>
    <w:rsid w:val="009D3493"/>
    <w:pPr>
      <w:outlineLvl w:val="9"/>
    </w:pPr>
  </w:style>
  <w:style w:type="paragraph" w:styleId="Header">
    <w:name w:val="header"/>
    <w:basedOn w:val="Normal"/>
    <w:link w:val="HeaderChar"/>
    <w:uiPriority w:val="99"/>
    <w:unhideWhenUsed/>
    <w:rsid w:val="00A93157"/>
    <w:pPr>
      <w:tabs>
        <w:tab w:val="center" w:pos="4680"/>
        <w:tab w:val="right" w:pos="9360"/>
      </w:tabs>
      <w:spacing w:after="0"/>
    </w:pPr>
  </w:style>
  <w:style w:type="character" w:customStyle="1" w:styleId="HeaderChar">
    <w:name w:val="Header Char"/>
    <w:basedOn w:val="DefaultParagraphFont"/>
    <w:link w:val="Header"/>
    <w:uiPriority w:val="99"/>
    <w:rsid w:val="00A93157"/>
  </w:style>
  <w:style w:type="paragraph" w:styleId="Footer">
    <w:name w:val="footer"/>
    <w:basedOn w:val="Normal"/>
    <w:link w:val="FooterChar"/>
    <w:uiPriority w:val="99"/>
    <w:unhideWhenUsed/>
    <w:rsid w:val="00A93157"/>
    <w:pPr>
      <w:tabs>
        <w:tab w:val="center" w:pos="4680"/>
        <w:tab w:val="right" w:pos="9360"/>
      </w:tabs>
      <w:spacing w:after="0"/>
    </w:pPr>
  </w:style>
  <w:style w:type="character" w:customStyle="1" w:styleId="FooterChar">
    <w:name w:val="Footer Char"/>
    <w:basedOn w:val="DefaultParagraphFont"/>
    <w:link w:val="Footer"/>
    <w:uiPriority w:val="99"/>
    <w:rsid w:val="00A93157"/>
  </w:style>
  <w:style w:type="character" w:styleId="PlaceholderText">
    <w:name w:val="Placeholder Text"/>
    <w:basedOn w:val="DefaultParagraphFont"/>
    <w:uiPriority w:val="99"/>
    <w:semiHidden/>
    <w:rsid w:val="00A93157"/>
    <w:rPr>
      <w:color w:val="808080"/>
    </w:rPr>
  </w:style>
  <w:style w:type="character" w:styleId="Hyperlink">
    <w:name w:val="Hyperlink"/>
    <w:basedOn w:val="DefaultParagraphFont"/>
    <w:uiPriority w:val="99"/>
    <w:unhideWhenUsed/>
    <w:rsid w:val="006514F6"/>
    <w:rPr>
      <w:color w:val="467886" w:themeColor="hyperlink"/>
      <w:u w:val="single"/>
    </w:rPr>
  </w:style>
  <w:style w:type="character" w:styleId="UnresolvedMention">
    <w:name w:val="Unresolved Mention"/>
    <w:basedOn w:val="DefaultParagraphFont"/>
    <w:uiPriority w:val="99"/>
    <w:semiHidden/>
    <w:unhideWhenUsed/>
    <w:rsid w:val="006514F6"/>
    <w:rPr>
      <w:color w:val="605E5C"/>
      <w:shd w:val="clear" w:color="auto" w:fill="E1DFDD"/>
    </w:rPr>
  </w:style>
  <w:style w:type="character" w:styleId="FollowedHyperlink">
    <w:name w:val="FollowedHyperlink"/>
    <w:basedOn w:val="DefaultParagraphFont"/>
    <w:uiPriority w:val="99"/>
    <w:semiHidden/>
    <w:unhideWhenUsed/>
    <w:rsid w:val="006514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08342">
      <w:bodyDiv w:val="1"/>
      <w:marLeft w:val="0"/>
      <w:marRight w:val="0"/>
      <w:marTop w:val="0"/>
      <w:marBottom w:val="0"/>
      <w:divBdr>
        <w:top w:val="none" w:sz="0" w:space="0" w:color="auto"/>
        <w:left w:val="none" w:sz="0" w:space="0" w:color="auto"/>
        <w:bottom w:val="none" w:sz="0" w:space="0" w:color="auto"/>
        <w:right w:val="none" w:sz="0" w:space="0" w:color="auto"/>
      </w:divBdr>
    </w:div>
    <w:div w:id="142102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shalkumar041298/statistics_and_trend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5788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C9A95-FA70-472F-96E7-9FD86AA6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Loan Defaulters Analysis Report</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Defaulters Analysis Report</dc:title>
  <dc:subject/>
  <dc:creator>vishal kumar senthil Kumar</dc:creator>
  <cp:keywords/>
  <dc:description/>
  <cp:lastModifiedBy>Vishal Kumar Senthil Kumar [Student-PECS]</cp:lastModifiedBy>
  <cp:revision>8</cp:revision>
  <cp:lastPrinted>2024-10-31T00:51:00Z</cp:lastPrinted>
  <dcterms:created xsi:type="dcterms:W3CDTF">2024-11-03T19:20:00Z</dcterms:created>
  <dcterms:modified xsi:type="dcterms:W3CDTF">2024-11-03T19:25:00Z</dcterms:modified>
</cp:coreProperties>
</file>