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64"/>
        </w:rPr>
        <w:t>COMPETITIVE STUDY &amp;</w:t>
        <w:br/>
        <w:t>STRATEGIC BLUEPRINT</w:t>
      </w:r>
    </w:p>
    <w:p>
      <w:pPr>
        <w:jc w:val="center"/>
      </w:pPr>
      <w:r>
        <w:rPr>
          <w:rFonts w:ascii="Calibri" w:hAnsi="Calibri"/>
          <w:color w:val="2D5F8A"/>
          <w:sz w:val="32"/>
        </w:rPr>
        <w:t>Building India's Premier UI/UX Design Community</w:t>
        <w:br/>
        <w:t>with Global Expansion Strategy</w:t>
      </w:r>
    </w:p>
    <w:p/>
    <w:p/>
    <w:p>
      <w:pPr>
        <w:jc w:val="center"/>
      </w:pPr>
      <w:r>
        <w:rPr>
          <w:rFonts w:ascii="Calibri" w:hAnsi="Calibri"/>
          <w:color w:val="666666"/>
          <w:sz w:val="24"/>
        </w:rPr>
        <w:t>Prepared for: RPS Design Community</w:t>
        <w:br/>
        <w:t>Date: April 2026</w:t>
        <w:br/>
        <w:t>Model: Hybrid (Online + Offline)</w:t>
      </w:r>
    </w:p>
    <w:p>
      <w:r>
        <w:br w:type="page"/>
      </w:r>
    </w:p>
    <w:p>
      <w:pPr>
        <w:pStyle w:val="Heading1"/>
      </w:pPr>
      <w:r>
        <w:t>Table of Contents</w:t>
      </w:r>
    </w:p>
    <w:p>
      <w:pPr>
        <w:spacing w:after="80"/>
      </w:pPr>
      <w:r>
        <w:rPr>
          <w:sz w:val="22"/>
        </w:rPr>
        <w:t>1. Executive Summary</w:t>
      </w:r>
    </w:p>
    <w:p>
      <w:pPr>
        <w:spacing w:after="80"/>
      </w:pPr>
      <w:r>
        <w:rPr>
          <w:sz w:val="22"/>
        </w:rPr>
        <w:t>2. India's Design Ecosystem: Market Overview</w:t>
      </w:r>
    </w:p>
    <w:p>
      <w:pPr>
        <w:spacing w:after="80"/>
      </w:pPr>
      <w:r>
        <w:rPr>
          <w:sz w:val="22"/>
        </w:rPr>
        <w:t>3. Competitive Landscape: India-Based Communities</w:t>
      </w:r>
    </w:p>
    <w:p>
      <w:pPr>
        <w:spacing w:after="80"/>
      </w:pPr>
      <w:r>
        <w:rPr>
          <w:sz w:val="22"/>
        </w:rPr>
        <w:t>4. Global Design Communities: Benchmark Analysis</w:t>
      </w:r>
    </w:p>
    <w:p>
      <w:pPr>
        <w:spacing w:after="80"/>
      </w:pPr>
      <w:r>
        <w:rPr>
          <w:sz w:val="22"/>
        </w:rPr>
        <w:t>5. Competitive Comparison Matrix</w:t>
      </w:r>
    </w:p>
    <w:p>
      <w:pPr>
        <w:spacing w:after="80"/>
      </w:pPr>
      <w:r>
        <w:rPr>
          <w:sz w:val="22"/>
        </w:rPr>
        <w:t>6. Gap Analysis: Opportunities in India</w:t>
      </w:r>
    </w:p>
    <w:p>
      <w:pPr>
        <w:spacing w:after="80"/>
      </w:pPr>
      <w:r>
        <w:rPr>
          <w:sz w:val="22"/>
        </w:rPr>
        <w:t>7. Community Building Strategy</w:t>
      </w:r>
    </w:p>
    <w:p>
      <w:pPr>
        <w:spacing w:after="80"/>
      </w:pPr>
      <w:r>
        <w:rPr>
          <w:sz w:val="22"/>
        </w:rPr>
        <w:t>8. Hybrid Model Architecture</w:t>
      </w:r>
    </w:p>
    <w:p>
      <w:pPr>
        <w:spacing w:after="80"/>
      </w:pPr>
      <w:r>
        <w:rPr>
          <w:sz w:val="22"/>
        </w:rPr>
        <w:t>9. Monetization &amp; Revenue Strategy</w:t>
      </w:r>
    </w:p>
    <w:p>
      <w:pPr>
        <w:spacing w:after="80"/>
      </w:pPr>
      <w:r>
        <w:rPr>
          <w:sz w:val="22"/>
        </w:rPr>
        <w:t>10. Growth Roadmap: India to Global</w:t>
      </w:r>
    </w:p>
    <w:p>
      <w:pPr>
        <w:spacing w:after="80"/>
      </w:pPr>
      <w:r>
        <w:rPr>
          <w:sz w:val="22"/>
        </w:rPr>
        <w:t>11. Differentiation Framework</w:t>
      </w:r>
    </w:p>
    <w:p>
      <w:pPr>
        <w:spacing w:after="80"/>
      </w:pPr>
      <w:r>
        <w:rPr>
          <w:sz w:val="22"/>
        </w:rPr>
        <w:t>12. Risk Analysis &amp; Mitigation</w:t>
      </w:r>
    </w:p>
    <w:p>
      <w:pPr>
        <w:spacing w:after="80"/>
      </w:pPr>
      <w:r>
        <w:rPr>
          <w:sz w:val="22"/>
        </w:rPr>
        <w:t>13. Key Recommendations</w:t>
      </w:r>
    </w:p>
    <w:p>
      <w:r>
        <w:br w:type="page"/>
      </w:r>
    </w:p>
    <w:p>
      <w:pPr>
        <w:pStyle w:val="Heading1"/>
      </w:pPr>
      <w:r>
        <w:t>1. Executive Summary</w:t>
      </w:r>
    </w:p>
    <w:p>
      <w:pPr/>
      <w:r>
        <w:t>India is home to one of the world's fastest-growing design talent pools, with an estimated 200,000+ UI/UX professionals and the number rising sharply each year. Yet, unlike mature markets such as the US (served by AIGA with 25,000+ members and 72 chapters) or the global IxDA network (150,000+ members in 80+ countries), India lacks a single, dominant, community-first platform that unites designers across cities, experience levels, and specializations.</w:t>
      </w:r>
    </w:p>
    <w:p>
      <w:pPr/>
      <w:r>
        <w:t>The existing landscape is fragmented. Friends of Figma chapters operate independently in cities like Mumbai, Pune, Bangalore, and Hyderabad. Conference-driven communities like UXINDIA and DesignUp deliver annual bursts of engagement but lack year-round programming. Slack-based groups like GSIUXD (17,000+ members) provide digital connection but miss the in-person component that builds lasting professional relationships.</w:t>
      </w:r>
    </w:p>
    <w:p>
      <w:pPr/>
      <w:r>
        <w:t>This report presents a comprehensive competitive study of every major design community operating in India and globally, analyzes their strengths and weaknesses, identifies critical gaps in the market, and delivers a strategic blueprint for building a hybrid (online + offline) UI/UX design community that starts in India and scales worldwide.</w:t>
      </w:r>
    </w:p>
    <w:p>
      <w:pPr/>
      <w:r>
        <w:t>The opportunity is clear: whoever builds a well-structured, value-rich, hybrid design community in India first will capture a massive and loyal audience, and the playbook can then be replicated across Southeast Asia, the Middle East, Africa, and beyond.</w:t>
      </w:r>
    </w:p>
    <w:p>
      <w:r>
        <w:br w:type="page"/>
      </w:r>
    </w:p>
    <w:p>
      <w:pPr>
        <w:pStyle w:val="Heading1"/>
      </w:pPr>
      <w:r>
        <w:t>2. India's Design Ecosystem: Market Overview</w:t>
      </w:r>
    </w:p>
    <w:p>
      <w:pPr>
        <w:pStyle w:val="Heading2"/>
      </w:pPr>
      <w:r>
        <w:t>2.1 The Growth of Design in India</w:t>
      </w:r>
    </w:p>
    <w:p>
      <w:pPr/>
      <w:r>
        <w:t>India's design industry has undergone a transformation in the last decade. What was once a niche discipline has become central to product development at startups and enterprises alike. Bangalore, Mumbai, Delhi NCR, Pune, and Hyderabad have emerged as major design hubs, with companies like Swiggy, Flipkart, Razorpay, CRED, and PhonePe investing heavily in design teams.</w:t>
      </w:r>
    </w:p>
    <w:p>
      <w:pPr/>
      <w:r>
        <w:t>The rise of design-first startups, coupled with global companies setting up design centers in India (Google, Microsoft, Uber, Atlassian, SAP), has created a vibrant ecosystem. Figma's decision to open an office in India in 2025 is a strong signal of the market's importance.</w:t>
      </w:r>
    </w:p>
    <w:p>
      <w:pPr>
        <w:pStyle w:val="Heading2"/>
      </w:pPr>
      <w:r>
        <w:t>2.2 Key Market Indicators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Indicator</w:t>
            </w:r>
          </w:p>
        </w:tc>
        <w:tc>
          <w:tcPr>
            <w:tcW w:type="dxa" w:w="3120"/>
            <w:shd w:fill="1A1A2E"/>
          </w:tcPr>
          <w:p>
            <w:pPr>
              <w:jc w:val="center"/>
            </w:pPr>
            <w:r/>
            <w:r>
              <w:rPr>
                <w:rFonts w:ascii="Calibri" w:hAnsi="Calibri"/>
                <w:b/>
                <w:color w:val="FFFFFF"/>
                <w:sz w:val="20"/>
              </w:rPr>
              <w:t>Data Point</w:t>
            </w:r>
          </w:p>
        </w:tc>
        <w:tc>
          <w:tcPr>
            <w:tcW w:type="dxa" w:w="3120"/>
            <w:shd w:fill="1A1A2E"/>
          </w:tcPr>
          <w:p>
            <w:pPr>
              <w:jc w:val="center"/>
            </w:pPr>
            <w:r/>
            <w:r>
              <w:rPr>
                <w:rFonts w:ascii="Calibri" w:hAnsi="Calibri"/>
                <w:b/>
                <w:color w:val="FFFFFF"/>
                <w:sz w:val="20"/>
              </w:rPr>
              <w:t>Significance</w:t>
            </w:r>
          </w:p>
        </w:tc>
      </w:tr>
      <w:tr>
        <w:tc>
          <w:tcPr>
            <w:tcW w:type="dxa" w:w="3120"/>
          </w:tcPr>
          <w:p>
            <w:r/>
            <w:r>
              <w:rPr>
                <w:rFonts w:ascii="Calibri" w:hAnsi="Calibri"/>
                <w:sz w:val="20"/>
              </w:rPr>
              <w:t>Active UI/UX Professionals</w:t>
            </w:r>
          </w:p>
        </w:tc>
        <w:tc>
          <w:tcPr>
            <w:tcW w:type="dxa" w:w="3120"/>
          </w:tcPr>
          <w:p>
            <w:r/>
            <w:r>
              <w:rPr>
                <w:rFonts w:ascii="Calibri" w:hAnsi="Calibri"/>
                <w:sz w:val="20"/>
              </w:rPr>
              <w:t>200,000+ (est.)</w:t>
            </w:r>
          </w:p>
        </w:tc>
        <w:tc>
          <w:tcPr>
            <w:tcW w:type="dxa" w:w="3120"/>
          </w:tcPr>
          <w:p>
            <w:r/>
            <w:r>
              <w:rPr>
                <w:rFonts w:ascii="Calibri" w:hAnsi="Calibri"/>
                <w:sz w:val="20"/>
              </w:rPr>
              <w:t>One of the largest designer pools globally</w:t>
            </w:r>
          </w:p>
        </w:tc>
      </w:tr>
      <w:tr>
        <w:tc>
          <w:tcPr>
            <w:tcW w:type="dxa" w:w="3120"/>
            <w:shd w:fill="F0F4F8"/>
          </w:tcPr>
          <w:p>
            <w:r/>
            <w:r>
              <w:rPr>
                <w:rFonts w:ascii="Calibri" w:hAnsi="Calibri"/>
                <w:sz w:val="20"/>
              </w:rPr>
              <w:t>Top Design Cities</w:t>
            </w:r>
          </w:p>
        </w:tc>
        <w:tc>
          <w:tcPr>
            <w:tcW w:type="dxa" w:w="3120"/>
            <w:shd w:fill="F0F4F8"/>
          </w:tcPr>
          <w:p>
            <w:r/>
            <w:r>
              <w:rPr>
                <w:rFonts w:ascii="Calibri" w:hAnsi="Calibri"/>
                <w:sz w:val="20"/>
              </w:rPr>
              <w:t>Bangalore, Mumbai, Delhi NCR, Pune, Hyderabad</w:t>
            </w:r>
          </w:p>
        </w:tc>
        <w:tc>
          <w:tcPr>
            <w:tcW w:type="dxa" w:w="3120"/>
            <w:shd w:fill="F0F4F8"/>
          </w:tcPr>
          <w:p>
            <w:r/>
            <w:r>
              <w:rPr>
                <w:rFonts w:ascii="Calibri" w:hAnsi="Calibri"/>
                <w:sz w:val="20"/>
              </w:rPr>
              <w:t>5 major hubs with growing tier-2 interest</w:t>
            </w:r>
          </w:p>
        </w:tc>
      </w:tr>
      <w:tr>
        <w:tc>
          <w:tcPr>
            <w:tcW w:type="dxa" w:w="3120"/>
          </w:tcPr>
          <w:p>
            <w:r/>
            <w:r>
              <w:rPr>
                <w:rFonts w:ascii="Calibri" w:hAnsi="Calibri"/>
                <w:sz w:val="20"/>
              </w:rPr>
              <w:t>Design Education</w:t>
            </w:r>
          </w:p>
        </w:tc>
        <w:tc>
          <w:tcPr>
            <w:tcW w:type="dxa" w:w="3120"/>
          </w:tcPr>
          <w:p>
            <w:r/>
            <w:r>
              <w:rPr>
                <w:rFonts w:ascii="Calibri" w:hAnsi="Calibri"/>
                <w:sz w:val="20"/>
              </w:rPr>
              <w:t>NID, IDC IIT Bombay, Srishti, MIT ID</w:t>
            </w:r>
          </w:p>
        </w:tc>
        <w:tc>
          <w:tcPr>
            <w:tcW w:type="dxa" w:w="3120"/>
          </w:tcPr>
          <w:p>
            <w:r/>
            <w:r>
              <w:rPr>
                <w:rFonts w:ascii="Calibri" w:hAnsi="Calibri"/>
                <w:sz w:val="20"/>
              </w:rPr>
              <w:t>Strong academic pipeline</w:t>
            </w:r>
          </w:p>
        </w:tc>
      </w:tr>
      <w:tr>
        <w:tc>
          <w:tcPr>
            <w:tcW w:type="dxa" w:w="3120"/>
            <w:shd w:fill="F0F4F8"/>
          </w:tcPr>
          <w:p>
            <w:r/>
            <w:r>
              <w:rPr>
                <w:rFonts w:ascii="Calibri" w:hAnsi="Calibri"/>
                <w:sz w:val="20"/>
              </w:rPr>
              <w:t>Avg. UX Designer Salary</w:t>
            </w:r>
          </w:p>
        </w:tc>
        <w:tc>
          <w:tcPr>
            <w:tcW w:type="dxa" w:w="3120"/>
            <w:shd w:fill="F0F4F8"/>
          </w:tcPr>
          <w:p>
            <w:r/>
            <w:r>
              <w:rPr>
                <w:rFonts w:ascii="Calibri" w:hAnsi="Calibri"/>
                <w:sz w:val="20"/>
              </w:rPr>
              <w:t>INR 8-25 LPA</w:t>
            </w:r>
          </w:p>
        </w:tc>
        <w:tc>
          <w:tcPr>
            <w:tcW w:type="dxa" w:w="3120"/>
            <w:shd w:fill="F0F4F8"/>
          </w:tcPr>
          <w:p>
            <w:r/>
            <w:r>
              <w:rPr>
                <w:rFonts w:ascii="Calibri" w:hAnsi="Calibri"/>
                <w:sz w:val="20"/>
              </w:rPr>
              <w:t>Competitive, driving career interest</w:t>
            </w:r>
          </w:p>
        </w:tc>
      </w:tr>
      <w:tr>
        <w:tc>
          <w:tcPr>
            <w:tcW w:type="dxa" w:w="3120"/>
          </w:tcPr>
          <w:p>
            <w:r/>
            <w:r>
              <w:rPr>
                <w:rFonts w:ascii="Calibri" w:hAnsi="Calibri"/>
                <w:sz w:val="20"/>
              </w:rPr>
              <w:t>Figma Users in India</w:t>
            </w:r>
          </w:p>
        </w:tc>
        <w:tc>
          <w:tcPr>
            <w:tcW w:type="dxa" w:w="3120"/>
          </w:tcPr>
          <w:p>
            <w:r/>
            <w:r>
              <w:rPr>
                <w:rFonts w:ascii="Calibri" w:hAnsi="Calibri"/>
                <w:sz w:val="20"/>
              </w:rPr>
              <w:t>25,000+ FoF members</w:t>
            </w:r>
          </w:p>
        </w:tc>
        <w:tc>
          <w:tcPr>
            <w:tcW w:type="dxa" w:w="3120"/>
          </w:tcPr>
          <w:p>
            <w:r/>
            <w:r>
              <w:rPr>
                <w:rFonts w:ascii="Calibri" w:hAnsi="Calibri"/>
                <w:sz w:val="20"/>
              </w:rPr>
              <w:t>High tool adoption and engagement</w:t>
            </w:r>
          </w:p>
        </w:tc>
      </w:tr>
      <w:tr>
        <w:tc>
          <w:tcPr>
            <w:tcW w:type="dxa" w:w="3120"/>
            <w:shd w:fill="F0F4F8"/>
          </w:tcPr>
          <w:p>
            <w:r/>
            <w:r>
              <w:rPr>
                <w:rFonts w:ascii="Calibri" w:hAnsi="Calibri"/>
                <w:sz w:val="20"/>
              </w:rPr>
              <w:t>Design Conferences</w:t>
            </w:r>
          </w:p>
        </w:tc>
        <w:tc>
          <w:tcPr>
            <w:tcW w:type="dxa" w:w="3120"/>
            <w:shd w:fill="F0F4F8"/>
          </w:tcPr>
          <w:p>
            <w:r/>
            <w:r>
              <w:rPr>
                <w:rFonts w:ascii="Calibri" w:hAnsi="Calibri"/>
                <w:sz w:val="20"/>
              </w:rPr>
              <w:t>UXINDIA, DesignUp, DesignX</w:t>
            </w:r>
          </w:p>
        </w:tc>
        <w:tc>
          <w:tcPr>
            <w:tcW w:type="dxa" w:w="3120"/>
            <w:shd w:fill="F0F4F8"/>
          </w:tcPr>
          <w:p>
            <w:r/>
            <w:r>
              <w:rPr>
                <w:rFonts w:ascii="Calibri" w:hAnsi="Calibri"/>
                <w:sz w:val="20"/>
              </w:rPr>
              <w:t>Growing but limited year-round activity</w:t>
            </w:r>
          </w:p>
        </w:tc>
      </w:tr>
      <w:tr>
        <w:tc>
          <w:tcPr>
            <w:tcW w:type="dxa" w:w="3120"/>
          </w:tcPr>
          <w:p>
            <w:r/>
            <w:r>
              <w:rPr>
                <w:rFonts w:ascii="Calibri" w:hAnsi="Calibri"/>
                <w:sz w:val="20"/>
              </w:rPr>
              <w:t>Freelance/Remote Work</w:t>
            </w:r>
          </w:p>
        </w:tc>
        <w:tc>
          <w:tcPr>
            <w:tcW w:type="dxa" w:w="3120"/>
          </w:tcPr>
          <w:p>
            <w:r/>
            <w:r>
              <w:rPr>
                <w:rFonts w:ascii="Calibri" w:hAnsi="Calibri"/>
                <w:sz w:val="20"/>
              </w:rPr>
              <w:t>Rising rapidly</w:t>
            </w:r>
          </w:p>
        </w:tc>
        <w:tc>
          <w:tcPr>
            <w:tcW w:type="dxa" w:w="3120"/>
          </w:tcPr>
          <w:p>
            <w:r/>
            <w:r>
              <w:rPr>
                <w:rFonts w:ascii="Calibri" w:hAnsi="Calibri"/>
                <w:sz w:val="20"/>
              </w:rPr>
              <w:t>Creating demand for community and upskilling</w:t>
            </w:r>
          </w:p>
        </w:tc>
      </w:tr>
    </w:tbl>
    <w:p>
      <w:pPr>
        <w:pStyle w:val="Heading2"/>
      </w:pPr>
      <w:r>
        <w:t>2.3 Design Maturity Across Cities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City</w:t>
            </w:r>
          </w:p>
        </w:tc>
        <w:tc>
          <w:tcPr>
            <w:tcW w:type="dxa" w:w="2340"/>
            <w:shd w:fill="1A1A2E"/>
          </w:tcPr>
          <w:p>
            <w:pPr>
              <w:jc w:val="center"/>
            </w:pPr>
            <w:r/>
            <w:r>
              <w:rPr>
                <w:rFonts w:ascii="Calibri" w:hAnsi="Calibri"/>
                <w:b/>
                <w:color w:val="FFFFFF"/>
                <w:sz w:val="20"/>
              </w:rPr>
              <w:t>Maturity Level</w:t>
            </w:r>
          </w:p>
        </w:tc>
        <w:tc>
          <w:tcPr>
            <w:tcW w:type="dxa" w:w="2340"/>
            <w:shd w:fill="1A1A2E"/>
          </w:tcPr>
          <w:p>
            <w:pPr>
              <w:jc w:val="center"/>
            </w:pPr>
            <w:r/>
            <w:r>
              <w:rPr>
                <w:rFonts w:ascii="Calibri" w:hAnsi="Calibri"/>
                <w:b/>
                <w:color w:val="FFFFFF"/>
                <w:sz w:val="20"/>
              </w:rPr>
              <w:t>Key Strengths</w:t>
            </w:r>
          </w:p>
        </w:tc>
        <w:tc>
          <w:tcPr>
            <w:tcW w:type="dxa" w:w="2340"/>
            <w:shd w:fill="1A1A2E"/>
          </w:tcPr>
          <w:p>
            <w:pPr>
              <w:jc w:val="center"/>
            </w:pPr>
            <w:r/>
            <w:r>
              <w:rPr>
                <w:rFonts w:ascii="Calibri" w:hAnsi="Calibri"/>
                <w:b/>
                <w:color w:val="FFFFFF"/>
                <w:sz w:val="20"/>
              </w:rPr>
              <w:t>Community Activity</w:t>
            </w:r>
          </w:p>
        </w:tc>
      </w:tr>
      <w:tr>
        <w:tc>
          <w:tcPr>
            <w:tcW w:type="dxa" w:w="2340"/>
          </w:tcPr>
          <w:p>
            <w:r/>
            <w:r>
              <w:rPr>
                <w:rFonts w:ascii="Calibri" w:hAnsi="Calibri"/>
                <w:sz w:val="20"/>
              </w:rPr>
              <w:t>Bangalore</w:t>
            </w:r>
          </w:p>
        </w:tc>
        <w:tc>
          <w:tcPr>
            <w:tcW w:type="dxa" w:w="2340"/>
          </w:tcPr>
          <w:p>
            <w:r/>
            <w:r>
              <w:rPr>
                <w:rFonts w:ascii="Calibri" w:hAnsi="Calibri"/>
                <w:sz w:val="20"/>
              </w:rPr>
              <w:t>High</w:t>
            </w:r>
          </w:p>
        </w:tc>
        <w:tc>
          <w:tcPr>
            <w:tcW w:type="dxa" w:w="2340"/>
          </w:tcPr>
          <w:p>
            <w:r/>
            <w:r>
              <w:rPr>
                <w:rFonts w:ascii="Calibri" w:hAnsi="Calibri"/>
                <w:sz w:val="20"/>
              </w:rPr>
              <w:t>Startup ecosystem, global companies, DesignUp HQ</w:t>
            </w:r>
          </w:p>
        </w:tc>
        <w:tc>
          <w:tcPr>
            <w:tcW w:type="dxa" w:w="2340"/>
          </w:tcPr>
          <w:p>
            <w:r/>
            <w:r>
              <w:rPr>
                <w:rFonts w:ascii="Calibri" w:hAnsi="Calibri"/>
                <w:sz w:val="20"/>
              </w:rPr>
              <w:t>Very Active</w:t>
            </w:r>
          </w:p>
        </w:tc>
      </w:tr>
      <w:tr>
        <w:tc>
          <w:tcPr>
            <w:tcW w:type="dxa" w:w="2340"/>
            <w:shd w:fill="F0F4F8"/>
          </w:tcPr>
          <w:p>
            <w:r/>
            <w:r>
              <w:rPr>
                <w:rFonts w:ascii="Calibri" w:hAnsi="Calibri"/>
                <w:sz w:val="20"/>
              </w:rPr>
              <w:t>Mumbai</w:t>
            </w:r>
          </w:p>
        </w:tc>
        <w:tc>
          <w:tcPr>
            <w:tcW w:type="dxa" w:w="2340"/>
            <w:shd w:fill="F0F4F8"/>
          </w:tcPr>
          <w:p>
            <w:r/>
            <w:r>
              <w:rPr>
                <w:rFonts w:ascii="Calibri" w:hAnsi="Calibri"/>
                <w:sz w:val="20"/>
              </w:rPr>
              <w:t>High</w:t>
            </w:r>
          </w:p>
        </w:tc>
        <w:tc>
          <w:tcPr>
            <w:tcW w:type="dxa" w:w="2340"/>
            <w:shd w:fill="F0F4F8"/>
          </w:tcPr>
          <w:p>
            <w:r/>
            <w:r>
              <w:rPr>
                <w:rFonts w:ascii="Calibri" w:hAnsi="Calibri"/>
                <w:sz w:val="20"/>
              </w:rPr>
              <w:t>Agency hub, largest FoF chapter (1,400+), creative industry</w:t>
            </w:r>
          </w:p>
        </w:tc>
        <w:tc>
          <w:tcPr>
            <w:tcW w:type="dxa" w:w="2340"/>
            <w:shd w:fill="F0F4F8"/>
          </w:tcPr>
          <w:p>
            <w:r/>
            <w:r>
              <w:rPr>
                <w:rFonts w:ascii="Calibri" w:hAnsi="Calibri"/>
                <w:sz w:val="20"/>
              </w:rPr>
              <w:t>Active</w:t>
            </w:r>
          </w:p>
        </w:tc>
      </w:tr>
      <w:tr>
        <w:tc>
          <w:tcPr>
            <w:tcW w:type="dxa" w:w="2340"/>
          </w:tcPr>
          <w:p>
            <w:r/>
            <w:r>
              <w:rPr>
                <w:rFonts w:ascii="Calibri" w:hAnsi="Calibri"/>
                <w:sz w:val="20"/>
              </w:rPr>
              <w:t>Delhi NCR</w:t>
            </w:r>
          </w:p>
        </w:tc>
        <w:tc>
          <w:tcPr>
            <w:tcW w:type="dxa" w:w="2340"/>
          </w:tcPr>
          <w:p>
            <w:r/>
            <w:r>
              <w:rPr>
                <w:rFonts w:ascii="Calibri" w:hAnsi="Calibri"/>
                <w:sz w:val="20"/>
              </w:rPr>
              <w:t>Medium-High</w:t>
            </w:r>
          </w:p>
        </w:tc>
        <w:tc>
          <w:tcPr>
            <w:tcW w:type="dxa" w:w="2340"/>
          </w:tcPr>
          <w:p>
            <w:r/>
            <w:r>
              <w:rPr>
                <w:rFonts w:ascii="Calibri" w:hAnsi="Calibri"/>
                <w:sz w:val="20"/>
              </w:rPr>
              <w:t>Enterprise design, consulting, large talent pool</w:t>
            </w:r>
          </w:p>
        </w:tc>
        <w:tc>
          <w:tcPr>
            <w:tcW w:type="dxa" w:w="2340"/>
          </w:tcPr>
          <w:p>
            <w:r/>
            <w:r>
              <w:rPr>
                <w:rFonts w:ascii="Calibri" w:hAnsi="Calibri"/>
                <w:sz w:val="20"/>
              </w:rPr>
              <w:t>Moderate</w:t>
            </w:r>
          </w:p>
        </w:tc>
      </w:tr>
      <w:tr>
        <w:tc>
          <w:tcPr>
            <w:tcW w:type="dxa" w:w="2340"/>
            <w:shd w:fill="F0F4F8"/>
          </w:tcPr>
          <w:p>
            <w:r/>
            <w:r>
              <w:rPr>
                <w:rFonts w:ascii="Calibri" w:hAnsi="Calibri"/>
                <w:sz w:val="20"/>
              </w:rPr>
              <w:t>Pune</w:t>
            </w:r>
          </w:p>
        </w:tc>
        <w:tc>
          <w:tcPr>
            <w:tcW w:type="dxa" w:w="2340"/>
            <w:shd w:fill="F0F4F8"/>
          </w:tcPr>
          <w:p>
            <w:r/>
            <w:r>
              <w:rPr>
                <w:rFonts w:ascii="Calibri" w:hAnsi="Calibri"/>
                <w:sz w:val="20"/>
              </w:rPr>
              <w:t>Medium</w:t>
            </w:r>
          </w:p>
        </w:tc>
        <w:tc>
          <w:tcPr>
            <w:tcW w:type="dxa" w:w="2340"/>
            <w:shd w:fill="F0F4F8"/>
          </w:tcPr>
          <w:p>
            <w:r/>
            <w:r>
              <w:rPr>
                <w:rFonts w:ascii="Calibri" w:hAnsi="Calibri"/>
                <w:sz w:val="20"/>
              </w:rPr>
              <w:t>IT corridor, growing startup scene, FoF chapter</w:t>
            </w:r>
          </w:p>
        </w:tc>
        <w:tc>
          <w:tcPr>
            <w:tcW w:type="dxa" w:w="2340"/>
            <w:shd w:fill="F0F4F8"/>
          </w:tcPr>
          <w:p>
            <w:r/>
            <w:r>
              <w:rPr>
                <w:rFonts w:ascii="Calibri" w:hAnsi="Calibri"/>
                <w:sz w:val="20"/>
              </w:rPr>
              <w:t>Growing</w:t>
            </w:r>
          </w:p>
        </w:tc>
      </w:tr>
      <w:tr>
        <w:tc>
          <w:tcPr>
            <w:tcW w:type="dxa" w:w="2340"/>
          </w:tcPr>
          <w:p>
            <w:r/>
            <w:r>
              <w:rPr>
                <w:rFonts w:ascii="Calibri" w:hAnsi="Calibri"/>
                <w:sz w:val="20"/>
              </w:rPr>
              <w:t>Hyderabad</w:t>
            </w:r>
          </w:p>
        </w:tc>
        <w:tc>
          <w:tcPr>
            <w:tcW w:type="dxa" w:w="2340"/>
          </w:tcPr>
          <w:p>
            <w:r/>
            <w:r>
              <w:rPr>
                <w:rFonts w:ascii="Calibri" w:hAnsi="Calibri"/>
                <w:sz w:val="20"/>
              </w:rPr>
              <w:t>Medium</w:t>
            </w:r>
          </w:p>
        </w:tc>
        <w:tc>
          <w:tcPr>
            <w:tcW w:type="dxa" w:w="2340"/>
          </w:tcPr>
          <w:p>
            <w:r/>
            <w:r>
              <w:rPr>
                <w:rFonts w:ascii="Calibri" w:hAnsi="Calibri"/>
                <w:sz w:val="20"/>
              </w:rPr>
              <w:t>UXINDIA host city, enterprise UX, emerging hub</w:t>
            </w:r>
          </w:p>
        </w:tc>
        <w:tc>
          <w:tcPr>
            <w:tcW w:type="dxa" w:w="2340"/>
          </w:tcPr>
          <w:p>
            <w:r/>
            <w:r>
              <w:rPr>
                <w:rFonts w:ascii="Calibri" w:hAnsi="Calibri"/>
                <w:sz w:val="20"/>
              </w:rPr>
              <w:t>Growing</w:t>
            </w:r>
          </w:p>
        </w:tc>
      </w:tr>
      <w:tr>
        <w:tc>
          <w:tcPr>
            <w:tcW w:type="dxa" w:w="2340"/>
            <w:shd w:fill="F0F4F8"/>
          </w:tcPr>
          <w:p>
            <w:r/>
            <w:r>
              <w:rPr>
                <w:rFonts w:ascii="Calibri" w:hAnsi="Calibri"/>
                <w:sz w:val="20"/>
              </w:rPr>
              <w:t>Chennai</w:t>
            </w:r>
          </w:p>
        </w:tc>
        <w:tc>
          <w:tcPr>
            <w:tcW w:type="dxa" w:w="2340"/>
            <w:shd w:fill="F0F4F8"/>
          </w:tcPr>
          <w:p>
            <w:r/>
            <w:r>
              <w:rPr>
                <w:rFonts w:ascii="Calibri" w:hAnsi="Calibri"/>
                <w:sz w:val="20"/>
              </w:rPr>
              <w:t>Medium</w:t>
            </w:r>
          </w:p>
        </w:tc>
        <w:tc>
          <w:tcPr>
            <w:tcW w:type="dxa" w:w="2340"/>
            <w:shd w:fill="F0F4F8"/>
          </w:tcPr>
          <w:p>
            <w:r/>
            <w:r>
              <w:rPr>
                <w:rFonts w:ascii="Calibri" w:hAnsi="Calibri"/>
                <w:sz w:val="20"/>
              </w:rPr>
              <w:t>IT services, design in healthcare/fintech</w:t>
            </w:r>
          </w:p>
        </w:tc>
        <w:tc>
          <w:tcPr>
            <w:tcW w:type="dxa" w:w="2340"/>
            <w:shd w:fill="F0F4F8"/>
          </w:tcPr>
          <w:p>
            <w:r/>
            <w:r>
              <w:rPr>
                <w:rFonts w:ascii="Calibri" w:hAnsi="Calibri"/>
                <w:sz w:val="20"/>
              </w:rPr>
              <w:t>Emerging</w:t>
            </w:r>
          </w:p>
        </w:tc>
      </w:tr>
      <w:tr>
        <w:tc>
          <w:tcPr>
            <w:tcW w:type="dxa" w:w="2340"/>
          </w:tcPr>
          <w:p>
            <w:r/>
            <w:r>
              <w:rPr>
                <w:rFonts w:ascii="Calibri" w:hAnsi="Calibri"/>
                <w:sz w:val="20"/>
              </w:rPr>
              <w:t>Kolkata</w:t>
            </w:r>
          </w:p>
        </w:tc>
        <w:tc>
          <w:tcPr>
            <w:tcW w:type="dxa" w:w="2340"/>
          </w:tcPr>
          <w:p>
            <w:r/>
            <w:r>
              <w:rPr>
                <w:rFonts w:ascii="Calibri" w:hAnsi="Calibri"/>
                <w:sz w:val="20"/>
              </w:rPr>
              <w:t>Low-Medium</w:t>
            </w:r>
          </w:p>
        </w:tc>
        <w:tc>
          <w:tcPr>
            <w:tcW w:type="dxa" w:w="2340"/>
          </w:tcPr>
          <w:p>
            <w:r/>
            <w:r>
              <w:rPr>
                <w:rFonts w:ascii="Calibri" w:hAnsi="Calibri"/>
                <w:sz w:val="20"/>
              </w:rPr>
              <w:t>Creative arts tradition, small but passionate community</w:t>
            </w:r>
          </w:p>
        </w:tc>
        <w:tc>
          <w:tcPr>
            <w:tcW w:type="dxa" w:w="2340"/>
          </w:tcPr>
          <w:p>
            <w:r/>
            <w:r>
              <w:rPr>
                <w:rFonts w:ascii="Calibri" w:hAnsi="Calibri"/>
                <w:sz w:val="20"/>
              </w:rPr>
              <w:t>Emerging</w:t>
            </w:r>
          </w:p>
        </w:tc>
      </w:tr>
    </w:tbl>
    <w:p>
      <w:r>
        <w:br w:type="page"/>
      </w:r>
    </w:p>
    <w:p>
      <w:pPr>
        <w:pStyle w:val="Heading1"/>
      </w:pPr>
      <w:r>
        <w:t>3. Competitive Landscape: India-Based Communities</w:t>
      </w:r>
    </w:p>
    <w:p>
      <w:pPr>
        <w:pStyle w:val="Heading2"/>
      </w:pPr>
      <w:r>
        <w:t>3.1 Friends of Figma (India Chapters)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Tool-specific community (Figma-backed)</w:t>
            </w:r>
          </w:p>
        </w:tc>
      </w:tr>
      <w:tr>
        <w:tc>
          <w:tcPr>
            <w:tcW w:type="dxa" w:w="4680"/>
            <w:shd w:fill="F0F4F8"/>
          </w:tcPr>
          <w:p>
            <w:r/>
            <w:r>
              <w:rPr>
                <w:rFonts w:ascii="Calibri" w:hAnsi="Calibri"/>
                <w:sz w:val="20"/>
              </w:rPr>
              <w:t>India Members</w:t>
            </w:r>
          </w:p>
        </w:tc>
        <w:tc>
          <w:tcPr>
            <w:tcW w:type="dxa" w:w="4680"/>
            <w:shd w:fill="F0F4F8"/>
          </w:tcPr>
          <w:p>
            <w:r/>
            <w:r>
              <w:rPr>
                <w:rFonts w:ascii="Calibri" w:hAnsi="Calibri"/>
                <w:sz w:val="20"/>
              </w:rPr>
              <w:t>25,000+ across chapters</w:t>
            </w:r>
          </w:p>
        </w:tc>
      </w:tr>
      <w:tr>
        <w:tc>
          <w:tcPr>
            <w:tcW w:type="dxa" w:w="4680"/>
          </w:tcPr>
          <w:p>
            <w:r/>
            <w:r>
              <w:rPr>
                <w:rFonts w:ascii="Calibri" w:hAnsi="Calibri"/>
                <w:sz w:val="20"/>
              </w:rPr>
              <w:t>Major Chapters</w:t>
            </w:r>
          </w:p>
        </w:tc>
        <w:tc>
          <w:tcPr>
            <w:tcW w:type="dxa" w:w="4680"/>
          </w:tcPr>
          <w:p>
            <w:r/>
            <w:r>
              <w:rPr>
                <w:rFonts w:ascii="Calibri" w:hAnsi="Calibri"/>
                <w:sz w:val="20"/>
              </w:rPr>
              <w:t>Mumbai (1,400+), Bangalore, Pune, Hyderabad, Coimbatore</w:t>
            </w:r>
          </w:p>
        </w:tc>
      </w:tr>
      <w:tr>
        <w:tc>
          <w:tcPr>
            <w:tcW w:type="dxa" w:w="4680"/>
            <w:shd w:fill="F0F4F8"/>
          </w:tcPr>
          <w:p>
            <w:r/>
            <w:r>
              <w:rPr>
                <w:rFonts w:ascii="Calibri" w:hAnsi="Calibri"/>
                <w:sz w:val="20"/>
              </w:rPr>
              <w:t>Format</w:t>
            </w:r>
          </w:p>
        </w:tc>
        <w:tc>
          <w:tcPr>
            <w:tcW w:type="dxa" w:w="4680"/>
            <w:shd w:fill="F0F4F8"/>
          </w:tcPr>
          <w:p>
            <w:r/>
            <w:r>
              <w:rPr>
                <w:rFonts w:ascii="Calibri" w:hAnsi="Calibri"/>
                <w:sz w:val="20"/>
              </w:rPr>
              <w:t>In-person meetups, design jams, workshops</w:t>
            </w:r>
          </w:p>
        </w:tc>
      </w:tr>
      <w:tr>
        <w:tc>
          <w:tcPr>
            <w:tcW w:type="dxa" w:w="4680"/>
          </w:tcPr>
          <w:p>
            <w:r/>
            <w:r>
              <w:rPr>
                <w:rFonts w:ascii="Calibri" w:hAnsi="Calibri"/>
                <w:sz w:val="20"/>
              </w:rPr>
              <w:t>Frequency</w:t>
            </w:r>
          </w:p>
        </w:tc>
        <w:tc>
          <w:tcPr>
            <w:tcW w:type="dxa" w:w="4680"/>
          </w:tcPr>
          <w:p>
            <w:r/>
            <w:r>
              <w:rPr>
                <w:rFonts w:ascii="Calibri" w:hAnsi="Calibri"/>
                <w:sz w:val="20"/>
              </w:rPr>
              <w:t>Monthly to quarterly per chapter</w:t>
            </w:r>
          </w:p>
        </w:tc>
      </w:tr>
      <w:tr>
        <w:tc>
          <w:tcPr>
            <w:tcW w:type="dxa" w:w="4680"/>
            <w:shd w:fill="F0F4F8"/>
          </w:tcPr>
          <w:p>
            <w:r/>
            <w:r>
              <w:rPr>
                <w:rFonts w:ascii="Calibri" w:hAnsi="Calibri"/>
                <w:sz w:val="20"/>
              </w:rPr>
              <w:t>Cost</w:t>
            </w:r>
          </w:p>
        </w:tc>
        <w:tc>
          <w:tcPr>
            <w:tcW w:type="dxa" w:w="4680"/>
            <w:shd w:fill="F0F4F8"/>
          </w:tcPr>
          <w:p>
            <w:r/>
            <w:r>
              <w:rPr>
                <w:rFonts w:ascii="Calibri" w:hAnsi="Calibri"/>
                <w:sz w:val="20"/>
              </w:rPr>
              <w:t>Free (sponsored by Figma)</w:t>
            </w:r>
          </w:p>
        </w:tc>
      </w:tr>
      <w:tr>
        <w:tc>
          <w:tcPr>
            <w:tcW w:type="dxa" w:w="4680"/>
          </w:tcPr>
          <w:p>
            <w:r/>
            <w:r>
              <w:rPr>
                <w:rFonts w:ascii="Calibri" w:hAnsi="Calibri"/>
                <w:sz w:val="20"/>
              </w:rPr>
              <w:t>Global Rank</w:t>
            </w:r>
          </w:p>
        </w:tc>
        <w:tc>
          <w:tcPr>
            <w:tcW w:type="dxa" w:w="4680"/>
          </w:tcPr>
          <w:p>
            <w:r/>
            <w:r>
              <w:rPr>
                <w:rFonts w:ascii="Calibri" w:hAnsi="Calibri"/>
                <w:sz w:val="20"/>
              </w:rPr>
              <w:t>5 Indian chapters in top 12 globally</w:t>
            </w:r>
          </w:p>
        </w:tc>
      </w:tr>
    </w:tbl>
    <w:p/>
    <w:p>
      <w:pPr/>
      <w:r>
        <w:t>Strengths: Strong brand backing from Figma, established chapters in major cities, good in-person event format, global ranking recognition. The Mumbai chapter, led by active community leaders, has become a model for engagement.</w:t>
      </w:r>
    </w:p>
    <w:p>
      <w:pPr/>
      <w:r>
        <w:t>Weaknesses: Tied exclusively to Figma's ecosystem and brand; limited to design tooling conversations rather than broader career development; no centralized programming across India; relies entirely on volunteer organizers with varying commitment levels; no online community platform for continuous engagement between events.</w:t>
      </w:r>
    </w:p>
    <w:p>
      <w:pPr>
        <w:pStyle w:val="Heading2"/>
      </w:pPr>
      <w:r>
        <w:t>3.2 UXINDIA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Annual conference + community</w:t>
            </w:r>
          </w:p>
        </w:tc>
      </w:tr>
      <w:tr>
        <w:tc>
          <w:tcPr>
            <w:tcW w:type="dxa" w:w="4680"/>
            <w:shd w:fill="F0F4F8"/>
          </w:tcPr>
          <w:p>
            <w:r/>
            <w:r>
              <w:rPr>
                <w:rFonts w:ascii="Calibri" w:hAnsi="Calibri"/>
                <w:sz w:val="20"/>
              </w:rPr>
              <w:t>Location</w:t>
            </w:r>
          </w:p>
        </w:tc>
        <w:tc>
          <w:tcPr>
            <w:tcW w:type="dxa" w:w="4680"/>
            <w:shd w:fill="F0F4F8"/>
          </w:tcPr>
          <w:p>
            <w:r/>
            <w:r>
              <w:rPr>
                <w:rFonts w:ascii="Calibri" w:hAnsi="Calibri"/>
                <w:sz w:val="20"/>
              </w:rPr>
              <w:t>Hyderabad (2025), Bengaluru (2026)</w:t>
            </w:r>
          </w:p>
        </w:tc>
      </w:tr>
      <w:tr>
        <w:tc>
          <w:tcPr>
            <w:tcW w:type="dxa" w:w="4680"/>
          </w:tcPr>
          <w:p>
            <w:r/>
            <w:r>
              <w:rPr>
                <w:rFonts w:ascii="Calibri" w:hAnsi="Calibri"/>
                <w:sz w:val="20"/>
              </w:rPr>
              <w:t>Format</w:t>
            </w:r>
          </w:p>
        </w:tc>
        <w:tc>
          <w:tcPr>
            <w:tcW w:type="dxa" w:w="4680"/>
          </w:tcPr>
          <w:p>
            <w:r/>
            <w:r>
              <w:rPr>
                <w:rFonts w:ascii="Calibri" w:hAnsi="Calibri"/>
                <w:sz w:val="20"/>
              </w:rPr>
              <w:t>Theatre talks, roundtables, workshops</w:t>
            </w:r>
          </w:p>
        </w:tc>
      </w:tr>
      <w:tr>
        <w:tc>
          <w:tcPr>
            <w:tcW w:type="dxa" w:w="4680"/>
            <w:shd w:fill="F0F4F8"/>
          </w:tcPr>
          <w:p>
            <w:r/>
            <w:r>
              <w:rPr>
                <w:rFonts w:ascii="Calibri" w:hAnsi="Calibri"/>
                <w:sz w:val="20"/>
              </w:rPr>
              <w:t>Duration</w:t>
            </w:r>
          </w:p>
        </w:tc>
        <w:tc>
          <w:tcPr>
            <w:tcW w:type="dxa" w:w="4680"/>
            <w:shd w:fill="F0F4F8"/>
          </w:tcPr>
          <w:p>
            <w:r/>
            <w:r>
              <w:rPr>
                <w:rFonts w:ascii="Calibri" w:hAnsi="Calibri"/>
                <w:sz w:val="20"/>
              </w:rPr>
              <w:t>3 days annually</w:t>
            </w:r>
          </w:p>
        </w:tc>
      </w:tr>
      <w:tr>
        <w:tc>
          <w:tcPr>
            <w:tcW w:type="dxa" w:w="4680"/>
          </w:tcPr>
          <w:p>
            <w:r/>
            <w:r>
              <w:rPr>
                <w:rFonts w:ascii="Calibri" w:hAnsi="Calibri"/>
                <w:sz w:val="20"/>
              </w:rPr>
              <w:t>Audience</w:t>
            </w:r>
          </w:p>
        </w:tc>
        <w:tc>
          <w:tcPr>
            <w:tcW w:type="dxa" w:w="4680"/>
          </w:tcPr>
          <w:p>
            <w:r/>
            <w:r>
              <w:rPr>
                <w:rFonts w:ascii="Calibri" w:hAnsi="Calibri"/>
                <w:sz w:val="20"/>
              </w:rPr>
              <w:t>Design leaders, practitioners, students</w:t>
            </w:r>
          </w:p>
        </w:tc>
      </w:tr>
      <w:tr>
        <w:tc>
          <w:tcPr>
            <w:tcW w:type="dxa" w:w="4680"/>
            <w:shd w:fill="F0F4F8"/>
          </w:tcPr>
          <w:p>
            <w:r/>
            <w:r>
              <w:rPr>
                <w:rFonts w:ascii="Calibri" w:hAnsi="Calibri"/>
                <w:sz w:val="20"/>
              </w:rPr>
              <w:t>Focus</w:t>
            </w:r>
          </w:p>
        </w:tc>
        <w:tc>
          <w:tcPr>
            <w:tcW w:type="dxa" w:w="4680"/>
            <w:shd w:fill="F0F4F8"/>
          </w:tcPr>
          <w:p>
            <w:r/>
            <w:r>
              <w:rPr>
                <w:rFonts w:ascii="Calibri" w:hAnsi="Calibri"/>
                <w:sz w:val="20"/>
              </w:rPr>
              <w:t>Design innovation, thought leadership, entrepreneurship</w:t>
            </w:r>
          </w:p>
        </w:tc>
      </w:tr>
      <w:tr>
        <w:tc>
          <w:tcPr>
            <w:tcW w:type="dxa" w:w="4680"/>
          </w:tcPr>
          <w:p>
            <w:r/>
            <w:r>
              <w:rPr>
                <w:rFonts w:ascii="Calibri" w:hAnsi="Calibri"/>
                <w:sz w:val="20"/>
              </w:rPr>
              <w:t>Scale</w:t>
            </w:r>
          </w:p>
        </w:tc>
        <w:tc>
          <w:tcPr>
            <w:tcW w:type="dxa" w:w="4680"/>
          </w:tcPr>
          <w:p>
            <w:r/>
            <w:r>
              <w:rPr>
                <w:rFonts w:ascii="Calibri" w:hAnsi="Calibri"/>
                <w:sz w:val="20"/>
              </w:rPr>
              <w:t>India's biggest design conference</w:t>
            </w:r>
          </w:p>
        </w:tc>
      </w:tr>
    </w:tbl>
    <w:p/>
    <w:p>
      <w:pPr/>
      <w:r>
        <w:t>Strengths: India's largest and most prestigious design conference; attracts global speakers and thought leaders; strong brand for design leadership content; networking at a senior level.</w:t>
      </w:r>
    </w:p>
    <w:p>
      <w:pPr/>
      <w:r>
        <w:t>Weaknesses: Annual-only engagement model; no year-round community platform; high ticket prices limit accessibility for students and early-career designers; conference-centric with no ongoing membership or resources; limited geographic reach (single city per year).</w:t>
      </w:r>
    </w:p>
    <w:p>
      <w:pPr>
        <w:pStyle w:val="Heading2"/>
      </w:pPr>
      <w:r>
        <w:t>3.3 DesignUp Conference</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Annual conference + community events</w:t>
            </w:r>
          </w:p>
        </w:tc>
      </w:tr>
      <w:tr>
        <w:tc>
          <w:tcPr>
            <w:tcW w:type="dxa" w:w="4680"/>
            <w:shd w:fill="F0F4F8"/>
          </w:tcPr>
          <w:p>
            <w:r/>
            <w:r>
              <w:rPr>
                <w:rFonts w:ascii="Calibri" w:hAnsi="Calibri"/>
                <w:sz w:val="20"/>
              </w:rPr>
              <w:t>Location</w:t>
            </w:r>
          </w:p>
        </w:tc>
        <w:tc>
          <w:tcPr>
            <w:tcW w:type="dxa" w:w="4680"/>
            <w:shd w:fill="F0F4F8"/>
          </w:tcPr>
          <w:p>
            <w:r/>
            <w:r>
              <w:rPr>
                <w:rFonts w:ascii="Calibri" w:hAnsi="Calibri"/>
                <w:sz w:val="20"/>
              </w:rPr>
              <w:t>Bengaluru</w:t>
            </w:r>
          </w:p>
        </w:tc>
      </w:tr>
      <w:tr>
        <w:tc>
          <w:tcPr>
            <w:tcW w:type="dxa" w:w="4680"/>
          </w:tcPr>
          <w:p>
            <w:r/>
            <w:r>
              <w:rPr>
                <w:rFonts w:ascii="Calibri" w:hAnsi="Calibri"/>
                <w:sz w:val="20"/>
              </w:rPr>
              <w:t>Format</w:t>
            </w:r>
          </w:p>
        </w:tc>
        <w:tc>
          <w:tcPr>
            <w:tcW w:type="dxa" w:w="4680"/>
          </w:tcPr>
          <w:p>
            <w:r/>
            <w:r>
              <w:rPr>
                <w:rFonts w:ascii="Calibri" w:hAnsi="Calibri"/>
                <w:sz w:val="20"/>
              </w:rPr>
              <w:t>Keynotes, panels, workshops, masterclasses</w:t>
            </w:r>
          </w:p>
        </w:tc>
      </w:tr>
      <w:tr>
        <w:tc>
          <w:tcPr>
            <w:tcW w:type="dxa" w:w="4680"/>
            <w:shd w:fill="F0F4F8"/>
          </w:tcPr>
          <w:p>
            <w:r/>
            <w:r>
              <w:rPr>
                <w:rFonts w:ascii="Calibri" w:hAnsi="Calibri"/>
                <w:sz w:val="20"/>
              </w:rPr>
              <w:t>Growth</w:t>
            </w:r>
          </w:p>
        </w:tc>
        <w:tc>
          <w:tcPr>
            <w:tcW w:type="dxa" w:w="4680"/>
            <w:shd w:fill="F0F4F8"/>
          </w:tcPr>
          <w:p>
            <w:r/>
            <w:r>
              <w:rPr>
                <w:rFonts w:ascii="Calibri" w:hAnsi="Calibri"/>
                <w:sz w:val="20"/>
              </w:rPr>
              <w:t>10+ sold-out events; 1,600+ attendee conferences</w:t>
            </w:r>
          </w:p>
        </w:tc>
      </w:tr>
      <w:tr>
        <w:tc>
          <w:tcPr>
            <w:tcW w:type="dxa" w:w="4680"/>
          </w:tcPr>
          <w:p>
            <w:r/>
            <w:r>
              <w:rPr>
                <w:rFonts w:ascii="Calibri" w:hAnsi="Calibri"/>
                <w:sz w:val="20"/>
              </w:rPr>
              <w:t>Speakers</w:t>
            </w:r>
          </w:p>
        </w:tc>
        <w:tc>
          <w:tcPr>
            <w:tcW w:type="dxa" w:w="4680"/>
          </w:tcPr>
          <w:p>
            <w:r/>
            <w:r>
              <w:rPr>
                <w:rFonts w:ascii="Calibri" w:hAnsi="Calibri"/>
                <w:sz w:val="20"/>
              </w:rPr>
              <w:t>80+ speakers from Google, Airbnb, Uber, Adobe, Atlassian</w:t>
            </w:r>
          </w:p>
        </w:tc>
      </w:tr>
      <w:tr>
        <w:tc>
          <w:tcPr>
            <w:tcW w:type="dxa" w:w="4680"/>
            <w:shd w:fill="F0F4F8"/>
          </w:tcPr>
          <w:p>
            <w:r/>
            <w:r>
              <w:rPr>
                <w:rFonts w:ascii="Calibri" w:hAnsi="Calibri"/>
                <w:sz w:val="20"/>
              </w:rPr>
              <w:t>Community</w:t>
            </w:r>
          </w:p>
        </w:tc>
        <w:tc>
          <w:tcPr>
            <w:tcW w:type="dxa" w:w="4680"/>
            <w:shd w:fill="F0F4F8"/>
          </w:tcPr>
          <w:p>
            <w:r/>
            <w:r>
              <w:rPr>
                <w:rFonts w:ascii="Calibri" w:hAnsi="Calibri"/>
                <w:sz w:val="20"/>
              </w:rPr>
              <w:t>Community-led, volunteer-driven</w:t>
            </w:r>
          </w:p>
        </w:tc>
      </w:tr>
      <w:tr>
        <w:tc>
          <w:tcPr>
            <w:tcW w:type="dxa" w:w="4680"/>
          </w:tcPr>
          <w:p>
            <w:r/>
            <w:r>
              <w:rPr>
                <w:rFonts w:ascii="Calibri" w:hAnsi="Calibri"/>
                <w:sz w:val="20"/>
              </w:rPr>
              <w:t>Expansion</w:t>
            </w:r>
          </w:p>
        </w:tc>
        <w:tc>
          <w:tcPr>
            <w:tcW w:type="dxa" w:w="4680"/>
          </w:tcPr>
          <w:p>
            <w:r/>
            <w:r>
              <w:rPr>
                <w:rFonts w:ascii="Calibri" w:hAnsi="Calibri"/>
                <w:sz w:val="20"/>
              </w:rPr>
              <w:t>Events in India + Singapore</w:t>
            </w:r>
          </w:p>
        </w:tc>
      </w:tr>
    </w:tbl>
    <w:p/>
    <w:p>
      <w:pPr/>
      <w:r>
        <w:t>Strengths: Strong design-in-tech positioning; community-led and volunteer-driven ethos; attracts top-tier global speakers; expanding into smaller format events and Singapore; strong Bangalore base.</w:t>
      </w:r>
    </w:p>
    <w:p>
      <w:pPr/>
      <w:r>
        <w:t>Weaknesses: Bangalore-centric; heavily conference-dependent revenue model; limited digital community presence; volunteer burnout risk; no formal membership or year-round programming.</w:t>
      </w:r>
    </w:p>
    <w:p>
      <w:pPr>
        <w:pStyle w:val="Heading2"/>
      </w:pPr>
      <w:r>
        <w:t>3.4 GSIUXD (Slack Community)</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Online Slack community</w:t>
            </w:r>
          </w:p>
        </w:tc>
      </w:tr>
      <w:tr>
        <w:tc>
          <w:tcPr>
            <w:tcW w:type="dxa" w:w="4680"/>
            <w:shd w:fill="F0F4F8"/>
          </w:tcPr>
          <w:p>
            <w:r/>
            <w:r>
              <w:rPr>
                <w:rFonts w:ascii="Calibri" w:hAnsi="Calibri"/>
                <w:sz w:val="20"/>
              </w:rPr>
              <w:t>Members</w:t>
            </w:r>
          </w:p>
        </w:tc>
        <w:tc>
          <w:tcPr>
            <w:tcW w:type="dxa" w:w="4680"/>
            <w:shd w:fill="F0F4F8"/>
          </w:tcPr>
          <w:p>
            <w:r/>
            <w:r>
              <w:rPr>
                <w:rFonts w:ascii="Calibri" w:hAnsi="Calibri"/>
                <w:sz w:val="20"/>
              </w:rPr>
              <w:t>17,000+ members</w:t>
            </w:r>
          </w:p>
        </w:tc>
      </w:tr>
      <w:tr>
        <w:tc>
          <w:tcPr>
            <w:tcW w:type="dxa" w:w="4680"/>
          </w:tcPr>
          <w:p>
            <w:r/>
            <w:r>
              <w:rPr>
                <w:rFonts w:ascii="Calibri" w:hAnsi="Calibri"/>
                <w:sz w:val="20"/>
              </w:rPr>
              <w:t>Format</w:t>
            </w:r>
          </w:p>
        </w:tc>
        <w:tc>
          <w:tcPr>
            <w:tcW w:type="dxa" w:w="4680"/>
          </w:tcPr>
          <w:p>
            <w:r/>
            <w:r>
              <w:rPr>
                <w:rFonts w:ascii="Calibri" w:hAnsi="Calibri"/>
                <w:sz w:val="20"/>
              </w:rPr>
              <w:t>Discussion channels, job postings, resources</w:t>
            </w:r>
          </w:p>
        </w:tc>
      </w:tr>
      <w:tr>
        <w:tc>
          <w:tcPr>
            <w:tcW w:type="dxa" w:w="4680"/>
            <w:shd w:fill="F0F4F8"/>
          </w:tcPr>
          <w:p>
            <w:r/>
            <w:r>
              <w:rPr>
                <w:rFonts w:ascii="Calibri" w:hAnsi="Calibri"/>
                <w:sz w:val="20"/>
              </w:rPr>
              <w:t>Audience</w:t>
            </w:r>
          </w:p>
        </w:tc>
        <w:tc>
          <w:tcPr>
            <w:tcW w:type="dxa" w:w="4680"/>
            <w:shd w:fill="F0F4F8"/>
          </w:tcPr>
          <w:p>
            <w:r/>
            <w:r>
              <w:rPr>
                <w:rFonts w:ascii="Calibri" w:hAnsi="Calibri"/>
                <w:sz w:val="20"/>
              </w:rPr>
              <w:t>UX designers, developers, PMs, students</w:t>
            </w:r>
          </w:p>
        </w:tc>
      </w:tr>
      <w:tr>
        <w:tc>
          <w:tcPr>
            <w:tcW w:type="dxa" w:w="4680"/>
          </w:tcPr>
          <w:p>
            <w:r/>
            <w:r>
              <w:rPr>
                <w:rFonts w:ascii="Calibri" w:hAnsi="Calibri"/>
                <w:sz w:val="20"/>
              </w:rPr>
              <w:t>Cost</w:t>
            </w:r>
          </w:p>
        </w:tc>
        <w:tc>
          <w:tcPr>
            <w:tcW w:type="dxa" w:w="4680"/>
          </w:tcPr>
          <w:p>
            <w:r/>
            <w:r>
              <w:rPr>
                <w:rFonts w:ascii="Calibri" w:hAnsi="Calibri"/>
                <w:sz w:val="20"/>
              </w:rPr>
              <w:t>Free</w:t>
            </w:r>
          </w:p>
        </w:tc>
      </w:tr>
      <w:tr>
        <w:tc>
          <w:tcPr>
            <w:tcW w:type="dxa" w:w="4680"/>
            <w:shd w:fill="F0F4F8"/>
          </w:tcPr>
          <w:p>
            <w:r/>
            <w:r>
              <w:rPr>
                <w:rFonts w:ascii="Calibri" w:hAnsi="Calibri"/>
                <w:sz w:val="20"/>
              </w:rPr>
              <w:t>Activity</w:t>
            </w:r>
          </w:p>
        </w:tc>
        <w:tc>
          <w:tcPr>
            <w:tcW w:type="dxa" w:w="4680"/>
            <w:shd w:fill="F0F4F8"/>
          </w:tcPr>
          <w:p>
            <w:r/>
            <w:r>
              <w:rPr>
                <w:rFonts w:ascii="Calibri" w:hAnsi="Calibri"/>
                <w:sz w:val="20"/>
              </w:rPr>
              <w:t>Daily discussions, portfolio reviews</w:t>
            </w:r>
          </w:p>
        </w:tc>
      </w:tr>
    </w:tbl>
    <w:p/>
    <w:p>
      <w:pPr/>
      <w:r>
        <w:t>Strengths: Largest Indian UX Slack community; highly engaged daily discussions; diverse membership including designers, developers, and PMs; strong peer support culture; free and accessible.</w:t>
      </w:r>
    </w:p>
    <w:p>
      <w:pPr/>
      <w:r>
        <w:t>Weaknesses: Purely online with no in-person component; Slack's message limit hinders knowledge archival; no structured learning programs; no revenue model; dependent on volunteer moderators; no clear brand identity beyond the Slack group.</w:t>
      </w:r>
    </w:p>
    <w:p>
      <w:pPr>
        <w:pStyle w:val="Heading2"/>
      </w:pPr>
      <w:r>
        <w:t>3.5 HCIPAI (HCI Professionals Association of India)</w:t>
      </w:r>
    </w:p>
    <w:p>
      <w:pPr/>
      <w:r>
        <w:t>A niche academic community focused on Human-Computer Interaction research. Strengths include strong academic credibility and peer-reviewed knowledge sharing. Weaknesses: very niche focus, limited practitioner appeal, low visibility among working designers, and minimal community programming.</w:t>
      </w:r>
    </w:p>
    <w:p>
      <w:pPr>
        <w:pStyle w:val="Heading2"/>
      </w:pPr>
      <w:r>
        <w:t>3.6 Indian Design Community (Slack)</w:t>
      </w:r>
    </w:p>
    <w:p>
      <w:pPr/>
      <w:r>
        <w:t>A broader design Slack group covering UI, UX, graphic, and product designers based in India. Serves as an additional networking space but lacks differentiation from GSIUXD and suffers from similar platform limitations around message archival and community structure.</w:t>
      </w:r>
    </w:p>
    <w:p>
      <w:r>
        <w:br w:type="page"/>
      </w:r>
    </w:p>
    <w:p>
      <w:pPr>
        <w:pStyle w:val="Heading1"/>
      </w:pPr>
      <w:r>
        <w:t>4. Global Design Communities: Benchmark Analysis</w:t>
      </w:r>
    </w:p>
    <w:p>
      <w:pPr>
        <w:pStyle w:val="Heading2"/>
      </w:pPr>
      <w:r>
        <w:t>4.1 AIGA (American Institute of Graphic Arts)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Professional membership organization</w:t>
            </w:r>
          </w:p>
        </w:tc>
      </w:tr>
      <w:tr>
        <w:tc>
          <w:tcPr>
            <w:tcW w:type="dxa" w:w="4680"/>
            <w:shd w:fill="F0F4F8"/>
          </w:tcPr>
          <w:p>
            <w:r/>
            <w:r>
              <w:rPr>
                <w:rFonts w:ascii="Calibri" w:hAnsi="Calibri"/>
                <w:sz w:val="20"/>
              </w:rPr>
              <w:t>Members</w:t>
            </w:r>
          </w:p>
        </w:tc>
        <w:tc>
          <w:tcPr>
            <w:tcW w:type="dxa" w:w="4680"/>
            <w:shd w:fill="F0F4F8"/>
          </w:tcPr>
          <w:p>
            <w:r/>
            <w:r>
              <w:rPr>
                <w:rFonts w:ascii="Calibri" w:hAnsi="Calibri"/>
                <w:sz w:val="20"/>
              </w:rPr>
              <w:t>25,000+ members</w:t>
            </w:r>
          </w:p>
        </w:tc>
      </w:tr>
      <w:tr>
        <w:tc>
          <w:tcPr>
            <w:tcW w:type="dxa" w:w="4680"/>
          </w:tcPr>
          <w:p>
            <w:r/>
            <w:r>
              <w:rPr>
                <w:rFonts w:ascii="Calibri" w:hAnsi="Calibri"/>
                <w:sz w:val="20"/>
              </w:rPr>
              <w:t>Chapters</w:t>
            </w:r>
          </w:p>
        </w:tc>
        <w:tc>
          <w:tcPr>
            <w:tcW w:type="dxa" w:w="4680"/>
          </w:tcPr>
          <w:p>
            <w:r/>
            <w:r>
              <w:rPr>
                <w:rFonts w:ascii="Calibri" w:hAnsi="Calibri"/>
                <w:sz w:val="20"/>
              </w:rPr>
              <w:t>72 chapters across the US</w:t>
            </w:r>
          </w:p>
        </w:tc>
      </w:tr>
      <w:tr>
        <w:tc>
          <w:tcPr>
            <w:tcW w:type="dxa" w:w="4680"/>
            <w:shd w:fill="F0F4F8"/>
          </w:tcPr>
          <w:p>
            <w:r/>
            <w:r>
              <w:rPr>
                <w:rFonts w:ascii="Calibri" w:hAnsi="Calibri"/>
                <w:sz w:val="20"/>
              </w:rPr>
              <w:t>Founded</w:t>
            </w:r>
          </w:p>
        </w:tc>
        <w:tc>
          <w:tcPr>
            <w:tcW w:type="dxa" w:w="4680"/>
            <w:shd w:fill="F0F4F8"/>
          </w:tcPr>
          <w:p>
            <w:r/>
            <w:r>
              <w:rPr>
                <w:rFonts w:ascii="Calibri" w:hAnsi="Calibri"/>
                <w:sz w:val="20"/>
              </w:rPr>
              <w:t>1914 (110+ years)</w:t>
            </w:r>
          </w:p>
        </w:tc>
      </w:tr>
      <w:tr>
        <w:tc>
          <w:tcPr>
            <w:tcW w:type="dxa" w:w="4680"/>
          </w:tcPr>
          <w:p>
            <w:r/>
            <w:r>
              <w:rPr>
                <w:rFonts w:ascii="Calibri" w:hAnsi="Calibri"/>
                <w:sz w:val="20"/>
              </w:rPr>
              <w:t>Revenue Model</w:t>
            </w:r>
          </w:p>
        </w:tc>
        <w:tc>
          <w:tcPr>
            <w:tcW w:type="dxa" w:w="4680"/>
          </w:tcPr>
          <w:p>
            <w:r/>
            <w:r>
              <w:rPr>
                <w:rFonts w:ascii="Calibri" w:hAnsi="Calibri"/>
                <w:sz w:val="20"/>
              </w:rPr>
              <w:t>Membership dues, conferences, resources, partnerships</w:t>
            </w:r>
          </w:p>
        </w:tc>
      </w:tr>
      <w:tr>
        <w:tc>
          <w:tcPr>
            <w:tcW w:type="dxa" w:w="4680"/>
            <w:shd w:fill="F0F4F8"/>
          </w:tcPr>
          <w:p>
            <w:r/>
            <w:r>
              <w:rPr>
                <w:rFonts w:ascii="Calibri" w:hAnsi="Calibri"/>
                <w:sz w:val="20"/>
              </w:rPr>
              <w:t>Key Programs</w:t>
            </w:r>
          </w:p>
        </w:tc>
        <w:tc>
          <w:tcPr>
            <w:tcW w:type="dxa" w:w="4680"/>
            <w:shd w:fill="F0F4F8"/>
          </w:tcPr>
          <w:p>
            <w:r/>
            <w:r>
              <w:rPr>
                <w:rFonts w:ascii="Calibri" w:hAnsi="Calibri"/>
                <w:sz w:val="20"/>
              </w:rPr>
              <w:t>Design + Business Salon, national conferences, ethical standards</w:t>
            </w:r>
          </w:p>
        </w:tc>
      </w:tr>
      <w:tr>
        <w:tc>
          <w:tcPr>
            <w:tcW w:type="dxa" w:w="4680"/>
          </w:tcPr>
          <w:p>
            <w:r/>
            <w:r>
              <w:rPr>
                <w:rFonts w:ascii="Calibri" w:hAnsi="Calibri"/>
                <w:sz w:val="20"/>
              </w:rPr>
              <w:t>Global Reach</w:t>
            </w:r>
          </w:p>
        </w:tc>
        <w:tc>
          <w:tcPr>
            <w:tcW w:type="dxa" w:w="4680"/>
          </w:tcPr>
          <w:p>
            <w:r/>
            <w:r>
              <w:rPr>
                <w:rFonts w:ascii="Calibri" w:hAnsi="Calibri"/>
                <w:sz w:val="20"/>
              </w:rPr>
              <w:t>Primarily US, influence worldwide</w:t>
            </w:r>
          </w:p>
        </w:tc>
      </w:tr>
    </w:tbl>
    <w:p/>
    <w:p>
      <w:pPr/>
      <w:r>
        <w:t>Key Learnings: AIGA's chapter model is the gold standard for scaling a design community geographically. Their tiered membership (student, individual, leadership) drives revenue while their chapters operate semi-autonomously. The "portion of dues funds local chapter" model creates alignment between national and local programming.</w:t>
      </w:r>
    </w:p>
    <w:p>
      <w:pPr>
        <w:pStyle w:val="Heading2"/>
      </w:pPr>
      <w:r>
        <w:t>4.2 IxDA (Interaction Design Association)</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Global professional association</w:t>
            </w:r>
          </w:p>
        </w:tc>
      </w:tr>
      <w:tr>
        <w:tc>
          <w:tcPr>
            <w:tcW w:type="dxa" w:w="4680"/>
            <w:shd w:fill="F0F4F8"/>
          </w:tcPr>
          <w:p>
            <w:r/>
            <w:r>
              <w:rPr>
                <w:rFonts w:ascii="Calibri" w:hAnsi="Calibri"/>
                <w:sz w:val="20"/>
              </w:rPr>
              <w:t>Members</w:t>
            </w:r>
          </w:p>
        </w:tc>
        <w:tc>
          <w:tcPr>
            <w:tcW w:type="dxa" w:w="4680"/>
            <w:shd w:fill="F0F4F8"/>
          </w:tcPr>
          <w:p>
            <w:r/>
            <w:r>
              <w:rPr>
                <w:rFonts w:ascii="Calibri" w:hAnsi="Calibri"/>
                <w:sz w:val="20"/>
              </w:rPr>
              <w:t>150,000+ individuals</w:t>
            </w:r>
          </w:p>
        </w:tc>
      </w:tr>
      <w:tr>
        <w:tc>
          <w:tcPr>
            <w:tcW w:type="dxa" w:w="4680"/>
          </w:tcPr>
          <w:p>
            <w:r/>
            <w:r>
              <w:rPr>
                <w:rFonts w:ascii="Calibri" w:hAnsi="Calibri"/>
                <w:sz w:val="20"/>
              </w:rPr>
              <w:t>Presence</w:t>
            </w:r>
          </w:p>
        </w:tc>
        <w:tc>
          <w:tcPr>
            <w:tcW w:type="dxa" w:w="4680"/>
          </w:tcPr>
          <w:p>
            <w:r/>
            <w:r>
              <w:rPr>
                <w:rFonts w:ascii="Calibri" w:hAnsi="Calibri"/>
                <w:sz w:val="20"/>
              </w:rPr>
              <w:t>80+ countries</w:t>
            </w:r>
          </w:p>
        </w:tc>
      </w:tr>
      <w:tr>
        <w:tc>
          <w:tcPr>
            <w:tcW w:type="dxa" w:w="4680"/>
            <w:shd w:fill="F0F4F8"/>
          </w:tcPr>
          <w:p>
            <w:r/>
            <w:r>
              <w:rPr>
                <w:rFonts w:ascii="Calibri" w:hAnsi="Calibri"/>
                <w:sz w:val="20"/>
              </w:rPr>
              <w:t>Membership Fee</w:t>
            </w:r>
          </w:p>
        </w:tc>
        <w:tc>
          <w:tcPr>
            <w:tcW w:type="dxa" w:w="4680"/>
            <w:shd w:fill="F0F4F8"/>
          </w:tcPr>
          <w:p>
            <w:r/>
            <w:r>
              <w:rPr>
                <w:rFonts w:ascii="Calibri" w:hAnsi="Calibri"/>
                <w:sz w:val="20"/>
              </w:rPr>
              <w:t>Free (member-supported, not membership-supported)</w:t>
            </w:r>
          </w:p>
        </w:tc>
      </w:tr>
      <w:tr>
        <w:tc>
          <w:tcPr>
            <w:tcW w:type="dxa" w:w="4680"/>
          </w:tcPr>
          <w:p>
            <w:r/>
            <w:r>
              <w:rPr>
                <w:rFonts w:ascii="Calibri" w:hAnsi="Calibri"/>
                <w:sz w:val="20"/>
              </w:rPr>
              <w:t>Revenue</w:t>
            </w:r>
          </w:p>
        </w:tc>
        <w:tc>
          <w:tcPr>
            <w:tcW w:type="dxa" w:w="4680"/>
          </w:tcPr>
          <w:p>
            <w:r/>
            <w:r>
              <w:rPr>
                <w:rFonts w:ascii="Calibri" w:hAnsi="Calibri"/>
                <w:sz w:val="20"/>
              </w:rPr>
              <w:t>Partnerships, conference tickets, sponsorships</w:t>
            </w:r>
          </w:p>
        </w:tc>
      </w:tr>
      <w:tr>
        <w:tc>
          <w:tcPr>
            <w:tcW w:type="dxa" w:w="4680"/>
            <w:shd w:fill="F0F4F8"/>
          </w:tcPr>
          <w:p>
            <w:r/>
            <w:r>
              <w:rPr>
                <w:rFonts w:ascii="Calibri" w:hAnsi="Calibri"/>
                <w:sz w:val="20"/>
              </w:rPr>
              <w:t>Key Event</w:t>
            </w:r>
          </w:p>
        </w:tc>
        <w:tc>
          <w:tcPr>
            <w:tcW w:type="dxa" w:w="4680"/>
            <w:shd w:fill="F0F4F8"/>
          </w:tcPr>
          <w:p>
            <w:r/>
            <w:r>
              <w:rPr>
                <w:rFonts w:ascii="Calibri" w:hAnsi="Calibri"/>
                <w:sz w:val="20"/>
              </w:rPr>
              <w:t>Interaction conference (annual)</w:t>
            </w:r>
          </w:p>
        </w:tc>
      </w:tr>
      <w:tr>
        <w:tc>
          <w:tcPr>
            <w:tcW w:type="dxa" w:w="4680"/>
          </w:tcPr>
          <w:p>
            <w:r/>
            <w:r>
              <w:rPr>
                <w:rFonts w:ascii="Calibri" w:hAnsi="Calibri"/>
                <w:sz w:val="20"/>
              </w:rPr>
              <w:t>Philosophy</w:t>
            </w:r>
          </w:p>
        </w:tc>
        <w:tc>
          <w:tcPr>
            <w:tcW w:type="dxa" w:w="4680"/>
          </w:tcPr>
          <w:p>
            <w:r/>
            <w:r>
              <w:rPr>
                <w:rFonts w:ascii="Calibri" w:hAnsi="Calibri"/>
                <w:sz w:val="20"/>
              </w:rPr>
              <w:t>"You are a member if you say you are"</w:t>
            </w:r>
          </w:p>
        </w:tc>
      </w:tr>
    </w:tbl>
    <w:p/>
    <w:p>
      <w:pPr/>
      <w:r>
        <w:t>Key Learnings: IxDA's radical approach of free membership has built the largest interaction design community globally. Their model proves that removing financial barriers to entry can create massive reach, but it also means heavy reliance on sponsorships and event revenue. The self-organizing local group model is lightweight but can lead to inconsistent quality.</w:t>
      </w:r>
    </w:p>
    <w:p>
      <w:pPr>
        <w:pStyle w:val="Heading2"/>
      </w:pPr>
      <w:r>
        <w:t>4.3 ADPList</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
              <w:rPr>
                <w:rFonts w:ascii="Calibri" w:hAnsi="Calibri"/>
                <w:b/>
                <w:color w:val="FFFFFF"/>
                <w:sz w:val="20"/>
              </w:rPr>
              <w:t>Attribute</w:t>
            </w:r>
          </w:p>
        </w:tc>
        <w:tc>
          <w:tcPr>
            <w:tcW w:type="dxa" w:w="4680"/>
            <w:shd w:fill="1A1A2E"/>
          </w:tcPr>
          <w:p>
            <w:pPr>
              <w:jc w:val="center"/>
            </w:pPr>
            <w:r/>
            <w:r>
              <w:rPr>
                <w:rFonts w:ascii="Calibri" w:hAnsi="Calibri"/>
                <w:b/>
                <w:color w:val="FFFFFF"/>
                <w:sz w:val="20"/>
              </w:rPr>
              <w:t>Details</w:t>
            </w:r>
          </w:p>
        </w:tc>
      </w:tr>
      <w:tr>
        <w:tc>
          <w:tcPr>
            <w:tcW w:type="dxa" w:w="4680"/>
          </w:tcPr>
          <w:p>
            <w:r/>
            <w:r>
              <w:rPr>
                <w:rFonts w:ascii="Calibri" w:hAnsi="Calibri"/>
                <w:sz w:val="20"/>
              </w:rPr>
              <w:t>Type</w:t>
            </w:r>
          </w:p>
        </w:tc>
        <w:tc>
          <w:tcPr>
            <w:tcW w:type="dxa" w:w="4680"/>
          </w:tcPr>
          <w:p>
            <w:r/>
            <w:r>
              <w:rPr>
                <w:rFonts w:ascii="Calibri" w:hAnsi="Calibri"/>
                <w:sz w:val="20"/>
              </w:rPr>
              <w:t>Mentorship platform + community</w:t>
            </w:r>
          </w:p>
        </w:tc>
      </w:tr>
      <w:tr>
        <w:tc>
          <w:tcPr>
            <w:tcW w:type="dxa" w:w="4680"/>
            <w:shd w:fill="F0F4F8"/>
          </w:tcPr>
          <w:p>
            <w:r/>
            <w:r>
              <w:rPr>
                <w:rFonts w:ascii="Calibri" w:hAnsi="Calibri"/>
                <w:sz w:val="20"/>
              </w:rPr>
              <w:t>Focus</w:t>
            </w:r>
          </w:p>
        </w:tc>
        <w:tc>
          <w:tcPr>
            <w:tcW w:type="dxa" w:w="4680"/>
            <w:shd w:fill="F0F4F8"/>
          </w:tcPr>
          <w:p>
            <w:r/>
            <w:r>
              <w:rPr>
                <w:rFonts w:ascii="Calibri" w:hAnsi="Calibri"/>
                <w:sz w:val="20"/>
              </w:rPr>
              <w:t>Career development, mentorship matching</w:t>
            </w:r>
          </w:p>
        </w:tc>
      </w:tr>
      <w:tr>
        <w:tc>
          <w:tcPr>
            <w:tcW w:type="dxa" w:w="4680"/>
          </w:tcPr>
          <w:p>
            <w:r/>
            <w:r>
              <w:rPr>
                <w:rFonts w:ascii="Calibri" w:hAnsi="Calibri"/>
                <w:sz w:val="20"/>
              </w:rPr>
              <w:t>Model</w:t>
            </w:r>
          </w:p>
        </w:tc>
        <w:tc>
          <w:tcPr>
            <w:tcW w:type="dxa" w:w="4680"/>
          </w:tcPr>
          <w:p>
            <w:r/>
            <w:r>
              <w:rPr>
                <w:rFonts w:ascii="Calibri" w:hAnsi="Calibri"/>
                <w:sz w:val="20"/>
              </w:rPr>
              <w:t>Free mentorship sessions, premium features</w:t>
            </w:r>
          </w:p>
        </w:tc>
      </w:tr>
      <w:tr>
        <w:tc>
          <w:tcPr>
            <w:tcW w:type="dxa" w:w="4680"/>
            <w:shd w:fill="F0F4F8"/>
          </w:tcPr>
          <w:p>
            <w:r/>
            <w:r>
              <w:rPr>
                <w:rFonts w:ascii="Calibri" w:hAnsi="Calibri"/>
                <w:sz w:val="20"/>
              </w:rPr>
              <w:t>Global Reach</w:t>
            </w:r>
          </w:p>
        </w:tc>
        <w:tc>
          <w:tcPr>
            <w:tcW w:type="dxa" w:w="4680"/>
            <w:shd w:fill="F0F4F8"/>
          </w:tcPr>
          <w:p>
            <w:r/>
            <w:r>
              <w:rPr>
                <w:rFonts w:ascii="Calibri" w:hAnsi="Calibri"/>
                <w:sz w:val="20"/>
              </w:rPr>
              <w:t>Worldwide, strong in US, Europe, Asia</w:t>
            </w:r>
          </w:p>
        </w:tc>
      </w:tr>
      <w:tr>
        <w:tc>
          <w:tcPr>
            <w:tcW w:type="dxa" w:w="4680"/>
          </w:tcPr>
          <w:p>
            <w:r/>
            <w:r>
              <w:rPr>
                <w:rFonts w:ascii="Calibri" w:hAnsi="Calibri"/>
                <w:sz w:val="20"/>
              </w:rPr>
              <w:t>Key Value</w:t>
            </w:r>
          </w:p>
        </w:tc>
        <w:tc>
          <w:tcPr>
            <w:tcW w:type="dxa" w:w="4680"/>
          </w:tcPr>
          <w:p>
            <w:r/>
            <w:r>
              <w:rPr>
                <w:rFonts w:ascii="Calibri" w:hAnsi="Calibri"/>
                <w:sz w:val="20"/>
              </w:rPr>
              <w:t>1-on-1 mentorship from industry professionals</w:t>
            </w:r>
          </w:p>
        </w:tc>
      </w:tr>
      <w:tr>
        <w:tc>
          <w:tcPr>
            <w:tcW w:type="dxa" w:w="4680"/>
            <w:shd w:fill="F0F4F8"/>
          </w:tcPr>
          <w:p>
            <w:r/>
            <w:r>
              <w:rPr>
                <w:rFonts w:ascii="Calibri" w:hAnsi="Calibri"/>
                <w:sz w:val="20"/>
              </w:rPr>
              <w:t>Revenue</w:t>
            </w:r>
          </w:p>
        </w:tc>
        <w:tc>
          <w:tcPr>
            <w:tcW w:type="dxa" w:w="4680"/>
            <w:shd w:fill="F0F4F8"/>
          </w:tcPr>
          <w:p>
            <w:r/>
            <w:r>
              <w:rPr>
                <w:rFonts w:ascii="Calibri" w:hAnsi="Calibri"/>
                <w:sz w:val="20"/>
              </w:rPr>
              <w:t>Enterprise partnerships, premium tier</w:t>
            </w:r>
          </w:p>
        </w:tc>
      </w:tr>
    </w:tbl>
    <w:p/>
    <w:p>
      <w:pPr/>
      <w:r>
        <w:t>Key Learnings: ADPList's mentorship-first approach has carved a unique niche. Their model shows that career development and mentorship are powerful community anchors, especially for early and mid-career designers. The platform succeeds because it delivers immediate, tangible value to members.</w:t>
      </w:r>
    </w:p>
    <w:p>
      <w:pPr>
        <w:pStyle w:val="Heading2"/>
      </w:pPr>
      <w:r>
        <w:t>4.4 Dribbble</w:t>
      </w:r>
    </w:p>
    <w:p>
      <w:pPr/>
      <w:r>
        <w:t>The world's largest self-promotion and social networking platform for designers. Primarily a portfolio showcase and hiring marketplace rather than a community. Revenue comes from Pro subscriptions, job board, and hiring tools. Key learning: visual inspiration and portfolio visibility are core designer needs that any community should integrate.</w:t>
      </w:r>
    </w:p>
    <w:p>
      <w:pPr>
        <w:pStyle w:val="Heading2"/>
      </w:pPr>
      <w:r>
        <w:t>4.5 Behance (Adobe)</w:t>
      </w:r>
    </w:p>
    <w:p>
      <w:pPr/>
      <w:r>
        <w:t>Adobe's creative portfolio platform with global reach. Deep integration with the Adobe ecosystem drives engagement. Functions more as a showcase platform than an active community. Key learning: tool ecosystem integration (like Figma's approach) builds stickiness.</w:t>
      </w:r>
    </w:p>
    <w:p>
      <w:pPr>
        <w:pStyle w:val="Heading2"/>
      </w:pPr>
      <w:r>
        <w:t>4.6 UX Collective / DesignX / Other Slack/Discord Groups</w:t>
      </w:r>
    </w:p>
    <w:p>
      <w:pPr/>
      <w:r>
        <w:t>Various Slack and Discord communities host thousands of creative professionals. They serve as informal networking and job-sharing spaces. Key learning: these groups prove the demand for daily, low-friction community interaction, but they struggle with engagement quality, content archival, and monetization.</w:t>
      </w:r>
    </w:p>
    <w:p>
      <w:r>
        <w:br w:type="page"/>
      </w:r>
    </w:p>
    <w:p>
      <w:pPr>
        <w:pStyle w:val="Heading1"/>
      </w:pPr>
      <w:r>
        <w:t>5. Competitive Comparison Matrix</w:t>
      </w:r>
    </w:p>
    <w:p>
      <w:pPr/>
      <w:r>
        <w:t>The following matrix compares all major communities across key dimensions on a scale of 1 (Weak) to 5 (Excellent):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1A2E"/>
          </w:tcPr>
          <w:p>
            <w:pPr>
              <w:jc w:val="center"/>
            </w:pPr>
            <w:r/>
            <w:r>
              <w:rPr>
                <w:rFonts w:ascii="Calibri" w:hAnsi="Calibri"/>
                <w:b/>
                <w:color w:val="FFFFFF"/>
                <w:sz w:val="20"/>
              </w:rPr>
              <w:t>Community</w:t>
            </w:r>
          </w:p>
        </w:tc>
        <w:tc>
          <w:tcPr>
            <w:tcW w:type="dxa" w:w="1170"/>
            <w:shd w:fill="1A1A2E"/>
          </w:tcPr>
          <w:p>
            <w:pPr>
              <w:jc w:val="center"/>
            </w:pPr>
            <w:r/>
            <w:r>
              <w:rPr>
                <w:rFonts w:ascii="Calibri" w:hAnsi="Calibri"/>
                <w:b/>
                <w:color w:val="FFFFFF"/>
                <w:sz w:val="20"/>
              </w:rPr>
              <w:t>Year-Round</w:t>
              <w:br/>
              <w:t>Engagement</w:t>
            </w:r>
          </w:p>
        </w:tc>
        <w:tc>
          <w:tcPr>
            <w:tcW w:type="dxa" w:w="1170"/>
            <w:shd w:fill="1A1A2E"/>
          </w:tcPr>
          <w:p>
            <w:pPr>
              <w:jc w:val="center"/>
            </w:pPr>
            <w:r/>
            <w:r>
              <w:rPr>
                <w:rFonts w:ascii="Calibri" w:hAnsi="Calibri"/>
                <w:b/>
                <w:color w:val="FFFFFF"/>
                <w:sz w:val="20"/>
              </w:rPr>
              <w:t>In-Person</w:t>
              <w:br/>
              <w:t>Events</w:t>
            </w:r>
          </w:p>
        </w:tc>
        <w:tc>
          <w:tcPr>
            <w:tcW w:type="dxa" w:w="1170"/>
            <w:shd w:fill="1A1A2E"/>
          </w:tcPr>
          <w:p>
            <w:pPr>
              <w:jc w:val="center"/>
            </w:pPr>
            <w:r/>
            <w:r>
              <w:rPr>
                <w:rFonts w:ascii="Calibri" w:hAnsi="Calibri"/>
                <w:b/>
                <w:color w:val="FFFFFF"/>
                <w:sz w:val="20"/>
              </w:rPr>
              <w:t>Online</w:t>
              <w:br/>
              <w:t>Platform</w:t>
            </w:r>
          </w:p>
        </w:tc>
        <w:tc>
          <w:tcPr>
            <w:tcW w:type="dxa" w:w="1170"/>
            <w:shd w:fill="1A1A2E"/>
          </w:tcPr>
          <w:p>
            <w:pPr>
              <w:jc w:val="center"/>
            </w:pPr>
            <w:r/>
            <w:r>
              <w:rPr>
                <w:rFonts w:ascii="Calibri" w:hAnsi="Calibri"/>
                <w:b/>
                <w:color w:val="FFFFFF"/>
                <w:sz w:val="20"/>
              </w:rPr>
              <w:t>Career</w:t>
              <w:br/>
              <w:t>Value</w:t>
            </w:r>
          </w:p>
        </w:tc>
        <w:tc>
          <w:tcPr>
            <w:tcW w:type="dxa" w:w="1170"/>
            <w:shd w:fill="1A1A2E"/>
          </w:tcPr>
          <w:p>
            <w:pPr>
              <w:jc w:val="center"/>
            </w:pPr>
            <w:r/>
            <w:r>
              <w:rPr>
                <w:rFonts w:ascii="Calibri" w:hAnsi="Calibri"/>
                <w:b/>
                <w:color w:val="FFFFFF"/>
                <w:sz w:val="20"/>
              </w:rPr>
              <w:t>India</w:t>
              <w:br/>
              <w:t>Reach</w:t>
            </w:r>
          </w:p>
        </w:tc>
        <w:tc>
          <w:tcPr>
            <w:tcW w:type="dxa" w:w="1170"/>
            <w:shd w:fill="1A1A2E"/>
          </w:tcPr>
          <w:p>
            <w:pPr>
              <w:jc w:val="center"/>
            </w:pPr>
            <w:r/>
            <w:r>
              <w:rPr>
                <w:rFonts w:ascii="Calibri" w:hAnsi="Calibri"/>
                <w:b/>
                <w:color w:val="FFFFFF"/>
                <w:sz w:val="20"/>
              </w:rPr>
              <w:t>Global</w:t>
              <w:br/>
              <w:t>Reach</w:t>
            </w:r>
          </w:p>
        </w:tc>
        <w:tc>
          <w:tcPr>
            <w:tcW w:type="dxa" w:w="1170"/>
            <w:shd w:fill="1A1A2E"/>
          </w:tcPr>
          <w:p>
            <w:pPr>
              <w:jc w:val="center"/>
            </w:pPr>
            <w:r/>
            <w:r>
              <w:rPr>
                <w:rFonts w:ascii="Calibri" w:hAnsi="Calibri"/>
                <w:b/>
                <w:color w:val="FFFFFF"/>
                <w:sz w:val="20"/>
              </w:rPr>
              <w:t>Revenue</w:t>
              <w:br/>
              <w:t>Model</w:t>
            </w:r>
          </w:p>
        </w:tc>
      </w:tr>
      <w:tr>
        <w:tc>
          <w:tcPr>
            <w:tcW w:type="dxa" w:w="1170"/>
          </w:tcPr>
          <w:p>
            <w:r/>
            <w:r>
              <w:rPr>
                <w:rFonts w:ascii="Calibri" w:hAnsi="Calibri"/>
                <w:sz w:val="20"/>
              </w:rPr>
              <w:t>FoF India</w:t>
            </w:r>
          </w:p>
        </w:tc>
        <w:tc>
          <w:tcPr>
            <w:tcW w:type="dxa" w:w="1170"/>
          </w:tcPr>
          <w:p>
            <w:r/>
            <w:r>
              <w:rPr>
                <w:rFonts w:ascii="Calibri" w:hAnsi="Calibri"/>
                <w:sz w:val="20"/>
              </w:rPr>
              <w:t>3</w:t>
            </w:r>
          </w:p>
        </w:tc>
        <w:tc>
          <w:tcPr>
            <w:tcW w:type="dxa" w:w="1170"/>
          </w:tcPr>
          <w:p>
            <w:r/>
            <w:r>
              <w:rPr>
                <w:rFonts w:ascii="Calibri" w:hAnsi="Calibri"/>
                <w:sz w:val="20"/>
              </w:rPr>
              <w:t>4</w:t>
            </w:r>
          </w:p>
        </w:tc>
        <w:tc>
          <w:tcPr>
            <w:tcW w:type="dxa" w:w="1170"/>
          </w:tcPr>
          <w:p>
            <w:r/>
            <w:r>
              <w:rPr>
                <w:rFonts w:ascii="Calibri" w:hAnsi="Calibri"/>
                <w:sz w:val="20"/>
              </w:rPr>
              <w:t>2</w:t>
            </w:r>
          </w:p>
        </w:tc>
        <w:tc>
          <w:tcPr>
            <w:tcW w:type="dxa" w:w="1170"/>
          </w:tcPr>
          <w:p>
            <w:r/>
            <w:r>
              <w:rPr>
                <w:rFonts w:ascii="Calibri" w:hAnsi="Calibri"/>
                <w:sz w:val="20"/>
              </w:rPr>
              <w:t>2</w:t>
            </w:r>
          </w:p>
        </w:tc>
        <w:tc>
          <w:tcPr>
            <w:tcW w:type="dxa" w:w="1170"/>
          </w:tcPr>
          <w:p>
            <w:r/>
            <w:r>
              <w:rPr>
                <w:rFonts w:ascii="Calibri" w:hAnsi="Calibri"/>
                <w:sz w:val="20"/>
              </w:rPr>
              <w:t>4</w:t>
            </w:r>
          </w:p>
        </w:tc>
        <w:tc>
          <w:tcPr>
            <w:tcW w:type="dxa" w:w="1170"/>
          </w:tcPr>
          <w:p>
            <w:r/>
            <w:r>
              <w:rPr>
                <w:rFonts w:ascii="Calibri" w:hAnsi="Calibri"/>
                <w:sz w:val="20"/>
              </w:rPr>
              <w:t>3</w:t>
            </w:r>
          </w:p>
        </w:tc>
        <w:tc>
          <w:tcPr>
            <w:tcW w:type="dxa" w:w="1170"/>
          </w:tcPr>
          <w:p>
            <w:r/>
            <w:r>
              <w:rPr>
                <w:rFonts w:ascii="Calibri" w:hAnsi="Calibri"/>
                <w:sz w:val="20"/>
              </w:rPr>
              <w:t>1</w:t>
            </w:r>
          </w:p>
        </w:tc>
      </w:tr>
      <w:tr>
        <w:tc>
          <w:tcPr>
            <w:tcW w:type="dxa" w:w="1170"/>
            <w:shd w:fill="F0F4F8"/>
          </w:tcPr>
          <w:p>
            <w:r/>
            <w:r>
              <w:rPr>
                <w:rFonts w:ascii="Calibri" w:hAnsi="Calibri"/>
                <w:sz w:val="20"/>
              </w:rPr>
              <w:t>UXINDIA</w:t>
            </w:r>
          </w:p>
        </w:tc>
        <w:tc>
          <w:tcPr>
            <w:tcW w:type="dxa" w:w="1170"/>
            <w:shd w:fill="F0F4F8"/>
          </w:tcPr>
          <w:p>
            <w:r/>
            <w:r>
              <w:rPr>
                <w:rFonts w:ascii="Calibri" w:hAnsi="Calibri"/>
                <w:sz w:val="20"/>
              </w:rPr>
              <w:t>1</w:t>
            </w:r>
          </w:p>
        </w:tc>
        <w:tc>
          <w:tcPr>
            <w:tcW w:type="dxa" w:w="1170"/>
            <w:shd w:fill="F0F4F8"/>
          </w:tcPr>
          <w:p>
            <w:r/>
            <w:r>
              <w:rPr>
                <w:rFonts w:ascii="Calibri" w:hAnsi="Calibri"/>
                <w:sz w:val="20"/>
              </w:rPr>
              <w:t>5</w:t>
            </w:r>
          </w:p>
        </w:tc>
        <w:tc>
          <w:tcPr>
            <w:tcW w:type="dxa" w:w="1170"/>
            <w:shd w:fill="F0F4F8"/>
          </w:tcPr>
          <w:p>
            <w:r/>
            <w:r>
              <w:rPr>
                <w:rFonts w:ascii="Calibri" w:hAnsi="Calibri"/>
                <w:sz w:val="20"/>
              </w:rPr>
              <w:t>1</w:t>
            </w:r>
          </w:p>
        </w:tc>
        <w:tc>
          <w:tcPr>
            <w:tcW w:type="dxa" w:w="1170"/>
            <w:shd w:fill="F0F4F8"/>
          </w:tcPr>
          <w:p>
            <w:r/>
            <w:r>
              <w:rPr>
                <w:rFonts w:ascii="Calibri" w:hAnsi="Calibri"/>
                <w:sz w:val="20"/>
              </w:rPr>
              <w:t>3</w:t>
            </w:r>
          </w:p>
        </w:tc>
        <w:tc>
          <w:tcPr>
            <w:tcW w:type="dxa" w:w="1170"/>
            <w:shd w:fill="F0F4F8"/>
          </w:tcPr>
          <w:p>
            <w:r/>
            <w:r>
              <w:rPr>
                <w:rFonts w:ascii="Calibri" w:hAnsi="Calibri"/>
                <w:sz w:val="20"/>
              </w:rPr>
              <w:t>3</w:t>
            </w:r>
          </w:p>
        </w:tc>
        <w:tc>
          <w:tcPr>
            <w:tcW w:type="dxa" w:w="1170"/>
            <w:shd w:fill="F0F4F8"/>
          </w:tcPr>
          <w:p>
            <w:r/>
            <w:r>
              <w:rPr>
                <w:rFonts w:ascii="Calibri" w:hAnsi="Calibri"/>
                <w:sz w:val="20"/>
              </w:rPr>
              <w:t>2</w:t>
            </w:r>
          </w:p>
        </w:tc>
        <w:tc>
          <w:tcPr>
            <w:tcW w:type="dxa" w:w="1170"/>
            <w:shd w:fill="F0F4F8"/>
          </w:tcPr>
          <w:p>
            <w:r/>
            <w:r>
              <w:rPr>
                <w:rFonts w:ascii="Calibri" w:hAnsi="Calibri"/>
                <w:sz w:val="20"/>
              </w:rPr>
              <w:t>3</w:t>
            </w:r>
          </w:p>
        </w:tc>
      </w:tr>
      <w:tr>
        <w:tc>
          <w:tcPr>
            <w:tcW w:type="dxa" w:w="1170"/>
          </w:tcPr>
          <w:p>
            <w:r/>
            <w:r>
              <w:rPr>
                <w:rFonts w:ascii="Calibri" w:hAnsi="Calibri"/>
                <w:sz w:val="20"/>
              </w:rPr>
              <w:t>DesignUp</w:t>
            </w:r>
          </w:p>
        </w:tc>
        <w:tc>
          <w:tcPr>
            <w:tcW w:type="dxa" w:w="1170"/>
          </w:tcPr>
          <w:p>
            <w:r/>
            <w:r>
              <w:rPr>
                <w:rFonts w:ascii="Calibri" w:hAnsi="Calibri"/>
                <w:sz w:val="20"/>
              </w:rPr>
              <w:t>2</w:t>
            </w:r>
          </w:p>
        </w:tc>
        <w:tc>
          <w:tcPr>
            <w:tcW w:type="dxa" w:w="1170"/>
          </w:tcPr>
          <w:p>
            <w:r/>
            <w:r>
              <w:rPr>
                <w:rFonts w:ascii="Calibri" w:hAnsi="Calibri"/>
                <w:sz w:val="20"/>
              </w:rPr>
              <w:t>5</w:t>
            </w:r>
          </w:p>
        </w:tc>
        <w:tc>
          <w:tcPr>
            <w:tcW w:type="dxa" w:w="1170"/>
          </w:tcPr>
          <w:p>
            <w:r/>
            <w:r>
              <w:rPr>
                <w:rFonts w:ascii="Calibri" w:hAnsi="Calibri"/>
                <w:sz w:val="20"/>
              </w:rPr>
              <w:t>2</w:t>
            </w:r>
          </w:p>
        </w:tc>
        <w:tc>
          <w:tcPr>
            <w:tcW w:type="dxa" w:w="1170"/>
          </w:tcPr>
          <w:p>
            <w:r/>
            <w:r>
              <w:rPr>
                <w:rFonts w:ascii="Calibri" w:hAnsi="Calibri"/>
                <w:sz w:val="20"/>
              </w:rPr>
              <w:t>3</w:t>
            </w:r>
          </w:p>
        </w:tc>
        <w:tc>
          <w:tcPr>
            <w:tcW w:type="dxa" w:w="1170"/>
          </w:tcPr>
          <w:p>
            <w:r/>
            <w:r>
              <w:rPr>
                <w:rFonts w:ascii="Calibri" w:hAnsi="Calibri"/>
                <w:sz w:val="20"/>
              </w:rPr>
              <w:t>3</w:t>
            </w:r>
          </w:p>
        </w:tc>
        <w:tc>
          <w:tcPr>
            <w:tcW w:type="dxa" w:w="1170"/>
          </w:tcPr>
          <w:p>
            <w:r/>
            <w:r>
              <w:rPr>
                <w:rFonts w:ascii="Calibri" w:hAnsi="Calibri"/>
                <w:sz w:val="20"/>
              </w:rPr>
              <w:t>2</w:t>
            </w:r>
          </w:p>
        </w:tc>
        <w:tc>
          <w:tcPr>
            <w:tcW w:type="dxa" w:w="1170"/>
          </w:tcPr>
          <w:p>
            <w:r/>
            <w:r>
              <w:rPr>
                <w:rFonts w:ascii="Calibri" w:hAnsi="Calibri"/>
                <w:sz w:val="20"/>
              </w:rPr>
              <w:t>3</w:t>
            </w:r>
          </w:p>
        </w:tc>
      </w:tr>
      <w:tr>
        <w:tc>
          <w:tcPr>
            <w:tcW w:type="dxa" w:w="1170"/>
            <w:shd w:fill="F0F4F8"/>
          </w:tcPr>
          <w:p>
            <w:r/>
            <w:r>
              <w:rPr>
                <w:rFonts w:ascii="Calibri" w:hAnsi="Calibri"/>
                <w:sz w:val="20"/>
              </w:rPr>
              <w:t>GSIUXD</w:t>
            </w:r>
          </w:p>
        </w:tc>
        <w:tc>
          <w:tcPr>
            <w:tcW w:type="dxa" w:w="1170"/>
            <w:shd w:fill="F0F4F8"/>
          </w:tcPr>
          <w:p>
            <w:r/>
            <w:r>
              <w:rPr>
                <w:rFonts w:ascii="Calibri" w:hAnsi="Calibri"/>
                <w:sz w:val="20"/>
              </w:rPr>
              <w:t>4</w:t>
            </w:r>
          </w:p>
        </w:tc>
        <w:tc>
          <w:tcPr>
            <w:tcW w:type="dxa" w:w="1170"/>
            <w:shd w:fill="F0F4F8"/>
          </w:tcPr>
          <w:p>
            <w:r/>
            <w:r>
              <w:rPr>
                <w:rFonts w:ascii="Calibri" w:hAnsi="Calibri"/>
                <w:sz w:val="20"/>
              </w:rPr>
              <w:t>1</w:t>
            </w:r>
          </w:p>
        </w:tc>
        <w:tc>
          <w:tcPr>
            <w:tcW w:type="dxa" w:w="1170"/>
            <w:shd w:fill="F0F4F8"/>
          </w:tcPr>
          <w:p>
            <w:r/>
            <w:r>
              <w:rPr>
                <w:rFonts w:ascii="Calibri" w:hAnsi="Calibri"/>
                <w:sz w:val="20"/>
              </w:rPr>
              <w:t>4</w:t>
            </w:r>
          </w:p>
        </w:tc>
        <w:tc>
          <w:tcPr>
            <w:tcW w:type="dxa" w:w="1170"/>
            <w:shd w:fill="F0F4F8"/>
          </w:tcPr>
          <w:p>
            <w:r/>
            <w:r>
              <w:rPr>
                <w:rFonts w:ascii="Calibri" w:hAnsi="Calibri"/>
                <w:sz w:val="20"/>
              </w:rPr>
              <w:t>3</w:t>
            </w:r>
          </w:p>
        </w:tc>
        <w:tc>
          <w:tcPr>
            <w:tcW w:type="dxa" w:w="1170"/>
            <w:shd w:fill="F0F4F8"/>
          </w:tcPr>
          <w:p>
            <w:r/>
            <w:r>
              <w:rPr>
                <w:rFonts w:ascii="Calibri" w:hAnsi="Calibri"/>
                <w:sz w:val="20"/>
              </w:rPr>
              <w:t>4</w:t>
            </w:r>
          </w:p>
        </w:tc>
        <w:tc>
          <w:tcPr>
            <w:tcW w:type="dxa" w:w="1170"/>
            <w:shd w:fill="F0F4F8"/>
          </w:tcPr>
          <w:p>
            <w:r/>
            <w:r>
              <w:rPr>
                <w:rFonts w:ascii="Calibri" w:hAnsi="Calibri"/>
                <w:sz w:val="20"/>
              </w:rPr>
              <w:t>1</w:t>
            </w:r>
          </w:p>
        </w:tc>
        <w:tc>
          <w:tcPr>
            <w:tcW w:type="dxa" w:w="1170"/>
            <w:shd w:fill="F0F4F8"/>
          </w:tcPr>
          <w:p>
            <w:r/>
            <w:r>
              <w:rPr>
                <w:rFonts w:ascii="Calibri" w:hAnsi="Calibri"/>
                <w:sz w:val="20"/>
              </w:rPr>
              <w:t>1</w:t>
            </w:r>
          </w:p>
        </w:tc>
      </w:tr>
      <w:tr>
        <w:tc>
          <w:tcPr>
            <w:tcW w:type="dxa" w:w="1170"/>
          </w:tcPr>
          <w:p>
            <w:r/>
            <w:r>
              <w:rPr>
                <w:rFonts w:ascii="Calibri" w:hAnsi="Calibri"/>
                <w:sz w:val="20"/>
              </w:rPr>
              <w:t>AIGA</w:t>
            </w:r>
          </w:p>
        </w:tc>
        <w:tc>
          <w:tcPr>
            <w:tcW w:type="dxa" w:w="1170"/>
          </w:tcPr>
          <w:p>
            <w:r/>
            <w:r>
              <w:rPr>
                <w:rFonts w:ascii="Calibri" w:hAnsi="Calibri"/>
                <w:sz w:val="20"/>
              </w:rPr>
              <w:t>4</w:t>
            </w:r>
          </w:p>
        </w:tc>
        <w:tc>
          <w:tcPr>
            <w:tcW w:type="dxa" w:w="1170"/>
          </w:tcPr>
          <w:p>
            <w:r/>
            <w:r>
              <w:rPr>
                <w:rFonts w:ascii="Calibri" w:hAnsi="Calibri"/>
                <w:sz w:val="20"/>
              </w:rPr>
              <w:t>4</w:t>
            </w:r>
          </w:p>
        </w:tc>
        <w:tc>
          <w:tcPr>
            <w:tcW w:type="dxa" w:w="1170"/>
          </w:tcPr>
          <w:p>
            <w:r/>
            <w:r>
              <w:rPr>
                <w:rFonts w:ascii="Calibri" w:hAnsi="Calibri"/>
                <w:sz w:val="20"/>
              </w:rPr>
              <w:t>3</w:t>
            </w:r>
          </w:p>
        </w:tc>
        <w:tc>
          <w:tcPr>
            <w:tcW w:type="dxa" w:w="1170"/>
          </w:tcPr>
          <w:p>
            <w:r/>
            <w:r>
              <w:rPr>
                <w:rFonts w:ascii="Calibri" w:hAnsi="Calibri"/>
                <w:sz w:val="20"/>
              </w:rPr>
              <w:t>5</w:t>
            </w:r>
          </w:p>
        </w:tc>
        <w:tc>
          <w:tcPr>
            <w:tcW w:type="dxa" w:w="1170"/>
          </w:tcPr>
          <w:p>
            <w:r/>
            <w:r>
              <w:rPr>
                <w:rFonts w:ascii="Calibri" w:hAnsi="Calibri"/>
                <w:sz w:val="20"/>
              </w:rPr>
              <w:t>0</w:t>
            </w:r>
          </w:p>
        </w:tc>
        <w:tc>
          <w:tcPr>
            <w:tcW w:type="dxa" w:w="1170"/>
          </w:tcPr>
          <w:p>
            <w:r/>
            <w:r>
              <w:rPr>
                <w:rFonts w:ascii="Calibri" w:hAnsi="Calibri"/>
                <w:sz w:val="20"/>
              </w:rPr>
              <w:t>3</w:t>
            </w:r>
          </w:p>
        </w:tc>
        <w:tc>
          <w:tcPr>
            <w:tcW w:type="dxa" w:w="1170"/>
          </w:tcPr>
          <w:p>
            <w:r/>
            <w:r>
              <w:rPr>
                <w:rFonts w:ascii="Calibri" w:hAnsi="Calibri"/>
                <w:sz w:val="20"/>
              </w:rPr>
              <w:t>5</w:t>
            </w:r>
          </w:p>
        </w:tc>
      </w:tr>
      <w:tr>
        <w:tc>
          <w:tcPr>
            <w:tcW w:type="dxa" w:w="1170"/>
            <w:shd w:fill="F0F4F8"/>
          </w:tcPr>
          <w:p>
            <w:r/>
            <w:r>
              <w:rPr>
                <w:rFonts w:ascii="Calibri" w:hAnsi="Calibri"/>
                <w:sz w:val="20"/>
              </w:rPr>
              <w:t>IxDA</w:t>
            </w:r>
          </w:p>
        </w:tc>
        <w:tc>
          <w:tcPr>
            <w:tcW w:type="dxa" w:w="1170"/>
            <w:shd w:fill="F0F4F8"/>
          </w:tcPr>
          <w:p>
            <w:r/>
            <w:r>
              <w:rPr>
                <w:rFonts w:ascii="Calibri" w:hAnsi="Calibri"/>
                <w:sz w:val="20"/>
              </w:rPr>
              <w:t>3</w:t>
            </w:r>
          </w:p>
        </w:tc>
        <w:tc>
          <w:tcPr>
            <w:tcW w:type="dxa" w:w="1170"/>
            <w:shd w:fill="F0F4F8"/>
          </w:tcPr>
          <w:p>
            <w:r/>
            <w:r>
              <w:rPr>
                <w:rFonts w:ascii="Calibri" w:hAnsi="Calibri"/>
                <w:sz w:val="20"/>
              </w:rPr>
              <w:t>3</w:t>
            </w:r>
          </w:p>
        </w:tc>
        <w:tc>
          <w:tcPr>
            <w:tcW w:type="dxa" w:w="1170"/>
            <w:shd w:fill="F0F4F8"/>
          </w:tcPr>
          <w:p>
            <w:r/>
            <w:r>
              <w:rPr>
                <w:rFonts w:ascii="Calibri" w:hAnsi="Calibri"/>
                <w:sz w:val="20"/>
              </w:rPr>
              <w:t>3</w:t>
            </w:r>
          </w:p>
        </w:tc>
        <w:tc>
          <w:tcPr>
            <w:tcW w:type="dxa" w:w="1170"/>
            <w:shd w:fill="F0F4F8"/>
          </w:tcPr>
          <w:p>
            <w:r/>
            <w:r>
              <w:rPr>
                <w:rFonts w:ascii="Calibri" w:hAnsi="Calibri"/>
                <w:sz w:val="20"/>
              </w:rPr>
              <w:t>3</w:t>
            </w:r>
          </w:p>
        </w:tc>
        <w:tc>
          <w:tcPr>
            <w:tcW w:type="dxa" w:w="1170"/>
            <w:shd w:fill="F0F4F8"/>
          </w:tcPr>
          <w:p>
            <w:r/>
            <w:r>
              <w:rPr>
                <w:rFonts w:ascii="Calibri" w:hAnsi="Calibri"/>
                <w:sz w:val="20"/>
              </w:rPr>
              <w:t>1</w:t>
            </w:r>
          </w:p>
        </w:tc>
        <w:tc>
          <w:tcPr>
            <w:tcW w:type="dxa" w:w="1170"/>
            <w:shd w:fill="F0F4F8"/>
          </w:tcPr>
          <w:p>
            <w:r/>
            <w:r>
              <w:rPr>
                <w:rFonts w:ascii="Calibri" w:hAnsi="Calibri"/>
                <w:sz w:val="20"/>
              </w:rPr>
              <w:t>5</w:t>
            </w:r>
          </w:p>
        </w:tc>
        <w:tc>
          <w:tcPr>
            <w:tcW w:type="dxa" w:w="1170"/>
            <w:shd w:fill="F0F4F8"/>
          </w:tcPr>
          <w:p>
            <w:r/>
            <w:r>
              <w:rPr>
                <w:rFonts w:ascii="Calibri" w:hAnsi="Calibri"/>
                <w:sz w:val="20"/>
              </w:rPr>
              <w:t>2</w:t>
            </w:r>
          </w:p>
        </w:tc>
      </w:tr>
      <w:tr>
        <w:tc>
          <w:tcPr>
            <w:tcW w:type="dxa" w:w="1170"/>
          </w:tcPr>
          <w:p>
            <w:r/>
            <w:r>
              <w:rPr>
                <w:rFonts w:ascii="Calibri" w:hAnsi="Calibri"/>
                <w:sz w:val="20"/>
              </w:rPr>
              <w:t>ADPList</w:t>
            </w:r>
          </w:p>
        </w:tc>
        <w:tc>
          <w:tcPr>
            <w:tcW w:type="dxa" w:w="1170"/>
          </w:tcPr>
          <w:p>
            <w:r/>
            <w:r>
              <w:rPr>
                <w:rFonts w:ascii="Calibri" w:hAnsi="Calibri"/>
                <w:sz w:val="20"/>
              </w:rPr>
              <w:t>5</w:t>
            </w:r>
          </w:p>
        </w:tc>
        <w:tc>
          <w:tcPr>
            <w:tcW w:type="dxa" w:w="1170"/>
          </w:tcPr>
          <w:p>
            <w:r/>
            <w:r>
              <w:rPr>
                <w:rFonts w:ascii="Calibri" w:hAnsi="Calibri"/>
                <w:sz w:val="20"/>
              </w:rPr>
              <w:t>2</w:t>
            </w:r>
          </w:p>
        </w:tc>
        <w:tc>
          <w:tcPr>
            <w:tcW w:type="dxa" w:w="1170"/>
          </w:tcPr>
          <w:p>
            <w:r/>
            <w:r>
              <w:rPr>
                <w:rFonts w:ascii="Calibri" w:hAnsi="Calibri"/>
                <w:sz w:val="20"/>
              </w:rPr>
              <w:t>5</w:t>
            </w:r>
          </w:p>
        </w:tc>
        <w:tc>
          <w:tcPr>
            <w:tcW w:type="dxa" w:w="1170"/>
          </w:tcPr>
          <w:p>
            <w:r/>
            <w:r>
              <w:rPr>
                <w:rFonts w:ascii="Calibri" w:hAnsi="Calibri"/>
                <w:sz w:val="20"/>
              </w:rPr>
              <w:t>5</w:t>
            </w:r>
          </w:p>
        </w:tc>
        <w:tc>
          <w:tcPr>
            <w:tcW w:type="dxa" w:w="1170"/>
          </w:tcPr>
          <w:p>
            <w:r/>
            <w:r>
              <w:rPr>
                <w:rFonts w:ascii="Calibri" w:hAnsi="Calibri"/>
                <w:sz w:val="20"/>
              </w:rPr>
              <w:t>3</w:t>
            </w:r>
          </w:p>
        </w:tc>
        <w:tc>
          <w:tcPr>
            <w:tcW w:type="dxa" w:w="1170"/>
          </w:tcPr>
          <w:p>
            <w:r/>
            <w:r>
              <w:rPr>
                <w:rFonts w:ascii="Calibri" w:hAnsi="Calibri"/>
                <w:sz w:val="20"/>
              </w:rPr>
              <w:t>5</w:t>
            </w:r>
          </w:p>
        </w:tc>
        <w:tc>
          <w:tcPr>
            <w:tcW w:type="dxa" w:w="1170"/>
          </w:tcPr>
          <w:p>
            <w:r/>
            <w:r>
              <w:rPr>
                <w:rFonts w:ascii="Calibri" w:hAnsi="Calibri"/>
                <w:sz w:val="20"/>
              </w:rPr>
              <w:t>4</w:t>
            </w:r>
          </w:p>
        </w:tc>
      </w:tr>
      <w:tr>
        <w:tc>
          <w:tcPr>
            <w:tcW w:type="dxa" w:w="1170"/>
            <w:shd w:fill="F0F4F8"/>
          </w:tcPr>
          <w:p>
            <w:r/>
            <w:r>
              <w:rPr>
                <w:rFonts w:ascii="Calibri" w:hAnsi="Calibri"/>
                <w:sz w:val="20"/>
              </w:rPr>
              <w:t>YOUR COMMUNITY</w:t>
            </w:r>
          </w:p>
        </w:tc>
        <w:tc>
          <w:tcPr>
            <w:tcW w:type="dxa" w:w="1170"/>
            <w:shd w:fill="F0F4F8"/>
          </w:tcPr>
          <w:p>
            <w:r/>
            <w:r>
              <w:rPr>
                <w:rFonts w:ascii="Calibri" w:hAnsi="Calibri"/>
                <w:sz w:val="20"/>
              </w:rPr>
              <w:t>5</w:t>
            </w:r>
          </w:p>
        </w:tc>
        <w:tc>
          <w:tcPr>
            <w:tcW w:type="dxa" w:w="1170"/>
            <w:shd w:fill="F0F4F8"/>
          </w:tcPr>
          <w:p>
            <w:r/>
            <w:r>
              <w:rPr>
                <w:rFonts w:ascii="Calibri" w:hAnsi="Calibri"/>
                <w:sz w:val="20"/>
              </w:rPr>
              <w:t>5</w:t>
            </w:r>
          </w:p>
        </w:tc>
        <w:tc>
          <w:tcPr>
            <w:tcW w:type="dxa" w:w="1170"/>
            <w:shd w:fill="F0F4F8"/>
          </w:tcPr>
          <w:p>
            <w:r/>
            <w:r>
              <w:rPr>
                <w:rFonts w:ascii="Calibri" w:hAnsi="Calibri"/>
                <w:sz w:val="20"/>
              </w:rPr>
              <w:t>5</w:t>
            </w:r>
          </w:p>
        </w:tc>
        <w:tc>
          <w:tcPr>
            <w:tcW w:type="dxa" w:w="1170"/>
            <w:shd w:fill="F0F4F8"/>
          </w:tcPr>
          <w:p>
            <w:r/>
            <w:r>
              <w:rPr>
                <w:rFonts w:ascii="Calibri" w:hAnsi="Calibri"/>
                <w:sz w:val="20"/>
              </w:rPr>
              <w:t>5</w:t>
            </w:r>
          </w:p>
        </w:tc>
        <w:tc>
          <w:tcPr>
            <w:tcW w:type="dxa" w:w="1170"/>
            <w:shd w:fill="F0F4F8"/>
          </w:tcPr>
          <w:p>
            <w:r/>
            <w:r>
              <w:rPr>
                <w:rFonts w:ascii="Calibri" w:hAnsi="Calibri"/>
                <w:sz w:val="20"/>
              </w:rPr>
              <w:t>5</w:t>
            </w:r>
          </w:p>
        </w:tc>
        <w:tc>
          <w:tcPr>
            <w:tcW w:type="dxa" w:w="1170"/>
            <w:shd w:fill="F0F4F8"/>
          </w:tcPr>
          <w:p>
            <w:r/>
            <w:r>
              <w:rPr>
                <w:rFonts w:ascii="Calibri" w:hAnsi="Calibri"/>
                <w:sz w:val="20"/>
              </w:rPr>
              <w:t>4</w:t>
            </w:r>
          </w:p>
        </w:tc>
        <w:tc>
          <w:tcPr>
            <w:tcW w:type="dxa" w:w="1170"/>
            <w:shd w:fill="F0F4F8"/>
          </w:tcPr>
          <w:p>
            <w:r/>
            <w:r>
              <w:rPr>
                <w:rFonts w:ascii="Calibri" w:hAnsi="Calibri"/>
                <w:sz w:val="20"/>
              </w:rPr>
              <w:t>5</w:t>
            </w:r>
          </w:p>
        </w:tc>
      </w:tr>
    </w:tbl>
    <w:p/>
    <w:p>
      <w:pPr/>
      <w:r>
        <w:t>The "YOUR COMMUNITY" row represents the target scores for the RPS Design Community. The gap analysis in the next section highlights where the biggest opportunities lie.</w:t>
      </w:r>
    </w:p>
    <w:p>
      <w:r>
        <w:br w:type="page"/>
      </w:r>
    </w:p>
    <w:p>
      <w:pPr>
        <w:pStyle w:val="Heading1"/>
      </w:pPr>
      <w:r>
        <w:t>6. Gap Analysis: Opportunities in India</w:t>
      </w:r>
    </w:p>
    <w:p>
      <w:pPr>
        <w:pStyle w:val="Heading2"/>
      </w:pPr>
      <w:r>
        <w:t>6.1 Critical Gaps in the Current Ecosystem</w:t>
      </w:r>
    </w:p>
    <w:p>
      <w:pPr>
        <w:pStyle w:val="ListBullet"/>
      </w:pPr>
      <w:r>
        <w:rPr>
          <w:rFonts w:ascii="Calibri" w:hAnsi="Calibri"/>
          <w:b/>
          <w:sz w:val="22"/>
        </w:rPr>
        <w:t xml:space="preserve">No Unified National Community: </w:t>
      </w:r>
      <w:r>
        <w:t>India has fragmented local chapters and city-specific groups but no single community that connects designers across all major cities with consistent programming, shared identity, and year-round engagement.</w:t>
      </w:r>
    </w:p>
    <w:p>
      <w:pPr>
        <w:pStyle w:val="ListBullet"/>
      </w:pPr>
      <w:r>
        <w:rPr>
          <w:rFonts w:ascii="Calibri" w:hAnsi="Calibri"/>
          <w:b/>
          <w:sz w:val="22"/>
        </w:rPr>
        <w:t xml:space="preserve">Missing Hybrid Model: </w:t>
      </w:r>
      <w:r>
        <w:t>Existing communities are either purely online (GSIUXD) or purely event-driven (UXINDIA, DesignUp). No one offers a seamless blend of digital platform + regular in-person meetups + annual conferences.</w:t>
      </w:r>
    </w:p>
    <w:p>
      <w:pPr>
        <w:pStyle w:val="ListBullet"/>
      </w:pPr>
      <w:r>
        <w:rPr>
          <w:rFonts w:ascii="Calibri" w:hAnsi="Calibri"/>
          <w:b/>
          <w:sz w:val="22"/>
        </w:rPr>
        <w:t xml:space="preserve">Career Development Gap: </w:t>
      </w:r>
      <w:r>
        <w:t>Beyond ADPList's mentorship, there is no India-focused platform offering structured career paths, salary benchmarking, portfolio reviews, mock interviews, and industry certification for UI/UX designers.</w:t>
      </w:r>
    </w:p>
    <w:p>
      <w:pPr>
        <w:pStyle w:val="ListBullet"/>
      </w:pPr>
      <w:r>
        <w:rPr>
          <w:rFonts w:ascii="Calibri" w:hAnsi="Calibri"/>
          <w:b/>
          <w:sz w:val="22"/>
        </w:rPr>
        <w:t xml:space="preserve">Tier-2 City Neglect: </w:t>
      </w:r>
      <w:r>
        <w:t>Almost all community activity is concentrated in Bangalore, Mumbai, and Delhi. Cities like Jaipur, Ahmedabad, Kochi, Lucknow, Chandigarh, and Indore have growing design talent but zero community infrastructure.</w:t>
      </w:r>
    </w:p>
    <w:p>
      <w:pPr>
        <w:pStyle w:val="ListBullet"/>
      </w:pPr>
      <w:r>
        <w:rPr>
          <w:rFonts w:ascii="Calibri" w:hAnsi="Calibri"/>
          <w:b/>
          <w:sz w:val="22"/>
        </w:rPr>
        <w:t xml:space="preserve">Student-to-Professional Pipeline: </w:t>
      </w:r>
      <w:r>
        <w:t>No community effectively bridges the gap between design education (NID, IIT, Srishti graduates) and professional practice with internship programs, portfolio boot camps, and industry mentorship.</w:t>
      </w:r>
    </w:p>
    <w:p>
      <w:pPr>
        <w:pStyle w:val="ListBullet"/>
      </w:pPr>
      <w:r>
        <w:rPr>
          <w:rFonts w:ascii="Calibri" w:hAnsi="Calibri"/>
          <w:b/>
          <w:sz w:val="22"/>
        </w:rPr>
        <w:t xml:space="preserve">Content &amp; Knowledge Base: </w:t>
      </w:r>
      <w:r>
        <w:t>No Indian design community maintains a curated, searchable knowledge base with India-specific case studies, salary data, design system guidelines, and career resources.</w:t>
      </w:r>
    </w:p>
    <w:p>
      <w:pPr>
        <w:pStyle w:val="ListBullet"/>
      </w:pPr>
      <w:r>
        <w:rPr>
          <w:rFonts w:ascii="Calibri" w:hAnsi="Calibri"/>
          <w:b/>
          <w:sz w:val="22"/>
        </w:rPr>
        <w:t xml:space="preserve">Sustainable Revenue: </w:t>
      </w:r>
      <w:r>
        <w:t>Most Indian communities rely on volunteer energy and sporadic sponsorships. None have built a sustainable, diversified revenue model combining memberships, events, partnerships, and digital products.</w:t>
      </w:r>
    </w:p>
    <w:p>
      <w:pPr>
        <w:pStyle w:val="Heading2"/>
      </w:pPr>
      <w:r>
        <w:t>6.2 Opportunity Sizing</w:t>
      </w:r>
    </w:p>
    <w:p>
      <w:pPr/>
      <w:r>
        <w:t>Conservative estimates suggest the addressable community in India is 50,000-100,000 designers who would actively participate in a well-structured design community. At even a 5% paid conversion rate with INR 2,000-5,000 annual membership, the revenue potential is INR 5-25 Crore annually, before adding event revenue, partnerships, and digital products.</w:t>
      </w:r>
    </w:p>
    <w:p>
      <w:r>
        <w:br w:type="page"/>
      </w:r>
    </w:p>
    <w:p>
      <w:pPr>
        <w:pStyle w:val="Heading1"/>
      </w:pPr>
      <w:r>
        <w:t>7. Community Building Strategy</w:t>
      </w:r>
    </w:p>
    <w:p>
      <w:pPr>
        <w:pStyle w:val="Heading2"/>
      </w:pPr>
      <w:r>
        <w:t>7.1 Vision &amp; Positioning</w:t>
      </w:r>
    </w:p>
    <w:p>
      <w:pPr/>
      <w:r>
        <w:t>Position the RPS Design Community as "India's home for designers" - a platform that every UI/UX designer in India considers their professional community, regardless of which tools they use, which company they work for, or which city they live in.</w:t>
      </w:r>
    </w:p>
    <w:p>
      <w:pPr/>
      <w:r>
        <w:t>Core positioning statement: "The community that grows with you - from your first portfolio to your leadership role."</w:t>
      </w:r>
    </w:p>
    <w:p>
      <w:pPr>
        <w:pStyle w:val="Heading2"/>
      </w:pPr>
      <w:r>
        <w:t>7.2 Founding Principles</w:t>
      </w:r>
    </w:p>
    <w:p>
      <w:pPr>
        <w:pStyle w:val="ListBullet"/>
      </w:pPr>
      <w:r>
        <w:rPr>
          <w:rFonts w:ascii="Calibri" w:hAnsi="Calibri"/>
          <w:b/>
          <w:sz w:val="22"/>
        </w:rPr>
        <w:t xml:space="preserve">Inclusive by Design: </w:t>
      </w:r>
      <w:r>
        <w:t>Welcome designers at every level - students, juniors, mid-career, seniors, and leaders. Price points and programming should reflect this diversity.</w:t>
      </w:r>
    </w:p>
    <w:p>
      <w:pPr>
        <w:pStyle w:val="ListBullet"/>
      </w:pPr>
      <w:r>
        <w:rPr>
          <w:rFonts w:ascii="Calibri" w:hAnsi="Calibri"/>
          <w:b/>
          <w:sz w:val="22"/>
        </w:rPr>
        <w:t xml:space="preserve">India-First, Globally Relevant: </w:t>
      </w:r>
      <w:r>
        <w:t>Content and discussions should address Indian market realities (salary negotiations in INR, Indian startup ecosystems, local design challenges) while maintaining global quality standards.</w:t>
      </w:r>
    </w:p>
    <w:p>
      <w:pPr>
        <w:pStyle w:val="ListBullet"/>
      </w:pPr>
      <w:r>
        <w:rPr>
          <w:rFonts w:ascii="Calibri" w:hAnsi="Calibri"/>
          <w:b/>
          <w:sz w:val="22"/>
        </w:rPr>
        <w:t xml:space="preserve">Value Before Revenue: </w:t>
      </w:r>
      <w:r>
        <w:t>Build genuine engagement and deliver tangible value for 6-12 months before introducing paid tiers. The free tier should be genuinely valuable, not a teaser.</w:t>
      </w:r>
    </w:p>
    <w:p>
      <w:pPr>
        <w:pStyle w:val="ListBullet"/>
      </w:pPr>
      <w:r>
        <w:rPr>
          <w:rFonts w:ascii="Calibri" w:hAnsi="Calibri"/>
          <w:b/>
          <w:sz w:val="22"/>
        </w:rPr>
        <w:t xml:space="preserve">Community-Led, Professionally Managed: </w:t>
      </w:r>
      <w:r>
        <w:t>Combine volunteer passion with professional operations. City chapter leads should be supported with resources, training, and recognition - not left to figure things out alone.</w:t>
      </w:r>
    </w:p>
    <w:p>
      <w:pPr>
        <w:pStyle w:val="ListBullet"/>
      </w:pPr>
      <w:r>
        <w:rPr>
          <w:rFonts w:ascii="Calibri" w:hAnsi="Calibri"/>
          <w:b/>
          <w:sz w:val="22"/>
        </w:rPr>
        <w:t xml:space="preserve">Hybrid by Default: </w:t>
      </w:r>
      <w:r>
        <w:t>Every program should have both an online and offline component. A workshop happens in-person in Bangalore AND is livestreamed with interactive Q&amp;A for remote members.</w:t>
      </w:r>
    </w:p>
    <w:p>
      <w:pPr>
        <w:pStyle w:val="Heading2"/>
      </w:pPr>
      <w:r>
        <w:t>7.3 Membership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Tier</w:t>
            </w:r>
          </w:p>
        </w:tc>
        <w:tc>
          <w:tcPr>
            <w:tcW w:type="dxa" w:w="2340"/>
            <w:shd w:fill="1A1A2E"/>
          </w:tcPr>
          <w:p>
            <w:pPr>
              <w:jc w:val="center"/>
            </w:pPr>
            <w:r/>
            <w:r>
              <w:rPr>
                <w:rFonts w:ascii="Calibri" w:hAnsi="Calibri"/>
                <w:b/>
                <w:color w:val="FFFFFF"/>
                <w:sz w:val="20"/>
              </w:rPr>
              <w:t>Price (Annual)</w:t>
            </w:r>
          </w:p>
        </w:tc>
        <w:tc>
          <w:tcPr>
            <w:tcW w:type="dxa" w:w="2340"/>
            <w:shd w:fill="1A1A2E"/>
          </w:tcPr>
          <w:p>
            <w:pPr>
              <w:jc w:val="center"/>
            </w:pPr>
            <w:r/>
            <w:r>
              <w:rPr>
                <w:rFonts w:ascii="Calibri" w:hAnsi="Calibri"/>
                <w:b/>
                <w:color w:val="FFFFFF"/>
                <w:sz w:val="20"/>
              </w:rPr>
              <w:t>Key Benefits</w:t>
            </w:r>
          </w:p>
        </w:tc>
        <w:tc>
          <w:tcPr>
            <w:tcW w:type="dxa" w:w="2340"/>
            <w:shd w:fill="1A1A2E"/>
          </w:tcPr>
          <w:p>
            <w:pPr>
              <w:jc w:val="center"/>
            </w:pPr>
            <w:r/>
            <w:r>
              <w:rPr>
                <w:rFonts w:ascii="Calibri" w:hAnsi="Calibri"/>
                <w:b/>
                <w:color w:val="FFFFFF"/>
                <w:sz w:val="20"/>
              </w:rPr>
              <w:t>Target Audience</w:t>
            </w:r>
          </w:p>
        </w:tc>
      </w:tr>
      <w:tr>
        <w:tc>
          <w:tcPr>
            <w:tcW w:type="dxa" w:w="2340"/>
          </w:tcPr>
          <w:p>
            <w:r/>
            <w:r>
              <w:rPr>
                <w:rFonts w:ascii="Calibri" w:hAnsi="Calibri"/>
                <w:sz w:val="20"/>
              </w:rPr>
              <w:t>Explorer (Free)</w:t>
            </w:r>
          </w:p>
        </w:tc>
        <w:tc>
          <w:tcPr>
            <w:tcW w:type="dxa" w:w="2340"/>
          </w:tcPr>
          <w:p>
            <w:r/>
            <w:r>
              <w:rPr>
                <w:rFonts w:ascii="Calibri" w:hAnsi="Calibri"/>
                <w:sz w:val="20"/>
              </w:rPr>
              <w:t>INR 0</w:t>
            </w:r>
          </w:p>
        </w:tc>
        <w:tc>
          <w:tcPr>
            <w:tcW w:type="dxa" w:w="2340"/>
          </w:tcPr>
          <w:p>
            <w:r/>
            <w:r>
              <w:rPr>
                <w:rFonts w:ascii="Calibri" w:hAnsi="Calibri"/>
                <w:sz w:val="20"/>
              </w:rPr>
              <w:t>Community access, public events, resource library, job board</w:t>
            </w:r>
          </w:p>
        </w:tc>
        <w:tc>
          <w:tcPr>
            <w:tcW w:type="dxa" w:w="2340"/>
          </w:tcPr>
          <w:p>
            <w:r/>
            <w:r>
              <w:rPr>
                <w:rFonts w:ascii="Calibri" w:hAnsi="Calibri"/>
                <w:sz w:val="20"/>
              </w:rPr>
              <w:t>Students, curious professionals</w:t>
            </w:r>
          </w:p>
        </w:tc>
      </w:tr>
      <w:tr>
        <w:tc>
          <w:tcPr>
            <w:tcW w:type="dxa" w:w="2340"/>
            <w:shd w:fill="F0F4F8"/>
          </w:tcPr>
          <w:p>
            <w:r/>
            <w:r>
              <w:rPr>
                <w:rFonts w:ascii="Calibri" w:hAnsi="Calibri"/>
                <w:sz w:val="20"/>
              </w:rPr>
              <w:t>Member</w:t>
            </w:r>
          </w:p>
        </w:tc>
        <w:tc>
          <w:tcPr>
            <w:tcW w:type="dxa" w:w="2340"/>
            <w:shd w:fill="F0F4F8"/>
          </w:tcPr>
          <w:p>
            <w:r/>
            <w:r>
              <w:rPr>
                <w:rFonts w:ascii="Calibri" w:hAnsi="Calibri"/>
                <w:sz w:val="20"/>
              </w:rPr>
              <w:t>INR 2,499/yr</w:t>
            </w:r>
          </w:p>
        </w:tc>
        <w:tc>
          <w:tcPr>
            <w:tcW w:type="dxa" w:w="2340"/>
            <w:shd w:fill="F0F4F8"/>
          </w:tcPr>
          <w:p>
            <w:r/>
            <w:r>
              <w:rPr>
                <w:rFonts w:ascii="Calibri" w:hAnsi="Calibri"/>
                <w:sz w:val="20"/>
              </w:rPr>
              <w:t>All free benefits + monthly workshops, portfolio reviews, mentorship matching, exclusive content</w:t>
            </w:r>
          </w:p>
        </w:tc>
        <w:tc>
          <w:tcPr>
            <w:tcW w:type="dxa" w:w="2340"/>
            <w:shd w:fill="F0F4F8"/>
          </w:tcPr>
          <w:p>
            <w:r/>
            <w:r>
              <w:rPr>
                <w:rFonts w:ascii="Calibri" w:hAnsi="Calibri"/>
                <w:sz w:val="20"/>
              </w:rPr>
              <w:t>Working designers, 1-5 years experience</w:t>
            </w:r>
          </w:p>
        </w:tc>
      </w:tr>
      <w:tr>
        <w:tc>
          <w:tcPr>
            <w:tcW w:type="dxa" w:w="2340"/>
          </w:tcPr>
          <w:p>
            <w:r/>
            <w:r>
              <w:rPr>
                <w:rFonts w:ascii="Calibri" w:hAnsi="Calibri"/>
                <w:sz w:val="20"/>
              </w:rPr>
              <w:t>Pro</w:t>
            </w:r>
          </w:p>
        </w:tc>
        <w:tc>
          <w:tcPr>
            <w:tcW w:type="dxa" w:w="2340"/>
          </w:tcPr>
          <w:p>
            <w:r/>
            <w:r>
              <w:rPr>
                <w:rFonts w:ascii="Calibri" w:hAnsi="Calibri"/>
                <w:sz w:val="20"/>
              </w:rPr>
              <w:t>INR 4,999/yr</w:t>
            </w:r>
          </w:p>
        </w:tc>
        <w:tc>
          <w:tcPr>
            <w:tcW w:type="dxa" w:w="2340"/>
          </w:tcPr>
          <w:p>
            <w:r/>
            <w:r>
              <w:rPr>
                <w:rFonts w:ascii="Calibri" w:hAnsi="Calibri"/>
                <w:sz w:val="20"/>
              </w:rPr>
              <w:t>All Member benefits + conference discounts, 1:1 mentorship, certification prep, salary insights</w:t>
            </w:r>
          </w:p>
        </w:tc>
        <w:tc>
          <w:tcPr>
            <w:tcW w:type="dxa" w:w="2340"/>
          </w:tcPr>
          <w:p>
            <w:r/>
            <w:r>
              <w:rPr>
                <w:rFonts w:ascii="Calibri" w:hAnsi="Calibri"/>
                <w:sz w:val="20"/>
              </w:rPr>
              <w:t>Mid-senior designers, 5+ years</w:t>
            </w:r>
          </w:p>
        </w:tc>
      </w:tr>
      <w:tr>
        <w:tc>
          <w:tcPr>
            <w:tcW w:type="dxa" w:w="2340"/>
            <w:shd w:fill="F0F4F8"/>
          </w:tcPr>
          <w:p>
            <w:r/>
            <w:r>
              <w:rPr>
                <w:rFonts w:ascii="Calibri" w:hAnsi="Calibri"/>
                <w:sz w:val="20"/>
              </w:rPr>
              <w:t>Leader</w:t>
            </w:r>
          </w:p>
        </w:tc>
        <w:tc>
          <w:tcPr>
            <w:tcW w:type="dxa" w:w="2340"/>
            <w:shd w:fill="F0F4F8"/>
          </w:tcPr>
          <w:p>
            <w:r/>
            <w:r>
              <w:rPr>
                <w:rFonts w:ascii="Calibri" w:hAnsi="Calibri"/>
                <w:sz w:val="20"/>
              </w:rPr>
              <w:t>INR 9,999/yr</w:t>
            </w:r>
          </w:p>
        </w:tc>
        <w:tc>
          <w:tcPr>
            <w:tcW w:type="dxa" w:w="2340"/>
            <w:shd w:fill="F0F4F8"/>
          </w:tcPr>
          <w:p>
            <w:r/>
            <w:r>
              <w:rPr>
                <w:rFonts w:ascii="Calibri" w:hAnsi="Calibri"/>
                <w:sz w:val="20"/>
              </w:rPr>
              <w:t>All Pro benefits + design leader roundtables, hiring network access, speaking opportunities</w:t>
            </w:r>
          </w:p>
        </w:tc>
        <w:tc>
          <w:tcPr>
            <w:tcW w:type="dxa" w:w="2340"/>
            <w:shd w:fill="F0F4F8"/>
          </w:tcPr>
          <w:p>
            <w:r/>
            <w:r>
              <w:rPr>
                <w:rFonts w:ascii="Calibri" w:hAnsi="Calibri"/>
                <w:sz w:val="20"/>
              </w:rPr>
              <w:t>Design managers, directors, VPs</w:t>
            </w:r>
          </w:p>
        </w:tc>
      </w:tr>
      <w:tr>
        <w:tc>
          <w:tcPr>
            <w:tcW w:type="dxa" w:w="2340"/>
          </w:tcPr>
          <w:p>
            <w:r/>
            <w:r>
              <w:rPr>
                <w:rFonts w:ascii="Calibri" w:hAnsi="Calibri"/>
                <w:sz w:val="20"/>
              </w:rPr>
              <w:t>Student</w:t>
            </w:r>
          </w:p>
        </w:tc>
        <w:tc>
          <w:tcPr>
            <w:tcW w:type="dxa" w:w="2340"/>
          </w:tcPr>
          <w:p>
            <w:r/>
            <w:r>
              <w:rPr>
                <w:rFonts w:ascii="Calibri" w:hAnsi="Calibri"/>
                <w:sz w:val="20"/>
              </w:rPr>
              <w:t>INR 999/yr</w:t>
            </w:r>
          </w:p>
        </w:tc>
        <w:tc>
          <w:tcPr>
            <w:tcW w:type="dxa" w:w="2340"/>
          </w:tcPr>
          <w:p>
            <w:r/>
            <w:r>
              <w:rPr>
                <w:rFonts w:ascii="Calibri" w:hAnsi="Calibri"/>
                <w:sz w:val="20"/>
              </w:rPr>
              <w:t>All Member benefits at discounted rate + internship board, campus ambassador program</w:t>
            </w:r>
          </w:p>
        </w:tc>
        <w:tc>
          <w:tcPr>
            <w:tcW w:type="dxa" w:w="2340"/>
          </w:tcPr>
          <w:p>
            <w:r/>
            <w:r>
              <w:rPr>
                <w:rFonts w:ascii="Calibri" w:hAnsi="Calibri"/>
                <w:sz w:val="20"/>
              </w:rPr>
              <w:t>Full-time design students</w:t>
            </w:r>
          </w:p>
        </w:tc>
      </w:tr>
    </w:tbl>
    <w:p>
      <w:r>
        <w:br w:type="page"/>
      </w:r>
    </w:p>
    <w:p>
      <w:pPr>
        <w:pStyle w:val="Heading1"/>
      </w:pPr>
      <w:r>
        <w:t>8. Hybrid Model Architecture</w:t>
      </w:r>
    </w:p>
    <w:p>
      <w:pPr>
        <w:pStyle w:val="Heading2"/>
      </w:pPr>
      <w:r>
        <w:t>8.1 Online Platform</w:t>
      </w:r>
    </w:p>
    <w:p>
      <w:pPr/>
      <w:r>
        <w:t>The digital backbone of the community should provide continuous value between in-person events:</w:t>
      </w:r>
    </w:p>
    <w:p>
      <w:pPr>
        <w:pStyle w:val="ListBullet"/>
      </w:pPr>
      <w:r>
        <w:rPr>
          <w:rFonts w:ascii="Calibri" w:hAnsi="Calibri"/>
          <w:b/>
          <w:sz w:val="22"/>
        </w:rPr>
        <w:t xml:space="preserve">Community Platform: </w:t>
      </w:r>
      <w:r>
        <w:t>A custom platform (or Circle/Mighty Networks) with discussion forums, direct messaging, member profiles with portfolios, and city-specific channels. Avoid Slack/Discord for the primary platform due to message archival limitations.</w:t>
      </w:r>
    </w:p>
    <w:p>
      <w:pPr>
        <w:pStyle w:val="ListBullet"/>
      </w:pPr>
      <w:r>
        <w:rPr>
          <w:rFonts w:ascii="Calibri" w:hAnsi="Calibri"/>
          <w:b/>
          <w:sz w:val="22"/>
        </w:rPr>
        <w:t xml:space="preserve">Content Hub: </w:t>
      </w:r>
      <w:r>
        <w:t>Weekly articles, case studies (India-focused), video tutorials, design system breakdowns, and career guides. Curate and create content that addresses Indian design challenges specifically.</w:t>
      </w:r>
    </w:p>
    <w:p>
      <w:pPr>
        <w:pStyle w:val="ListBullet"/>
      </w:pPr>
      <w:r>
        <w:rPr>
          <w:rFonts w:ascii="Calibri" w:hAnsi="Calibri"/>
          <w:b/>
          <w:sz w:val="22"/>
        </w:rPr>
        <w:t xml:space="preserve">Mentorship Program: </w:t>
      </w:r>
      <w:r>
        <w:t>Structured 3-month mentorship cycles matching senior designers with juniors. Include goal-setting, mid-point check-ins, and outcome tracking.</w:t>
      </w:r>
    </w:p>
    <w:p>
      <w:pPr>
        <w:pStyle w:val="ListBullet"/>
      </w:pPr>
      <w:r>
        <w:rPr>
          <w:rFonts w:ascii="Calibri" w:hAnsi="Calibri"/>
          <w:b/>
          <w:sz w:val="22"/>
        </w:rPr>
        <w:t xml:space="preserve">Job Board &amp; Hiring Network: </w:t>
      </w:r>
      <w:r>
        <w:t>Curated job listings from verified companies. Premium feature for companies to post and for Pro/Leader members to get early access.</w:t>
      </w:r>
    </w:p>
    <w:p>
      <w:pPr>
        <w:pStyle w:val="ListBullet"/>
      </w:pPr>
      <w:r>
        <w:rPr>
          <w:rFonts w:ascii="Calibri" w:hAnsi="Calibri"/>
          <w:b/>
          <w:sz w:val="22"/>
        </w:rPr>
        <w:t xml:space="preserve">Learning Paths: </w:t>
      </w:r>
      <w:r>
        <w:t>Structured courses and workshops on UX research, UI design, design systems, design leadership, and emerging areas like AI-driven design.</w:t>
      </w:r>
    </w:p>
    <w:p>
      <w:pPr>
        <w:pStyle w:val="ListBullet"/>
      </w:pPr>
      <w:r>
        <w:rPr>
          <w:rFonts w:ascii="Calibri" w:hAnsi="Calibri"/>
          <w:b/>
          <w:sz w:val="22"/>
        </w:rPr>
        <w:t xml:space="preserve">Portfolio Reviews: </w:t>
      </w:r>
      <w:r>
        <w:t>Monthly community portfolio review sessions with structured feedback from experienced designers.</w:t>
      </w:r>
    </w:p>
    <w:p>
      <w:pPr>
        <w:pStyle w:val="Heading2"/>
      </w:pPr>
      <w:r>
        <w:t>8.2 Offline Events</w:t>
      </w:r>
    </w:p>
    <w:p>
      <w:pPr/>
      <w:r>
        <w:t>In-person events create the emotional bonds and professional relationships that sustain long-term community engagement:</w:t>
      </w:r>
    </w:p>
    <w:p>
      <w:pPr>
        <w:pStyle w:val="ListBullet"/>
      </w:pPr>
      <w:r>
        <w:rPr>
          <w:rFonts w:ascii="Calibri" w:hAnsi="Calibri"/>
          <w:b/>
          <w:sz w:val="22"/>
        </w:rPr>
        <w:t xml:space="preserve">Monthly City Meetups: </w:t>
      </w:r>
      <w:r>
        <w:t>Themed meetups in each chapter city (design critiques, speaker sessions, design jams, portfolio nights). Target 50-150 attendees per meetup.</w:t>
      </w:r>
    </w:p>
    <w:p>
      <w:pPr>
        <w:pStyle w:val="ListBullet"/>
      </w:pPr>
      <w:r>
        <w:rPr>
          <w:rFonts w:ascii="Calibri" w:hAnsi="Calibri"/>
          <w:b/>
          <w:sz w:val="22"/>
        </w:rPr>
        <w:t xml:space="preserve">Quarterly Workshops: </w:t>
      </w:r>
      <w:r>
        <w:t>Half-day or full-day intensive workshops on specific skills (Figma advanced, UX research methods, design systems). Charge INR 500-2,000 per ticket.</w:t>
      </w:r>
    </w:p>
    <w:p>
      <w:pPr>
        <w:pStyle w:val="ListBullet"/>
      </w:pPr>
      <w:r>
        <w:rPr>
          <w:rFonts w:ascii="Calibri" w:hAnsi="Calibri"/>
          <w:b/>
          <w:sz w:val="22"/>
        </w:rPr>
        <w:t xml:space="preserve">Annual National Conference: </w:t>
      </w:r>
      <w:r>
        <w:t>A 2-3 day flagship conference rotating between cities. Target 1,000+ attendees in Year 2. Mix of keynotes, workshops, design showcases, and networking.</w:t>
      </w:r>
    </w:p>
    <w:p>
      <w:pPr>
        <w:pStyle w:val="ListBullet"/>
      </w:pPr>
      <w:r>
        <w:rPr>
          <w:rFonts w:ascii="Calibri" w:hAnsi="Calibri"/>
          <w:b/>
          <w:sz w:val="22"/>
        </w:rPr>
        <w:t xml:space="preserve">Design Sprints: </w:t>
      </w:r>
      <w:r>
        <w:t>Weekend design sprints partnering with real companies/NGOs to solve actual design challenges. Great for portfolio building and corporate partnerships.</w:t>
      </w:r>
    </w:p>
    <w:p>
      <w:pPr>
        <w:pStyle w:val="ListBullet"/>
      </w:pPr>
      <w:r>
        <w:rPr>
          <w:rFonts w:ascii="Calibri" w:hAnsi="Calibri"/>
          <w:b/>
          <w:sz w:val="22"/>
        </w:rPr>
        <w:t xml:space="preserve">Campus Connect: </w:t>
      </w:r>
      <w:r>
        <w:t>Regular sessions at design colleges to build the student pipeline and establish the community as the default professional home for new graduates.</w:t>
      </w:r>
    </w:p>
    <w:p>
      <w:pPr>
        <w:pStyle w:val="Heading2"/>
      </w:pPr>
      <w:r>
        <w:t>8.3 City Chapter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Phase</w:t>
            </w:r>
          </w:p>
        </w:tc>
        <w:tc>
          <w:tcPr>
            <w:tcW w:type="dxa" w:w="2340"/>
            <w:shd w:fill="1A1A2E"/>
          </w:tcPr>
          <w:p>
            <w:pPr>
              <w:jc w:val="center"/>
            </w:pPr>
            <w:r/>
            <w:r>
              <w:rPr>
                <w:rFonts w:ascii="Calibri" w:hAnsi="Calibri"/>
                <w:b/>
                <w:color w:val="FFFFFF"/>
                <w:sz w:val="20"/>
              </w:rPr>
              <w:t>Cities</w:t>
            </w:r>
          </w:p>
        </w:tc>
        <w:tc>
          <w:tcPr>
            <w:tcW w:type="dxa" w:w="2340"/>
            <w:shd w:fill="1A1A2E"/>
          </w:tcPr>
          <w:p>
            <w:pPr>
              <w:jc w:val="center"/>
            </w:pPr>
            <w:r/>
            <w:r>
              <w:rPr>
                <w:rFonts w:ascii="Calibri" w:hAnsi="Calibri"/>
                <w:b/>
                <w:color w:val="FFFFFF"/>
                <w:sz w:val="20"/>
              </w:rPr>
              <w:t>Timeline</w:t>
            </w:r>
          </w:p>
        </w:tc>
        <w:tc>
          <w:tcPr>
            <w:tcW w:type="dxa" w:w="2340"/>
            <w:shd w:fill="1A1A2E"/>
          </w:tcPr>
          <w:p>
            <w:pPr>
              <w:jc w:val="center"/>
            </w:pPr>
            <w:r/>
            <w:r>
              <w:rPr>
                <w:rFonts w:ascii="Calibri" w:hAnsi="Calibri"/>
                <w:b/>
                <w:color w:val="FFFFFF"/>
                <w:sz w:val="20"/>
              </w:rPr>
              <w:t>Chapter Size Target</w:t>
            </w:r>
          </w:p>
        </w:tc>
      </w:tr>
      <w:tr>
        <w:tc>
          <w:tcPr>
            <w:tcW w:type="dxa" w:w="2340"/>
          </w:tcPr>
          <w:p>
            <w:r/>
            <w:r>
              <w:rPr>
                <w:rFonts w:ascii="Calibri" w:hAnsi="Calibri"/>
                <w:sz w:val="20"/>
              </w:rPr>
              <w:t>Phase 1 (Launch)</w:t>
            </w:r>
          </w:p>
        </w:tc>
        <w:tc>
          <w:tcPr>
            <w:tcW w:type="dxa" w:w="2340"/>
          </w:tcPr>
          <w:p>
            <w:r/>
            <w:r>
              <w:rPr>
                <w:rFonts w:ascii="Calibri" w:hAnsi="Calibri"/>
                <w:sz w:val="20"/>
              </w:rPr>
              <w:t>Bangalore, Mumbai</w:t>
            </w:r>
          </w:p>
        </w:tc>
        <w:tc>
          <w:tcPr>
            <w:tcW w:type="dxa" w:w="2340"/>
          </w:tcPr>
          <w:p>
            <w:r/>
            <w:r>
              <w:rPr>
                <w:rFonts w:ascii="Calibri" w:hAnsi="Calibri"/>
                <w:sz w:val="20"/>
              </w:rPr>
              <w:t>Months 1-6</w:t>
            </w:r>
          </w:p>
        </w:tc>
        <w:tc>
          <w:tcPr>
            <w:tcW w:type="dxa" w:w="2340"/>
          </w:tcPr>
          <w:p>
            <w:r/>
            <w:r>
              <w:rPr>
                <w:rFonts w:ascii="Calibri" w:hAnsi="Calibri"/>
                <w:sz w:val="20"/>
              </w:rPr>
              <w:t>500+ members each</w:t>
            </w:r>
          </w:p>
        </w:tc>
      </w:tr>
      <w:tr>
        <w:tc>
          <w:tcPr>
            <w:tcW w:type="dxa" w:w="2340"/>
            <w:shd w:fill="F0F4F8"/>
          </w:tcPr>
          <w:p>
            <w:r/>
            <w:r>
              <w:rPr>
                <w:rFonts w:ascii="Calibri" w:hAnsi="Calibri"/>
                <w:sz w:val="20"/>
              </w:rPr>
              <w:t>Phase 2 (Expand)</w:t>
            </w:r>
          </w:p>
        </w:tc>
        <w:tc>
          <w:tcPr>
            <w:tcW w:type="dxa" w:w="2340"/>
            <w:shd w:fill="F0F4F8"/>
          </w:tcPr>
          <w:p>
            <w:r/>
            <w:r>
              <w:rPr>
                <w:rFonts w:ascii="Calibri" w:hAnsi="Calibri"/>
                <w:sz w:val="20"/>
              </w:rPr>
              <w:t>Delhi NCR, Pune, Hyderabad</w:t>
            </w:r>
          </w:p>
        </w:tc>
        <w:tc>
          <w:tcPr>
            <w:tcW w:type="dxa" w:w="2340"/>
            <w:shd w:fill="F0F4F8"/>
          </w:tcPr>
          <w:p>
            <w:r/>
            <w:r>
              <w:rPr>
                <w:rFonts w:ascii="Calibri" w:hAnsi="Calibri"/>
                <w:sz w:val="20"/>
              </w:rPr>
              <w:t>Months 6-12</w:t>
            </w:r>
          </w:p>
        </w:tc>
        <w:tc>
          <w:tcPr>
            <w:tcW w:type="dxa" w:w="2340"/>
            <w:shd w:fill="F0F4F8"/>
          </w:tcPr>
          <w:p>
            <w:r/>
            <w:r>
              <w:rPr>
                <w:rFonts w:ascii="Calibri" w:hAnsi="Calibri"/>
                <w:sz w:val="20"/>
              </w:rPr>
              <w:t>300+ members each</w:t>
            </w:r>
          </w:p>
        </w:tc>
      </w:tr>
      <w:tr>
        <w:tc>
          <w:tcPr>
            <w:tcW w:type="dxa" w:w="2340"/>
          </w:tcPr>
          <w:p>
            <w:r/>
            <w:r>
              <w:rPr>
                <w:rFonts w:ascii="Calibri" w:hAnsi="Calibri"/>
                <w:sz w:val="20"/>
              </w:rPr>
              <w:t>Phase 3 (Scale)</w:t>
            </w:r>
          </w:p>
        </w:tc>
        <w:tc>
          <w:tcPr>
            <w:tcW w:type="dxa" w:w="2340"/>
          </w:tcPr>
          <w:p>
            <w:r/>
            <w:r>
              <w:rPr>
                <w:rFonts w:ascii="Calibri" w:hAnsi="Calibri"/>
                <w:sz w:val="20"/>
              </w:rPr>
              <w:t>Chennai, Kolkata, Ahmedabad, Jaipur</w:t>
            </w:r>
          </w:p>
        </w:tc>
        <w:tc>
          <w:tcPr>
            <w:tcW w:type="dxa" w:w="2340"/>
          </w:tcPr>
          <w:p>
            <w:r/>
            <w:r>
              <w:rPr>
                <w:rFonts w:ascii="Calibri" w:hAnsi="Calibri"/>
                <w:sz w:val="20"/>
              </w:rPr>
              <w:t>Year 2</w:t>
            </w:r>
          </w:p>
        </w:tc>
        <w:tc>
          <w:tcPr>
            <w:tcW w:type="dxa" w:w="2340"/>
          </w:tcPr>
          <w:p>
            <w:r/>
            <w:r>
              <w:rPr>
                <w:rFonts w:ascii="Calibri" w:hAnsi="Calibri"/>
                <w:sz w:val="20"/>
              </w:rPr>
              <w:t>200+ members each</w:t>
            </w:r>
          </w:p>
        </w:tc>
      </w:tr>
      <w:tr>
        <w:tc>
          <w:tcPr>
            <w:tcW w:type="dxa" w:w="2340"/>
            <w:shd w:fill="F0F4F8"/>
          </w:tcPr>
          <w:p>
            <w:r/>
            <w:r>
              <w:rPr>
                <w:rFonts w:ascii="Calibri" w:hAnsi="Calibri"/>
                <w:sz w:val="20"/>
              </w:rPr>
              <w:t>Phase 4 (Tier-2)</w:t>
            </w:r>
          </w:p>
        </w:tc>
        <w:tc>
          <w:tcPr>
            <w:tcW w:type="dxa" w:w="2340"/>
            <w:shd w:fill="F0F4F8"/>
          </w:tcPr>
          <w:p>
            <w:r/>
            <w:r>
              <w:rPr>
                <w:rFonts w:ascii="Calibri" w:hAnsi="Calibri"/>
                <w:sz w:val="20"/>
              </w:rPr>
              <w:t>Kochi, Chandigarh, Indore, Lucknow, Coimbatore</w:t>
            </w:r>
          </w:p>
        </w:tc>
        <w:tc>
          <w:tcPr>
            <w:tcW w:type="dxa" w:w="2340"/>
            <w:shd w:fill="F0F4F8"/>
          </w:tcPr>
          <w:p>
            <w:r/>
            <w:r>
              <w:rPr>
                <w:rFonts w:ascii="Calibri" w:hAnsi="Calibri"/>
                <w:sz w:val="20"/>
              </w:rPr>
              <w:t>Year 2-3</w:t>
            </w:r>
          </w:p>
        </w:tc>
        <w:tc>
          <w:tcPr>
            <w:tcW w:type="dxa" w:w="2340"/>
            <w:shd w:fill="F0F4F8"/>
          </w:tcPr>
          <w:p>
            <w:r/>
            <w:r>
              <w:rPr>
                <w:rFonts w:ascii="Calibri" w:hAnsi="Calibri"/>
                <w:sz w:val="20"/>
              </w:rPr>
              <w:t>100+ members each</w:t>
            </w:r>
          </w:p>
        </w:tc>
      </w:tr>
    </w:tbl>
    <w:p>
      <w:r>
        <w:br w:type="page"/>
      </w:r>
    </w:p>
    <w:p>
      <w:pPr>
        <w:pStyle w:val="Heading1"/>
      </w:pPr>
      <w:r>
        <w:t>9. Monetization &amp; Revenue Strategy</w:t>
      </w:r>
    </w:p>
    <w:p>
      <w:pPr>
        <w:pStyle w:val="Heading2"/>
      </w:pPr>
      <w:r>
        <w:t>9.1 Revenue Streams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Revenue Stream</w:t>
            </w:r>
          </w:p>
        </w:tc>
        <w:tc>
          <w:tcPr>
            <w:tcW w:type="dxa" w:w="2340"/>
            <w:shd w:fill="1A1A2E"/>
          </w:tcPr>
          <w:p>
            <w:pPr>
              <w:jc w:val="center"/>
            </w:pPr>
            <w:r/>
            <w:r>
              <w:rPr>
                <w:rFonts w:ascii="Calibri" w:hAnsi="Calibri"/>
                <w:b/>
                <w:color w:val="FFFFFF"/>
                <w:sz w:val="20"/>
              </w:rPr>
              <w:t>Description</w:t>
            </w:r>
          </w:p>
        </w:tc>
        <w:tc>
          <w:tcPr>
            <w:tcW w:type="dxa" w:w="2340"/>
            <w:shd w:fill="1A1A2E"/>
          </w:tcPr>
          <w:p>
            <w:pPr>
              <w:jc w:val="center"/>
            </w:pPr>
            <w:r/>
            <w:r>
              <w:rPr>
                <w:rFonts w:ascii="Calibri" w:hAnsi="Calibri"/>
                <w:b/>
                <w:color w:val="FFFFFF"/>
                <w:sz w:val="20"/>
              </w:rPr>
              <w:t>Year 1 Target</w:t>
            </w:r>
          </w:p>
        </w:tc>
        <w:tc>
          <w:tcPr>
            <w:tcW w:type="dxa" w:w="2340"/>
            <w:shd w:fill="1A1A2E"/>
          </w:tcPr>
          <w:p>
            <w:pPr>
              <w:jc w:val="center"/>
            </w:pPr>
            <w:r/>
            <w:r>
              <w:rPr>
                <w:rFonts w:ascii="Calibri" w:hAnsi="Calibri"/>
                <w:b/>
                <w:color w:val="FFFFFF"/>
                <w:sz w:val="20"/>
              </w:rPr>
              <w:t>Year 3 Target</w:t>
            </w:r>
          </w:p>
        </w:tc>
      </w:tr>
      <w:tr>
        <w:tc>
          <w:tcPr>
            <w:tcW w:type="dxa" w:w="2340"/>
          </w:tcPr>
          <w:p>
            <w:r/>
            <w:r>
              <w:rPr>
                <w:rFonts w:ascii="Calibri" w:hAnsi="Calibri"/>
                <w:sz w:val="20"/>
              </w:rPr>
              <w:t>Membership Dues</w:t>
            </w:r>
          </w:p>
        </w:tc>
        <w:tc>
          <w:tcPr>
            <w:tcW w:type="dxa" w:w="2340"/>
          </w:tcPr>
          <w:p>
            <w:r/>
            <w:r>
              <w:rPr>
                <w:rFonts w:ascii="Calibri" w:hAnsi="Calibri"/>
                <w:sz w:val="20"/>
              </w:rPr>
              <w:t>Tiered annual memberships (Student to Leader)</w:t>
            </w:r>
          </w:p>
        </w:tc>
        <w:tc>
          <w:tcPr>
            <w:tcW w:type="dxa" w:w="2340"/>
          </w:tcPr>
          <w:p>
            <w:r/>
            <w:r>
              <w:rPr>
                <w:rFonts w:ascii="Calibri" w:hAnsi="Calibri"/>
                <w:sz w:val="20"/>
              </w:rPr>
              <w:t>INR 25L</w:t>
            </w:r>
          </w:p>
        </w:tc>
        <w:tc>
          <w:tcPr>
            <w:tcW w:type="dxa" w:w="2340"/>
          </w:tcPr>
          <w:p>
            <w:r/>
            <w:r>
              <w:rPr>
                <w:rFonts w:ascii="Calibri" w:hAnsi="Calibri"/>
                <w:sz w:val="20"/>
              </w:rPr>
              <w:t>INR 2Cr</w:t>
            </w:r>
          </w:p>
        </w:tc>
      </w:tr>
      <w:tr>
        <w:tc>
          <w:tcPr>
            <w:tcW w:type="dxa" w:w="2340"/>
            <w:shd w:fill="F0F4F8"/>
          </w:tcPr>
          <w:p>
            <w:r/>
            <w:r>
              <w:rPr>
                <w:rFonts w:ascii="Calibri" w:hAnsi="Calibri"/>
                <w:sz w:val="20"/>
              </w:rPr>
              <w:t>Event Tickets</w:t>
            </w:r>
          </w:p>
        </w:tc>
        <w:tc>
          <w:tcPr>
            <w:tcW w:type="dxa" w:w="2340"/>
            <w:shd w:fill="F0F4F8"/>
          </w:tcPr>
          <w:p>
            <w:r/>
            <w:r>
              <w:rPr>
                <w:rFonts w:ascii="Calibri" w:hAnsi="Calibri"/>
                <w:sz w:val="20"/>
              </w:rPr>
              <w:t>Workshops, conferences, design sprints</w:t>
            </w:r>
          </w:p>
        </w:tc>
        <w:tc>
          <w:tcPr>
            <w:tcW w:type="dxa" w:w="2340"/>
            <w:shd w:fill="F0F4F8"/>
          </w:tcPr>
          <w:p>
            <w:r/>
            <w:r>
              <w:rPr>
                <w:rFonts w:ascii="Calibri" w:hAnsi="Calibri"/>
                <w:sz w:val="20"/>
              </w:rPr>
              <w:t>INR 15L</w:t>
            </w:r>
          </w:p>
        </w:tc>
        <w:tc>
          <w:tcPr>
            <w:tcW w:type="dxa" w:w="2340"/>
            <w:shd w:fill="F0F4F8"/>
          </w:tcPr>
          <w:p>
            <w:r/>
            <w:r>
              <w:rPr>
                <w:rFonts w:ascii="Calibri" w:hAnsi="Calibri"/>
                <w:sz w:val="20"/>
              </w:rPr>
              <w:t>INR 1.5Cr</w:t>
            </w:r>
          </w:p>
        </w:tc>
      </w:tr>
      <w:tr>
        <w:tc>
          <w:tcPr>
            <w:tcW w:type="dxa" w:w="2340"/>
          </w:tcPr>
          <w:p>
            <w:r/>
            <w:r>
              <w:rPr>
                <w:rFonts w:ascii="Calibri" w:hAnsi="Calibri"/>
                <w:sz w:val="20"/>
              </w:rPr>
              <w:t>Corporate Partnerships</w:t>
            </w:r>
          </w:p>
        </w:tc>
        <w:tc>
          <w:tcPr>
            <w:tcW w:type="dxa" w:w="2340"/>
          </w:tcPr>
          <w:p>
            <w:r/>
            <w:r>
              <w:rPr>
                <w:rFonts w:ascii="Calibri" w:hAnsi="Calibri"/>
                <w:sz w:val="20"/>
              </w:rPr>
              <w:t>Sponsorships, hiring partnerships, branded events</w:t>
            </w:r>
          </w:p>
        </w:tc>
        <w:tc>
          <w:tcPr>
            <w:tcW w:type="dxa" w:w="2340"/>
          </w:tcPr>
          <w:p>
            <w:r/>
            <w:r>
              <w:rPr>
                <w:rFonts w:ascii="Calibri" w:hAnsi="Calibri"/>
                <w:sz w:val="20"/>
              </w:rPr>
              <w:t>INR 20L</w:t>
            </w:r>
          </w:p>
        </w:tc>
        <w:tc>
          <w:tcPr>
            <w:tcW w:type="dxa" w:w="2340"/>
          </w:tcPr>
          <w:p>
            <w:r/>
            <w:r>
              <w:rPr>
                <w:rFonts w:ascii="Calibri" w:hAnsi="Calibri"/>
                <w:sz w:val="20"/>
              </w:rPr>
              <w:t>INR 3Cr</w:t>
            </w:r>
          </w:p>
        </w:tc>
      </w:tr>
      <w:tr>
        <w:tc>
          <w:tcPr>
            <w:tcW w:type="dxa" w:w="2340"/>
            <w:shd w:fill="F0F4F8"/>
          </w:tcPr>
          <w:p>
            <w:r/>
            <w:r>
              <w:rPr>
                <w:rFonts w:ascii="Calibri" w:hAnsi="Calibri"/>
                <w:sz w:val="20"/>
              </w:rPr>
              <w:t>Job Board &amp; Recruiting</w:t>
            </w:r>
          </w:p>
        </w:tc>
        <w:tc>
          <w:tcPr>
            <w:tcW w:type="dxa" w:w="2340"/>
            <w:shd w:fill="F0F4F8"/>
          </w:tcPr>
          <w:p>
            <w:r/>
            <w:r>
              <w:rPr>
                <w:rFonts w:ascii="Calibri" w:hAnsi="Calibri"/>
                <w:sz w:val="20"/>
              </w:rPr>
              <w:t>Premium job listings, talent matching for companies</w:t>
            </w:r>
          </w:p>
        </w:tc>
        <w:tc>
          <w:tcPr>
            <w:tcW w:type="dxa" w:w="2340"/>
            <w:shd w:fill="F0F4F8"/>
          </w:tcPr>
          <w:p>
            <w:r/>
            <w:r>
              <w:rPr>
                <w:rFonts w:ascii="Calibri" w:hAnsi="Calibri"/>
                <w:sz w:val="20"/>
              </w:rPr>
              <w:t>INR 5L</w:t>
            </w:r>
          </w:p>
        </w:tc>
        <w:tc>
          <w:tcPr>
            <w:tcW w:type="dxa" w:w="2340"/>
            <w:shd w:fill="F0F4F8"/>
          </w:tcPr>
          <w:p>
            <w:r/>
            <w:r>
              <w:rPr>
                <w:rFonts w:ascii="Calibri" w:hAnsi="Calibri"/>
                <w:sz w:val="20"/>
              </w:rPr>
              <w:t>INR 75L</w:t>
            </w:r>
          </w:p>
        </w:tc>
      </w:tr>
      <w:tr>
        <w:tc>
          <w:tcPr>
            <w:tcW w:type="dxa" w:w="2340"/>
          </w:tcPr>
          <w:p>
            <w:r/>
            <w:r>
              <w:rPr>
                <w:rFonts w:ascii="Calibri" w:hAnsi="Calibri"/>
                <w:sz w:val="20"/>
              </w:rPr>
              <w:t>Digital Products</w:t>
            </w:r>
          </w:p>
        </w:tc>
        <w:tc>
          <w:tcPr>
            <w:tcW w:type="dxa" w:w="2340"/>
          </w:tcPr>
          <w:p>
            <w:r/>
            <w:r>
              <w:rPr>
                <w:rFonts w:ascii="Calibri" w:hAnsi="Calibri"/>
                <w:sz w:val="20"/>
              </w:rPr>
              <w:t>Courses, templates, design resources, certifications</w:t>
            </w:r>
          </w:p>
        </w:tc>
        <w:tc>
          <w:tcPr>
            <w:tcW w:type="dxa" w:w="2340"/>
          </w:tcPr>
          <w:p>
            <w:r/>
            <w:r>
              <w:rPr>
                <w:rFonts w:ascii="Calibri" w:hAnsi="Calibri"/>
                <w:sz w:val="20"/>
              </w:rPr>
              <w:t>INR 5L</w:t>
            </w:r>
          </w:p>
        </w:tc>
        <w:tc>
          <w:tcPr>
            <w:tcW w:type="dxa" w:w="2340"/>
          </w:tcPr>
          <w:p>
            <w:r/>
            <w:r>
              <w:rPr>
                <w:rFonts w:ascii="Calibri" w:hAnsi="Calibri"/>
                <w:sz w:val="20"/>
              </w:rPr>
              <w:t>INR 1Cr</w:t>
            </w:r>
          </w:p>
        </w:tc>
      </w:tr>
      <w:tr>
        <w:tc>
          <w:tcPr>
            <w:tcW w:type="dxa" w:w="2340"/>
            <w:shd w:fill="F0F4F8"/>
          </w:tcPr>
          <w:p>
            <w:r/>
            <w:r>
              <w:rPr>
                <w:rFonts w:ascii="Calibri" w:hAnsi="Calibri"/>
                <w:sz w:val="20"/>
              </w:rPr>
              <w:t>Total Projected</w:t>
            </w:r>
          </w:p>
        </w:tc>
        <w:tc>
          <w:tcPr>
            <w:tcW w:type="dxa" w:w="2340"/>
            <w:shd w:fill="F0F4F8"/>
          </w:tcPr>
          <w:p>
            <w:r/>
            <w:r>
              <w:rPr>
                <w:rFonts w:ascii="Calibri" w:hAnsi="Calibri"/>
                <w:sz w:val="20"/>
              </w:rPr>
            </w:r>
          </w:p>
        </w:tc>
        <w:tc>
          <w:tcPr>
            <w:tcW w:type="dxa" w:w="2340"/>
            <w:shd w:fill="F0F4F8"/>
          </w:tcPr>
          <w:p>
            <w:r/>
            <w:r>
              <w:rPr>
                <w:rFonts w:ascii="Calibri" w:hAnsi="Calibri"/>
                <w:sz w:val="20"/>
              </w:rPr>
              <w:t>INR 70L</w:t>
            </w:r>
          </w:p>
        </w:tc>
        <w:tc>
          <w:tcPr>
            <w:tcW w:type="dxa" w:w="2340"/>
            <w:shd w:fill="F0F4F8"/>
          </w:tcPr>
          <w:p>
            <w:r/>
            <w:r>
              <w:rPr>
                <w:rFonts w:ascii="Calibri" w:hAnsi="Calibri"/>
                <w:sz w:val="20"/>
              </w:rPr>
              <w:t>INR 8.25Cr</w:t>
            </w:r>
          </w:p>
        </w:tc>
      </w:tr>
    </w:tbl>
    <w:p>
      <w:pPr>
        <w:pStyle w:val="Heading2"/>
      </w:pPr>
      <w:r>
        <w:t>9.2 Corporate Partnership Model</w:t>
      </w:r>
    </w:p>
    <w:p>
      <w:pPr/>
      <w:r>
        <w:t>Design tool companies (Figma, Adobe, Sketch, Framer), tech companies with design teams, and design agencies represent the primary sponsorship pool. Partnership tiers should include:</w:t>
      </w:r>
    </w:p>
    <w:p>
      <w:pPr>
        <w:pStyle w:val="ListBullet"/>
      </w:pPr>
      <w:r>
        <w:rPr>
          <w:rFonts w:ascii="Calibri" w:hAnsi="Calibri"/>
          <w:b/>
          <w:sz w:val="22"/>
        </w:rPr>
        <w:t xml:space="preserve">Title Partner (INR 25L+/yr): </w:t>
      </w:r>
      <w:r>
        <w:t>Logo on all materials, keynote slot at conference, dedicated hiring events, content co-creation, exclusive member access.</w:t>
      </w:r>
    </w:p>
    <w:p>
      <w:pPr>
        <w:pStyle w:val="ListBullet"/>
      </w:pPr>
      <w:r>
        <w:rPr>
          <w:rFonts w:ascii="Calibri" w:hAnsi="Calibri"/>
          <w:b/>
          <w:sz w:val="22"/>
        </w:rPr>
        <w:t xml:space="preserve">Gold Partner (INR 10-15L/yr): </w:t>
      </w:r>
      <w:r>
        <w:t>Event sponsorship, workshop hosting, job board premium placement, branded content series.</w:t>
      </w:r>
    </w:p>
    <w:p>
      <w:pPr>
        <w:pStyle w:val="ListBullet"/>
      </w:pPr>
      <w:r>
        <w:rPr>
          <w:rFonts w:ascii="Calibri" w:hAnsi="Calibri"/>
          <w:b/>
          <w:sz w:val="22"/>
        </w:rPr>
        <w:t xml:space="preserve">Silver Partner (INR 5-10L/yr): </w:t>
      </w:r>
      <w:r>
        <w:t>Community shoutouts, event presence, job board access, member discount programs.</w:t>
      </w:r>
    </w:p>
    <w:p>
      <w:pPr>
        <w:pStyle w:val="ListBullet"/>
      </w:pPr>
      <w:r>
        <w:rPr>
          <w:rFonts w:ascii="Calibri" w:hAnsi="Calibri"/>
          <w:b/>
          <w:sz w:val="22"/>
        </w:rPr>
        <w:t xml:space="preserve">Tool Partner (In-kind): </w:t>
      </w:r>
      <w:r>
        <w:t>Free tool licenses for members in exchange for community exposure and case studies.</w:t>
      </w:r>
    </w:p>
    <w:p>
      <w:pPr>
        <w:pStyle w:val="Heading2"/>
      </w:pPr>
      <w:r>
        <w:t>9.3 Pricing Philosophy</w:t>
      </w:r>
    </w:p>
    <w:p>
      <w:pPr/>
      <w:r>
        <w:t>Price points must reflect Indian purchasing power while delivering perceived value that exceeds the cost. The INR 2,499/year Member tier works out to roughly INR 210/month - less than a Netflix subscription - for professional development, community access, and career advancement tools. Always anchor the value proposition in concrete outcomes: "Members report 30% faster job placement" or "Average salary increase of 20% within 12 months of active membership."</w:t>
      </w:r>
    </w:p>
    <w:p>
      <w:r>
        <w:br w:type="page"/>
      </w:r>
    </w:p>
    <w:p>
      <w:pPr>
        <w:pStyle w:val="Heading1"/>
      </w:pPr>
      <w:r>
        <w:t>10. Growth Roadmap: India to Global</w:t>
      </w:r>
    </w:p>
    <w:p>
      <w:pPr>
        <w:pStyle w:val="Heading2"/>
      </w:pPr>
      <w:r>
        <w:t>10.1 Phase-wise Growth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Phase</w:t>
            </w:r>
          </w:p>
        </w:tc>
        <w:tc>
          <w:tcPr>
            <w:tcW w:type="dxa" w:w="2340"/>
            <w:shd w:fill="1A1A2E"/>
          </w:tcPr>
          <w:p>
            <w:pPr>
              <w:jc w:val="center"/>
            </w:pPr>
            <w:r/>
            <w:r>
              <w:rPr>
                <w:rFonts w:ascii="Calibri" w:hAnsi="Calibri"/>
                <w:b/>
                <w:color w:val="FFFFFF"/>
                <w:sz w:val="20"/>
              </w:rPr>
              <w:t>Timeline</w:t>
            </w:r>
          </w:p>
        </w:tc>
        <w:tc>
          <w:tcPr>
            <w:tcW w:type="dxa" w:w="2340"/>
            <w:shd w:fill="1A1A2E"/>
          </w:tcPr>
          <w:p>
            <w:pPr>
              <w:jc w:val="center"/>
            </w:pPr>
            <w:r/>
            <w:r>
              <w:rPr>
                <w:rFonts w:ascii="Calibri" w:hAnsi="Calibri"/>
                <w:b/>
                <w:color w:val="FFFFFF"/>
                <w:sz w:val="20"/>
              </w:rPr>
              <w:t>Focus</w:t>
            </w:r>
          </w:p>
        </w:tc>
        <w:tc>
          <w:tcPr>
            <w:tcW w:type="dxa" w:w="2340"/>
            <w:shd w:fill="1A1A2E"/>
          </w:tcPr>
          <w:p>
            <w:pPr>
              <w:jc w:val="center"/>
            </w:pPr>
            <w:r/>
            <w:r>
              <w:rPr>
                <w:rFonts w:ascii="Calibri" w:hAnsi="Calibri"/>
                <w:b/>
                <w:color w:val="FFFFFF"/>
                <w:sz w:val="20"/>
              </w:rPr>
              <w:t>Key Milestones</w:t>
            </w:r>
          </w:p>
        </w:tc>
      </w:tr>
      <w:tr>
        <w:tc>
          <w:tcPr>
            <w:tcW w:type="dxa" w:w="2340"/>
          </w:tcPr>
          <w:p>
            <w:r/>
            <w:r>
              <w:rPr>
                <w:rFonts w:ascii="Calibri" w:hAnsi="Calibri"/>
                <w:sz w:val="20"/>
              </w:rPr>
              <w:t>Foundation</w:t>
            </w:r>
          </w:p>
        </w:tc>
        <w:tc>
          <w:tcPr>
            <w:tcW w:type="dxa" w:w="2340"/>
          </w:tcPr>
          <w:p>
            <w:r/>
            <w:r>
              <w:rPr>
                <w:rFonts w:ascii="Calibri" w:hAnsi="Calibri"/>
                <w:sz w:val="20"/>
              </w:rPr>
              <w:t>Months 1-6</w:t>
            </w:r>
          </w:p>
        </w:tc>
        <w:tc>
          <w:tcPr>
            <w:tcW w:type="dxa" w:w="2340"/>
          </w:tcPr>
          <w:p>
            <w:r/>
            <w:r>
              <w:rPr>
                <w:rFonts w:ascii="Calibri" w:hAnsi="Calibri"/>
                <w:sz w:val="20"/>
              </w:rPr>
              <w:t>Build core team, launch in Bangalore + Mumbai, establish online platform</w:t>
            </w:r>
          </w:p>
        </w:tc>
        <w:tc>
          <w:tcPr>
            <w:tcW w:type="dxa" w:w="2340"/>
          </w:tcPr>
          <w:p>
            <w:r/>
            <w:r>
              <w:rPr>
                <w:rFonts w:ascii="Calibri" w:hAnsi="Calibri"/>
                <w:sz w:val="20"/>
              </w:rPr>
              <w:t>1,000 members, 10 events, platform live</w:t>
            </w:r>
          </w:p>
        </w:tc>
      </w:tr>
      <w:tr>
        <w:tc>
          <w:tcPr>
            <w:tcW w:type="dxa" w:w="2340"/>
            <w:shd w:fill="F0F4F8"/>
          </w:tcPr>
          <w:p>
            <w:r/>
            <w:r>
              <w:rPr>
                <w:rFonts w:ascii="Calibri" w:hAnsi="Calibri"/>
                <w:sz w:val="20"/>
              </w:rPr>
              <w:t>Expansion</w:t>
            </w:r>
          </w:p>
        </w:tc>
        <w:tc>
          <w:tcPr>
            <w:tcW w:type="dxa" w:w="2340"/>
            <w:shd w:fill="F0F4F8"/>
          </w:tcPr>
          <w:p>
            <w:r/>
            <w:r>
              <w:rPr>
                <w:rFonts w:ascii="Calibri" w:hAnsi="Calibri"/>
                <w:sz w:val="20"/>
              </w:rPr>
              <w:t>Months 6-12</w:t>
            </w:r>
          </w:p>
        </w:tc>
        <w:tc>
          <w:tcPr>
            <w:tcW w:type="dxa" w:w="2340"/>
            <w:shd w:fill="F0F4F8"/>
          </w:tcPr>
          <w:p>
            <w:r/>
            <w:r>
              <w:rPr>
                <w:rFonts w:ascii="Calibri" w:hAnsi="Calibri"/>
                <w:sz w:val="20"/>
              </w:rPr>
              <w:t>Add 3 more cities, launch membership tiers, first corporate partnerships</w:t>
            </w:r>
          </w:p>
        </w:tc>
        <w:tc>
          <w:tcPr>
            <w:tcW w:type="dxa" w:w="2340"/>
            <w:shd w:fill="F0F4F8"/>
          </w:tcPr>
          <w:p>
            <w:r/>
            <w:r>
              <w:rPr>
                <w:rFonts w:ascii="Calibri" w:hAnsi="Calibri"/>
                <w:sz w:val="20"/>
              </w:rPr>
              <w:t>5,000 members, 30+ events, INR 30L revenue</w:t>
            </w:r>
          </w:p>
        </w:tc>
      </w:tr>
      <w:tr>
        <w:tc>
          <w:tcPr>
            <w:tcW w:type="dxa" w:w="2340"/>
          </w:tcPr>
          <w:p>
            <w:r/>
            <w:r>
              <w:rPr>
                <w:rFonts w:ascii="Calibri" w:hAnsi="Calibri"/>
                <w:sz w:val="20"/>
              </w:rPr>
              <w:t>Scale India</w:t>
            </w:r>
          </w:p>
        </w:tc>
        <w:tc>
          <w:tcPr>
            <w:tcW w:type="dxa" w:w="2340"/>
          </w:tcPr>
          <w:p>
            <w:r/>
            <w:r>
              <w:rPr>
                <w:rFonts w:ascii="Calibri" w:hAnsi="Calibri"/>
                <w:sz w:val="20"/>
              </w:rPr>
              <w:t>Year 2</w:t>
            </w:r>
          </w:p>
        </w:tc>
        <w:tc>
          <w:tcPr>
            <w:tcW w:type="dxa" w:w="2340"/>
          </w:tcPr>
          <w:p>
            <w:r/>
            <w:r>
              <w:rPr>
                <w:rFonts w:ascii="Calibri" w:hAnsi="Calibri"/>
                <w:sz w:val="20"/>
              </w:rPr>
              <w:t>Cover 8-10 cities, first national conference, launch learning platform</w:t>
            </w:r>
          </w:p>
        </w:tc>
        <w:tc>
          <w:tcPr>
            <w:tcW w:type="dxa" w:w="2340"/>
          </w:tcPr>
          <w:p>
            <w:r/>
            <w:r>
              <w:rPr>
                <w:rFonts w:ascii="Calibri" w:hAnsi="Calibri"/>
                <w:sz w:val="20"/>
              </w:rPr>
              <w:t>20,000 members, 100+ events, INR 2Cr revenue</w:t>
            </w:r>
          </w:p>
        </w:tc>
      </w:tr>
      <w:tr>
        <w:tc>
          <w:tcPr>
            <w:tcW w:type="dxa" w:w="2340"/>
            <w:shd w:fill="F0F4F8"/>
          </w:tcPr>
          <w:p>
            <w:r/>
            <w:r>
              <w:rPr>
                <w:rFonts w:ascii="Calibri" w:hAnsi="Calibri"/>
                <w:sz w:val="20"/>
              </w:rPr>
              <w:t>Regional</w:t>
            </w:r>
          </w:p>
        </w:tc>
        <w:tc>
          <w:tcPr>
            <w:tcW w:type="dxa" w:w="2340"/>
            <w:shd w:fill="F0F4F8"/>
          </w:tcPr>
          <w:p>
            <w:r/>
            <w:r>
              <w:rPr>
                <w:rFonts w:ascii="Calibri" w:hAnsi="Calibri"/>
                <w:sz w:val="20"/>
              </w:rPr>
              <w:t>Year 3</w:t>
            </w:r>
          </w:p>
        </w:tc>
        <w:tc>
          <w:tcPr>
            <w:tcW w:type="dxa" w:w="2340"/>
            <w:shd w:fill="F0F4F8"/>
          </w:tcPr>
          <w:p>
            <w:r/>
            <w:r>
              <w:rPr>
                <w:rFonts w:ascii="Calibri" w:hAnsi="Calibri"/>
                <w:sz w:val="20"/>
              </w:rPr>
              <w:t>Expand to SE Asia (Singapore, Indonesia), Middle East (Dubai)</w:t>
            </w:r>
          </w:p>
        </w:tc>
        <w:tc>
          <w:tcPr>
            <w:tcW w:type="dxa" w:w="2340"/>
            <w:shd w:fill="F0F4F8"/>
          </w:tcPr>
          <w:p>
            <w:r/>
            <w:r>
              <w:rPr>
                <w:rFonts w:ascii="Calibri" w:hAnsi="Calibri"/>
                <w:sz w:val="20"/>
              </w:rPr>
              <w:t>50,000 members, international chapters, INR 8Cr revenue</w:t>
            </w:r>
          </w:p>
        </w:tc>
      </w:tr>
      <w:tr>
        <w:tc>
          <w:tcPr>
            <w:tcW w:type="dxa" w:w="2340"/>
          </w:tcPr>
          <w:p>
            <w:r/>
            <w:r>
              <w:rPr>
                <w:rFonts w:ascii="Calibri" w:hAnsi="Calibri"/>
                <w:sz w:val="20"/>
              </w:rPr>
              <w:t>Global</w:t>
            </w:r>
          </w:p>
        </w:tc>
        <w:tc>
          <w:tcPr>
            <w:tcW w:type="dxa" w:w="2340"/>
          </w:tcPr>
          <w:p>
            <w:r/>
            <w:r>
              <w:rPr>
                <w:rFonts w:ascii="Calibri" w:hAnsi="Calibri"/>
                <w:sz w:val="20"/>
              </w:rPr>
              <w:t>Year 4-5</w:t>
            </w:r>
          </w:p>
        </w:tc>
        <w:tc>
          <w:tcPr>
            <w:tcW w:type="dxa" w:w="2340"/>
          </w:tcPr>
          <w:p>
            <w:r/>
            <w:r>
              <w:rPr>
                <w:rFonts w:ascii="Calibri" w:hAnsi="Calibri"/>
                <w:sz w:val="20"/>
              </w:rPr>
              <w:t>Chapters in 10+ countries, become the "AIGA of Asia"</w:t>
            </w:r>
          </w:p>
        </w:tc>
        <w:tc>
          <w:tcPr>
            <w:tcW w:type="dxa" w:w="2340"/>
          </w:tcPr>
          <w:p>
            <w:r/>
            <w:r>
              <w:rPr>
                <w:rFonts w:ascii="Calibri" w:hAnsi="Calibri"/>
                <w:sz w:val="20"/>
              </w:rPr>
              <w:t>100,000+ members, global brand recognition</w:t>
            </w:r>
          </w:p>
        </w:tc>
      </w:tr>
    </w:tbl>
    <w:p>
      <w:pPr>
        <w:pStyle w:val="Heading2"/>
      </w:pPr>
      <w:r>
        <w:t>10.2 Global Expansion Strategy</w:t>
      </w:r>
    </w:p>
    <w:p>
      <w:pPr/>
      <w:r>
        <w:t>The playbook that works in India can be adapted for similar emerging design markets:</w:t>
      </w:r>
    </w:p>
    <w:p>
      <w:pPr>
        <w:pStyle w:val="ListBullet"/>
      </w:pPr>
      <w:r>
        <w:rPr>
          <w:rFonts w:ascii="Calibri" w:hAnsi="Calibri"/>
          <w:b/>
          <w:sz w:val="22"/>
        </w:rPr>
        <w:t xml:space="preserve">Southeast Asia (Year 3): </w:t>
      </w:r>
      <w:r>
        <w:t>Singapore (design hub), Indonesia (largest SE Asian market), Vietnam (growing tech scene). Leverage India's diaspora connections and shared challenges around emerging market design.</w:t>
      </w:r>
    </w:p>
    <w:p>
      <w:pPr>
        <w:pStyle w:val="ListBullet"/>
      </w:pPr>
      <w:r>
        <w:rPr>
          <w:rFonts w:ascii="Calibri" w:hAnsi="Calibri"/>
          <w:b/>
          <w:sz w:val="22"/>
        </w:rPr>
        <w:t xml:space="preserve">Middle East (Year 3): </w:t>
      </w:r>
      <w:r>
        <w:t>Dubai and Riyadh have booming tech sectors and large Indian designer populations. Partner with local design events and co-working spaces.</w:t>
      </w:r>
    </w:p>
    <w:p>
      <w:pPr>
        <w:pStyle w:val="ListBullet"/>
      </w:pPr>
      <w:r>
        <w:rPr>
          <w:rFonts w:ascii="Calibri" w:hAnsi="Calibri"/>
          <w:b/>
          <w:sz w:val="22"/>
        </w:rPr>
        <w:t xml:space="preserve">Africa (Year 4): </w:t>
      </w:r>
      <w:r>
        <w:t>Lagos, Nairobi, and Cape Town have growing design communities with similar "fragmented ecosystem" problems. The India model can be directly replicated.</w:t>
      </w:r>
    </w:p>
    <w:p>
      <w:pPr>
        <w:pStyle w:val="ListBullet"/>
      </w:pPr>
      <w:r>
        <w:rPr>
          <w:rFonts w:ascii="Calibri" w:hAnsi="Calibri"/>
          <w:b/>
          <w:sz w:val="22"/>
        </w:rPr>
        <w:t xml:space="preserve">Latin America (Year 5): </w:t>
      </w:r>
      <w:r>
        <w:t>Sao Paulo, Mexico City, and Buenos Aires represent similar opportunities in large emerging markets.</w:t>
      </w:r>
    </w:p>
    <w:p>
      <w:pPr>
        <w:pStyle w:val="Heading2"/>
      </w:pPr>
      <w:r>
        <w:t>10.3 Content &amp; Engagement Flywheel</w:t>
      </w:r>
    </w:p>
    <w:p>
      <w:pPr/>
      <w:r>
        <w:t>Sustained growth depends on a content flywheel: community members create content (case studies, talks, portfolio showcases) that attracts new members, who in turn create more content. The community team's job is to facilitate and amplify this cycle through editorial support, content frameworks, and recognition programs.</w:t>
      </w:r>
    </w:p>
    <w:p>
      <w:r>
        <w:br w:type="page"/>
      </w:r>
    </w:p>
    <w:p>
      <w:pPr>
        <w:pStyle w:val="Heading1"/>
      </w:pPr>
      <w:r>
        <w:t>11. Differentiation Framework</w:t>
      </w:r>
    </w:p>
    <w:p>
      <w:pPr/>
      <w:r>
        <w:t>To win in a market with established players, the RPS Design Community must differentiate sharply on multiple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
              <w:rPr>
                <w:rFonts w:ascii="Calibri" w:hAnsi="Calibri"/>
                <w:b/>
                <w:color w:val="FFFFFF"/>
                <w:sz w:val="20"/>
              </w:rPr>
              <w:t>Dimension</w:t>
            </w:r>
          </w:p>
        </w:tc>
        <w:tc>
          <w:tcPr>
            <w:tcW w:type="dxa" w:w="3120"/>
            <w:shd w:fill="1A1A2E"/>
          </w:tcPr>
          <w:p>
            <w:pPr>
              <w:jc w:val="center"/>
            </w:pPr>
            <w:r/>
            <w:r>
              <w:rPr>
                <w:rFonts w:ascii="Calibri" w:hAnsi="Calibri"/>
                <w:b/>
                <w:color w:val="FFFFFF"/>
                <w:sz w:val="20"/>
              </w:rPr>
              <w:t>Competitors</w:t>
            </w:r>
          </w:p>
        </w:tc>
        <w:tc>
          <w:tcPr>
            <w:tcW w:type="dxa" w:w="3120"/>
            <w:shd w:fill="1A1A2E"/>
          </w:tcPr>
          <w:p>
            <w:pPr>
              <w:jc w:val="center"/>
            </w:pPr>
            <w:r/>
            <w:r>
              <w:rPr>
                <w:rFonts w:ascii="Calibri" w:hAnsi="Calibri"/>
                <w:b/>
                <w:color w:val="FFFFFF"/>
                <w:sz w:val="20"/>
              </w:rPr>
              <w:t>RPS Design Community</w:t>
            </w:r>
          </w:p>
        </w:tc>
      </w:tr>
      <w:tr>
        <w:tc>
          <w:tcPr>
            <w:tcW w:type="dxa" w:w="3120"/>
          </w:tcPr>
          <w:p>
            <w:r/>
            <w:r>
              <w:rPr>
                <w:rFonts w:ascii="Calibri" w:hAnsi="Calibri"/>
                <w:sz w:val="20"/>
              </w:rPr>
              <w:t>Tool Agnostic</w:t>
            </w:r>
          </w:p>
        </w:tc>
        <w:tc>
          <w:tcPr>
            <w:tcW w:type="dxa" w:w="3120"/>
          </w:tcPr>
          <w:p>
            <w:r/>
            <w:r>
              <w:rPr>
                <w:rFonts w:ascii="Calibri" w:hAnsi="Calibri"/>
                <w:sz w:val="20"/>
              </w:rPr>
              <w:t>FoF is Figma-only; Behance is Adobe-only</w:t>
            </w:r>
          </w:p>
        </w:tc>
        <w:tc>
          <w:tcPr>
            <w:tcW w:type="dxa" w:w="3120"/>
          </w:tcPr>
          <w:p>
            <w:r/>
            <w:r>
              <w:rPr>
                <w:rFonts w:ascii="Calibri" w:hAnsi="Calibri"/>
                <w:sz w:val="20"/>
              </w:rPr>
              <w:t>Welcome all designers regardless of tools used</w:t>
            </w:r>
          </w:p>
        </w:tc>
      </w:tr>
      <w:tr>
        <w:tc>
          <w:tcPr>
            <w:tcW w:type="dxa" w:w="3120"/>
            <w:shd w:fill="F0F4F8"/>
          </w:tcPr>
          <w:p>
            <w:r/>
            <w:r>
              <w:rPr>
                <w:rFonts w:ascii="Calibri" w:hAnsi="Calibri"/>
                <w:sz w:val="20"/>
              </w:rPr>
              <w:t>Year-Round Value</w:t>
            </w:r>
          </w:p>
        </w:tc>
        <w:tc>
          <w:tcPr>
            <w:tcW w:type="dxa" w:w="3120"/>
            <w:shd w:fill="F0F4F8"/>
          </w:tcPr>
          <w:p>
            <w:r/>
            <w:r>
              <w:rPr>
                <w:rFonts w:ascii="Calibri" w:hAnsi="Calibri"/>
                <w:sz w:val="20"/>
              </w:rPr>
              <w:t>UXINDIA/DesignUp are annual events</w:t>
            </w:r>
          </w:p>
        </w:tc>
        <w:tc>
          <w:tcPr>
            <w:tcW w:type="dxa" w:w="3120"/>
            <w:shd w:fill="F0F4F8"/>
          </w:tcPr>
          <w:p>
            <w:r/>
            <w:r>
              <w:rPr>
                <w:rFonts w:ascii="Calibri" w:hAnsi="Calibri"/>
                <w:sz w:val="20"/>
              </w:rPr>
              <w:t>Weekly content, monthly meetups, daily community engagement</w:t>
            </w:r>
          </w:p>
        </w:tc>
      </w:tr>
      <w:tr>
        <w:tc>
          <w:tcPr>
            <w:tcW w:type="dxa" w:w="3120"/>
          </w:tcPr>
          <w:p>
            <w:r/>
            <w:r>
              <w:rPr>
                <w:rFonts w:ascii="Calibri" w:hAnsi="Calibri"/>
                <w:sz w:val="20"/>
              </w:rPr>
              <w:t>Career Outcomes</w:t>
            </w:r>
          </w:p>
        </w:tc>
        <w:tc>
          <w:tcPr>
            <w:tcW w:type="dxa" w:w="3120"/>
          </w:tcPr>
          <w:p>
            <w:r/>
            <w:r>
              <w:rPr>
                <w:rFonts w:ascii="Calibri" w:hAnsi="Calibri"/>
                <w:sz w:val="20"/>
              </w:rPr>
              <w:t>Most communities focus on inspiration</w:t>
            </w:r>
          </w:p>
        </w:tc>
        <w:tc>
          <w:tcPr>
            <w:tcW w:type="dxa" w:w="3120"/>
          </w:tcPr>
          <w:p>
            <w:r/>
            <w:r>
              <w:rPr>
                <w:rFonts w:ascii="Calibri" w:hAnsi="Calibri"/>
                <w:sz w:val="20"/>
              </w:rPr>
              <w:t>Structured career paths, salary data, job placement, mentorship</w:t>
            </w:r>
          </w:p>
        </w:tc>
      </w:tr>
      <w:tr>
        <w:tc>
          <w:tcPr>
            <w:tcW w:type="dxa" w:w="3120"/>
            <w:shd w:fill="F0F4F8"/>
          </w:tcPr>
          <w:p>
            <w:r/>
            <w:r>
              <w:rPr>
                <w:rFonts w:ascii="Calibri" w:hAnsi="Calibri"/>
                <w:sz w:val="20"/>
              </w:rPr>
              <w:t>India-Specific Content</w:t>
            </w:r>
          </w:p>
        </w:tc>
        <w:tc>
          <w:tcPr>
            <w:tcW w:type="dxa" w:w="3120"/>
            <w:shd w:fill="F0F4F8"/>
          </w:tcPr>
          <w:p>
            <w:r/>
            <w:r>
              <w:rPr>
                <w:rFonts w:ascii="Calibri" w:hAnsi="Calibri"/>
                <w:sz w:val="20"/>
              </w:rPr>
              <w:t>Global communities ignore local context</w:t>
            </w:r>
          </w:p>
        </w:tc>
        <w:tc>
          <w:tcPr>
            <w:tcW w:type="dxa" w:w="3120"/>
            <w:shd w:fill="F0F4F8"/>
          </w:tcPr>
          <w:p>
            <w:r/>
            <w:r>
              <w:rPr>
                <w:rFonts w:ascii="Calibri" w:hAnsi="Calibri"/>
                <w:sz w:val="20"/>
              </w:rPr>
              <w:t>Indian case studies, INR salary benchmarks, local design challenges</w:t>
            </w:r>
          </w:p>
        </w:tc>
      </w:tr>
      <w:tr>
        <w:tc>
          <w:tcPr>
            <w:tcW w:type="dxa" w:w="3120"/>
          </w:tcPr>
          <w:p>
            <w:r/>
            <w:r>
              <w:rPr>
                <w:rFonts w:ascii="Calibri" w:hAnsi="Calibri"/>
                <w:sz w:val="20"/>
              </w:rPr>
              <w:t>Tier-2 City Access</w:t>
            </w:r>
          </w:p>
        </w:tc>
        <w:tc>
          <w:tcPr>
            <w:tcW w:type="dxa" w:w="3120"/>
          </w:tcPr>
          <w:p>
            <w:r/>
            <w:r>
              <w:rPr>
                <w:rFonts w:ascii="Calibri" w:hAnsi="Calibri"/>
                <w:sz w:val="20"/>
              </w:rPr>
              <w:t>Everyone focuses on Bangalore/Mumbai</w:t>
            </w:r>
          </w:p>
        </w:tc>
        <w:tc>
          <w:tcPr>
            <w:tcW w:type="dxa" w:w="3120"/>
          </w:tcPr>
          <w:p>
            <w:r/>
            <w:r>
              <w:rPr>
                <w:rFonts w:ascii="Calibri" w:hAnsi="Calibri"/>
                <w:sz w:val="20"/>
              </w:rPr>
              <w:t>Active chapters in 10+ cities including tier-2</w:t>
            </w:r>
          </w:p>
        </w:tc>
      </w:tr>
      <w:tr>
        <w:tc>
          <w:tcPr>
            <w:tcW w:type="dxa" w:w="3120"/>
            <w:shd w:fill="F0F4F8"/>
          </w:tcPr>
          <w:p>
            <w:r/>
            <w:r>
              <w:rPr>
                <w:rFonts w:ascii="Calibri" w:hAnsi="Calibri"/>
                <w:sz w:val="20"/>
              </w:rPr>
              <w:t>Hybrid Model</w:t>
            </w:r>
          </w:p>
        </w:tc>
        <w:tc>
          <w:tcPr>
            <w:tcW w:type="dxa" w:w="3120"/>
            <w:shd w:fill="F0F4F8"/>
          </w:tcPr>
          <w:p>
            <w:r/>
            <w:r>
              <w:rPr>
                <w:rFonts w:ascii="Calibri" w:hAnsi="Calibri"/>
                <w:sz w:val="20"/>
              </w:rPr>
              <w:t>Online-only OR event-only models</w:t>
            </w:r>
          </w:p>
        </w:tc>
        <w:tc>
          <w:tcPr>
            <w:tcW w:type="dxa" w:w="3120"/>
            <w:shd w:fill="F0F4F8"/>
          </w:tcPr>
          <w:p>
            <w:r/>
            <w:r>
              <w:rPr>
                <w:rFonts w:ascii="Calibri" w:hAnsi="Calibri"/>
                <w:sz w:val="20"/>
              </w:rPr>
              <w:t>Seamless integration of online platform + city meetups + national conference</w:t>
            </w:r>
          </w:p>
        </w:tc>
      </w:tr>
      <w:tr>
        <w:tc>
          <w:tcPr>
            <w:tcW w:type="dxa" w:w="3120"/>
          </w:tcPr>
          <w:p>
            <w:r/>
            <w:r>
              <w:rPr>
                <w:rFonts w:ascii="Calibri" w:hAnsi="Calibri"/>
                <w:sz w:val="20"/>
              </w:rPr>
              <w:t>Sustainable Business</w:t>
            </w:r>
          </w:p>
        </w:tc>
        <w:tc>
          <w:tcPr>
            <w:tcW w:type="dxa" w:w="3120"/>
          </w:tcPr>
          <w:p>
            <w:r/>
            <w:r>
              <w:rPr>
                <w:rFonts w:ascii="Calibri" w:hAnsi="Calibri"/>
                <w:sz w:val="20"/>
              </w:rPr>
              <w:t>Volunteer-dependent or sponsor-dependent</w:t>
            </w:r>
          </w:p>
        </w:tc>
        <w:tc>
          <w:tcPr>
            <w:tcW w:type="dxa" w:w="3120"/>
          </w:tcPr>
          <w:p>
            <w:r/>
            <w:r>
              <w:rPr>
                <w:rFonts w:ascii="Calibri" w:hAnsi="Calibri"/>
                <w:sz w:val="20"/>
              </w:rPr>
              <w:t>Diversified revenue from memberships, events, partnerships, and products</w:t>
            </w:r>
          </w:p>
        </w:tc>
      </w:tr>
      <w:tr>
        <w:tc>
          <w:tcPr>
            <w:tcW w:type="dxa" w:w="3120"/>
            <w:shd w:fill="F0F4F8"/>
          </w:tcPr>
          <w:p>
            <w:r/>
            <w:r>
              <w:rPr>
                <w:rFonts w:ascii="Calibri" w:hAnsi="Calibri"/>
                <w:sz w:val="20"/>
              </w:rPr>
              <w:t>Student Pipeline</w:t>
            </w:r>
          </w:p>
        </w:tc>
        <w:tc>
          <w:tcPr>
            <w:tcW w:type="dxa" w:w="3120"/>
            <w:shd w:fill="F0F4F8"/>
          </w:tcPr>
          <w:p>
            <w:r/>
            <w:r>
              <w:rPr>
                <w:rFonts w:ascii="Calibri" w:hAnsi="Calibri"/>
                <w:sz w:val="20"/>
              </w:rPr>
              <w:t>Limited student engagement</w:t>
            </w:r>
          </w:p>
        </w:tc>
        <w:tc>
          <w:tcPr>
            <w:tcW w:type="dxa" w:w="3120"/>
            <w:shd w:fill="F0F4F8"/>
          </w:tcPr>
          <w:p>
            <w:r/>
            <w:r>
              <w:rPr>
                <w:rFonts w:ascii="Calibri" w:hAnsi="Calibri"/>
                <w:sz w:val="20"/>
              </w:rPr>
              <w:t>Campus ambassador program, student tier, internship board, college partnerships</w:t>
            </w:r>
          </w:p>
        </w:tc>
      </w:tr>
    </w:tbl>
    <w:p>
      <w:r>
        <w:br w:type="page"/>
      </w:r>
    </w:p>
    <w:p>
      <w:pPr>
        <w:pStyle w:val="Heading1"/>
      </w:pPr>
      <w:r>
        <w:t>12. Risk Analysis &amp;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
              <w:rPr>
                <w:rFonts w:ascii="Calibri" w:hAnsi="Calibri"/>
                <w:b/>
                <w:color w:val="FFFFFF"/>
                <w:sz w:val="20"/>
              </w:rPr>
              <w:t>Risk</w:t>
            </w:r>
          </w:p>
        </w:tc>
        <w:tc>
          <w:tcPr>
            <w:tcW w:type="dxa" w:w="2340"/>
            <w:shd w:fill="1A1A2E"/>
          </w:tcPr>
          <w:p>
            <w:pPr>
              <w:jc w:val="center"/>
            </w:pPr>
            <w:r/>
            <w:r>
              <w:rPr>
                <w:rFonts w:ascii="Calibri" w:hAnsi="Calibri"/>
                <w:b/>
                <w:color w:val="FFFFFF"/>
                <w:sz w:val="20"/>
              </w:rPr>
              <w:t>Probability</w:t>
            </w:r>
          </w:p>
        </w:tc>
        <w:tc>
          <w:tcPr>
            <w:tcW w:type="dxa" w:w="2340"/>
            <w:shd w:fill="1A1A2E"/>
          </w:tcPr>
          <w:p>
            <w:pPr>
              <w:jc w:val="center"/>
            </w:pPr>
            <w:r/>
            <w:r>
              <w:rPr>
                <w:rFonts w:ascii="Calibri" w:hAnsi="Calibri"/>
                <w:b/>
                <w:color w:val="FFFFFF"/>
                <w:sz w:val="20"/>
              </w:rPr>
              <w:t>Impact</w:t>
            </w:r>
          </w:p>
        </w:tc>
        <w:tc>
          <w:tcPr>
            <w:tcW w:type="dxa" w:w="2340"/>
            <w:shd w:fill="1A1A2E"/>
          </w:tcPr>
          <w:p>
            <w:pPr>
              <w:jc w:val="center"/>
            </w:pPr>
            <w:r/>
            <w:r>
              <w:rPr>
                <w:rFonts w:ascii="Calibri" w:hAnsi="Calibri"/>
                <w:b/>
                <w:color w:val="FFFFFF"/>
                <w:sz w:val="20"/>
              </w:rPr>
              <w:t>Mitigation Strategy</w:t>
            </w:r>
          </w:p>
        </w:tc>
      </w:tr>
      <w:tr>
        <w:tc>
          <w:tcPr>
            <w:tcW w:type="dxa" w:w="2340"/>
          </w:tcPr>
          <w:p>
            <w:r/>
            <w:r>
              <w:rPr>
                <w:rFonts w:ascii="Calibri" w:hAnsi="Calibri"/>
                <w:sz w:val="20"/>
              </w:rPr>
              <w:t>Volunteer burnout in chapter leads</w:t>
            </w:r>
          </w:p>
        </w:tc>
        <w:tc>
          <w:tcPr>
            <w:tcW w:type="dxa" w:w="2340"/>
          </w:tcPr>
          <w:p>
            <w:r/>
            <w:r>
              <w:rPr>
                <w:rFonts w:ascii="Calibri" w:hAnsi="Calibri"/>
                <w:sz w:val="20"/>
              </w:rPr>
              <w:t>High</w:t>
            </w:r>
          </w:p>
        </w:tc>
        <w:tc>
          <w:tcPr>
            <w:tcW w:type="dxa" w:w="2340"/>
          </w:tcPr>
          <w:p>
            <w:r/>
            <w:r>
              <w:rPr>
                <w:rFonts w:ascii="Calibri" w:hAnsi="Calibri"/>
                <w:sz w:val="20"/>
              </w:rPr>
              <w:t>High</w:t>
            </w:r>
          </w:p>
        </w:tc>
        <w:tc>
          <w:tcPr>
            <w:tcW w:type="dxa" w:w="2340"/>
          </w:tcPr>
          <w:p>
            <w:r/>
            <w:r>
              <w:rPr>
                <w:rFonts w:ascii="Calibri" w:hAnsi="Calibri"/>
                <w:sz w:val="20"/>
              </w:rPr>
              <w:t>Pay chapter leads stipends, provide operational support, rotate responsibilities, recognize contributions publicly</w:t>
            </w:r>
          </w:p>
        </w:tc>
      </w:tr>
      <w:tr>
        <w:tc>
          <w:tcPr>
            <w:tcW w:type="dxa" w:w="2340"/>
            <w:shd w:fill="F0F4F8"/>
          </w:tcPr>
          <w:p>
            <w:r/>
            <w:r>
              <w:rPr>
                <w:rFonts w:ascii="Calibri" w:hAnsi="Calibri"/>
                <w:sz w:val="20"/>
              </w:rPr>
              <w:t>Low paid conversion rate</w:t>
            </w:r>
          </w:p>
        </w:tc>
        <w:tc>
          <w:tcPr>
            <w:tcW w:type="dxa" w:w="2340"/>
            <w:shd w:fill="F0F4F8"/>
          </w:tcPr>
          <w:p>
            <w:r/>
            <w:r>
              <w:rPr>
                <w:rFonts w:ascii="Calibri" w:hAnsi="Calibri"/>
                <w:sz w:val="20"/>
              </w:rPr>
              <w:t>Medium</w:t>
            </w:r>
          </w:p>
        </w:tc>
        <w:tc>
          <w:tcPr>
            <w:tcW w:type="dxa" w:w="2340"/>
            <w:shd w:fill="F0F4F8"/>
          </w:tcPr>
          <w:p>
            <w:r/>
            <w:r>
              <w:rPr>
                <w:rFonts w:ascii="Calibri" w:hAnsi="Calibri"/>
                <w:sz w:val="20"/>
              </w:rPr>
              <w:t>High</w:t>
            </w:r>
          </w:p>
        </w:tc>
        <w:tc>
          <w:tcPr>
            <w:tcW w:type="dxa" w:w="2340"/>
            <w:shd w:fill="F0F4F8"/>
          </w:tcPr>
          <w:p>
            <w:r/>
            <w:r>
              <w:rPr>
                <w:rFonts w:ascii="Calibri" w:hAnsi="Calibri"/>
                <w:sz w:val="20"/>
              </w:rPr>
              <w:t>Ensure free tier is valuable but paid tier is irresistible; use social proof and testimonials; offer money-back guarantee</w:t>
            </w:r>
          </w:p>
        </w:tc>
      </w:tr>
      <w:tr>
        <w:tc>
          <w:tcPr>
            <w:tcW w:type="dxa" w:w="2340"/>
          </w:tcPr>
          <w:p>
            <w:r/>
            <w:r>
              <w:rPr>
                <w:rFonts w:ascii="Calibri" w:hAnsi="Calibri"/>
                <w:sz w:val="20"/>
              </w:rPr>
              <w:t>Competition from Figma/Adobe communities</w:t>
            </w:r>
          </w:p>
        </w:tc>
        <w:tc>
          <w:tcPr>
            <w:tcW w:type="dxa" w:w="2340"/>
          </w:tcPr>
          <w:p>
            <w:r/>
            <w:r>
              <w:rPr>
                <w:rFonts w:ascii="Calibri" w:hAnsi="Calibri"/>
                <w:sz w:val="20"/>
              </w:rPr>
              <w:t>Medium</w:t>
            </w:r>
          </w:p>
        </w:tc>
        <w:tc>
          <w:tcPr>
            <w:tcW w:type="dxa" w:w="2340"/>
          </w:tcPr>
          <w:p>
            <w:r/>
            <w:r>
              <w:rPr>
                <w:rFonts w:ascii="Calibri" w:hAnsi="Calibri"/>
                <w:sz w:val="20"/>
              </w:rPr>
              <w:t>Medium</w:t>
            </w:r>
          </w:p>
        </w:tc>
        <w:tc>
          <w:tcPr>
            <w:tcW w:type="dxa" w:w="2340"/>
          </w:tcPr>
          <w:p>
            <w:r/>
            <w:r>
              <w:rPr>
                <w:rFonts w:ascii="Calibri" w:hAnsi="Calibri"/>
                <w:sz w:val="20"/>
              </w:rPr>
              <w:t>Differentiate on tool-agnosticism and career outcomes; partner rather than compete where possible</w:t>
            </w:r>
          </w:p>
        </w:tc>
      </w:tr>
      <w:tr>
        <w:tc>
          <w:tcPr>
            <w:tcW w:type="dxa" w:w="2340"/>
            <w:shd w:fill="F0F4F8"/>
          </w:tcPr>
          <w:p>
            <w:r/>
            <w:r>
              <w:rPr>
                <w:rFonts w:ascii="Calibri" w:hAnsi="Calibri"/>
                <w:sz w:val="20"/>
              </w:rPr>
              <w:t>Inconsistent quality across chapters</w:t>
            </w:r>
          </w:p>
        </w:tc>
        <w:tc>
          <w:tcPr>
            <w:tcW w:type="dxa" w:w="2340"/>
            <w:shd w:fill="F0F4F8"/>
          </w:tcPr>
          <w:p>
            <w:r/>
            <w:r>
              <w:rPr>
                <w:rFonts w:ascii="Calibri" w:hAnsi="Calibri"/>
                <w:sz w:val="20"/>
              </w:rPr>
              <w:t>High</w:t>
            </w:r>
          </w:p>
        </w:tc>
        <w:tc>
          <w:tcPr>
            <w:tcW w:type="dxa" w:w="2340"/>
            <w:shd w:fill="F0F4F8"/>
          </w:tcPr>
          <w:p>
            <w:r/>
            <w:r>
              <w:rPr>
                <w:rFonts w:ascii="Calibri" w:hAnsi="Calibri"/>
                <w:sz w:val="20"/>
              </w:rPr>
              <w:t>Medium</w:t>
            </w:r>
          </w:p>
        </w:tc>
        <w:tc>
          <w:tcPr>
            <w:tcW w:type="dxa" w:w="2340"/>
            <w:shd w:fill="F0F4F8"/>
          </w:tcPr>
          <w:p>
            <w:r/>
            <w:r>
              <w:rPr>
                <w:rFonts w:ascii="Calibri" w:hAnsi="Calibri"/>
                <w:sz w:val="20"/>
              </w:rPr>
              <w:t>Create chapter playbooks, event templates, and quality standards; regular check-ins and best practice sharing</w:t>
            </w:r>
          </w:p>
        </w:tc>
      </w:tr>
      <w:tr>
        <w:tc>
          <w:tcPr>
            <w:tcW w:type="dxa" w:w="2340"/>
          </w:tcPr>
          <w:p>
            <w:r/>
            <w:r>
              <w:rPr>
                <w:rFonts w:ascii="Calibri" w:hAnsi="Calibri"/>
                <w:sz w:val="20"/>
              </w:rPr>
              <w:t>Economic downturn reducing sponsorship</w:t>
            </w:r>
          </w:p>
        </w:tc>
        <w:tc>
          <w:tcPr>
            <w:tcW w:type="dxa" w:w="2340"/>
          </w:tcPr>
          <w:p>
            <w:r/>
            <w:r>
              <w:rPr>
                <w:rFonts w:ascii="Calibri" w:hAnsi="Calibri"/>
                <w:sz w:val="20"/>
              </w:rPr>
              <w:t>Low-Medium</w:t>
            </w:r>
          </w:p>
        </w:tc>
        <w:tc>
          <w:tcPr>
            <w:tcW w:type="dxa" w:w="2340"/>
          </w:tcPr>
          <w:p>
            <w:r/>
            <w:r>
              <w:rPr>
                <w:rFonts w:ascii="Calibri" w:hAnsi="Calibri"/>
                <w:sz w:val="20"/>
              </w:rPr>
              <w:t>High</w:t>
            </w:r>
          </w:p>
        </w:tc>
        <w:tc>
          <w:tcPr>
            <w:tcW w:type="dxa" w:w="2340"/>
          </w:tcPr>
          <w:p>
            <w:r/>
            <w:r>
              <w:rPr>
                <w:rFonts w:ascii="Calibri" w:hAnsi="Calibri"/>
                <w:sz w:val="20"/>
              </w:rPr>
              <w:t>Diversify revenue so no single stream exceeds 40% of total; build reserve fund; have flexible cost structure</w:t>
            </w:r>
          </w:p>
        </w:tc>
      </w:tr>
      <w:tr>
        <w:tc>
          <w:tcPr>
            <w:tcW w:type="dxa" w:w="2340"/>
            <w:shd w:fill="F0F4F8"/>
          </w:tcPr>
          <w:p>
            <w:r/>
            <w:r>
              <w:rPr>
                <w:rFonts w:ascii="Calibri" w:hAnsi="Calibri"/>
                <w:sz w:val="20"/>
              </w:rPr>
              <w:t>Engagement plateau after launch excitement</w:t>
            </w:r>
          </w:p>
        </w:tc>
        <w:tc>
          <w:tcPr>
            <w:tcW w:type="dxa" w:w="2340"/>
            <w:shd w:fill="F0F4F8"/>
          </w:tcPr>
          <w:p>
            <w:r/>
            <w:r>
              <w:rPr>
                <w:rFonts w:ascii="Calibri" w:hAnsi="Calibri"/>
                <w:sz w:val="20"/>
              </w:rPr>
              <w:t>Medium</w:t>
            </w:r>
          </w:p>
        </w:tc>
        <w:tc>
          <w:tcPr>
            <w:tcW w:type="dxa" w:w="2340"/>
            <w:shd w:fill="F0F4F8"/>
          </w:tcPr>
          <w:p>
            <w:r/>
            <w:r>
              <w:rPr>
                <w:rFonts w:ascii="Calibri" w:hAnsi="Calibri"/>
                <w:sz w:val="20"/>
              </w:rPr>
              <w:t>High</w:t>
            </w:r>
          </w:p>
        </w:tc>
        <w:tc>
          <w:tcPr>
            <w:tcW w:type="dxa" w:w="2340"/>
            <w:shd w:fill="F0F4F8"/>
          </w:tcPr>
          <w:p>
            <w:r/>
            <w:r>
              <w:rPr>
                <w:rFonts w:ascii="Calibri" w:hAnsi="Calibri"/>
                <w:sz w:val="20"/>
              </w:rPr>
              <w:t>Plan engagement escalation: challenges, competitions, certifications, annual awards; keep programming fresh</w:t>
            </w:r>
          </w:p>
        </w:tc>
      </w:tr>
    </w:tbl>
    <w:p>
      <w:r>
        <w:br w:type="page"/>
      </w:r>
    </w:p>
    <w:p>
      <w:pPr>
        <w:pStyle w:val="Heading1"/>
      </w:pPr>
      <w:r>
        <w:t>13. Key Recommendations</w:t>
      </w:r>
    </w:p>
    <w:p>
      <w:pPr/>
      <w:r>
        <w:t>Based on the competitive analysis and strategic planning in this report, here are the top 10 recommendations for building India's best UI/UX design community:</w:t>
      </w:r>
    </w:p>
    <w:p>
      <w:pPr>
        <w:pStyle w:val="ListBullet"/>
      </w:pPr>
      <w:r>
        <w:rPr>
          <w:rFonts w:ascii="Calibri" w:hAnsi="Calibri"/>
          <w:b/>
          <w:sz w:val="22"/>
        </w:rPr>
        <w:t xml:space="preserve">Launch with Bangalore and Mumbai simultaneously. </w:t>
      </w:r>
      <w:r>
        <w:t>These are India's two strongest design cities with the highest concentration of designers and companies. A dual-city launch signals national ambition from day one.</w:t>
      </w:r>
    </w:p>
    <w:p>
      <w:pPr>
        <w:pStyle w:val="ListBullet"/>
      </w:pPr>
      <w:r>
        <w:rPr>
          <w:rFonts w:ascii="Calibri" w:hAnsi="Calibri"/>
          <w:b/>
          <w:sz w:val="22"/>
        </w:rPr>
        <w:t xml:space="preserve">Build the online platform before the first event. </w:t>
      </w:r>
      <w:r>
        <w:t>The platform is the always-on home base. Events drive people to the platform; the platform keeps them engaged between events.</w:t>
      </w:r>
    </w:p>
    <w:p>
      <w:pPr>
        <w:pStyle w:val="ListBullet"/>
      </w:pPr>
      <w:r>
        <w:rPr>
          <w:rFonts w:ascii="Calibri" w:hAnsi="Calibri"/>
          <w:b/>
          <w:sz w:val="22"/>
        </w:rPr>
        <w:t xml:space="preserve">Hire a full-time community manager from Month 1. </w:t>
      </w:r>
      <w:r>
        <w:t>Do not rely purely on volunteers for core operations. A paid community manager ensures consistency, quality, and professional operations.</w:t>
      </w:r>
    </w:p>
    <w:p>
      <w:pPr>
        <w:pStyle w:val="ListBullet"/>
      </w:pPr>
      <w:r>
        <w:rPr>
          <w:rFonts w:ascii="Calibri" w:hAnsi="Calibri"/>
          <w:b/>
          <w:sz w:val="22"/>
        </w:rPr>
        <w:t xml:space="preserve">Secure 2-3 founding corporate partners before launch. </w:t>
      </w:r>
      <w:r>
        <w:t>Partnerships from design tool companies or major tech firms provide credibility, funding, and member benefits (free tool licenses, exclusive workshops).</w:t>
      </w:r>
    </w:p>
    <w:p>
      <w:pPr>
        <w:pStyle w:val="ListBullet"/>
      </w:pPr>
      <w:r>
        <w:rPr>
          <w:rFonts w:ascii="Calibri" w:hAnsi="Calibri"/>
          <w:b/>
          <w:sz w:val="22"/>
        </w:rPr>
        <w:t xml:space="preserve">Create a signature event format that becomes your brand. </w:t>
      </w:r>
      <w:r>
        <w:t>Whether it's "Design Chai" (casual evening talks), "Pixel Perfect" (portfolio review nights), or "Design Sprint Weekends" - own a format that people associate with your community.</w:t>
      </w:r>
    </w:p>
    <w:p>
      <w:pPr>
        <w:pStyle w:val="ListBullet"/>
      </w:pPr>
      <w:r>
        <w:rPr>
          <w:rFonts w:ascii="Calibri" w:hAnsi="Calibri"/>
          <w:b/>
          <w:sz w:val="22"/>
        </w:rPr>
        <w:t xml:space="preserve">Invest heavily in content from Day 1. </w:t>
      </w:r>
      <w:r>
        <w:t>Publish weekly articles, case studies, and videos focused on Indian design contexts. This is your primary organic growth engine and SEO strategy.</w:t>
      </w:r>
    </w:p>
    <w:p>
      <w:pPr>
        <w:pStyle w:val="ListBullet"/>
      </w:pPr>
      <w:r>
        <w:rPr>
          <w:rFonts w:ascii="Calibri" w:hAnsi="Calibri"/>
          <w:b/>
          <w:sz w:val="22"/>
        </w:rPr>
        <w:t xml:space="preserve">Build the student pipeline early. </w:t>
      </w:r>
      <w:r>
        <w:t>Partner with NID, IIT IDC, Srishti, and other design schools. Today's students are tomorrow's senior designers and community advocates.</w:t>
      </w:r>
    </w:p>
    <w:p>
      <w:pPr>
        <w:pStyle w:val="ListBullet"/>
      </w:pPr>
      <w:r>
        <w:rPr>
          <w:rFonts w:ascii="Calibri" w:hAnsi="Calibri"/>
          <w:b/>
          <w:sz w:val="22"/>
        </w:rPr>
        <w:t xml:space="preserve">Track and communicate member outcomes. </w:t>
      </w:r>
      <w:r>
        <w:t>Build systems to measure job placements, salary increases, and career growth among members. Nothing sells community membership like proven career outcomes.</w:t>
      </w:r>
    </w:p>
    <w:p>
      <w:pPr>
        <w:pStyle w:val="ListBullet"/>
      </w:pPr>
      <w:r>
        <w:rPr>
          <w:rFonts w:ascii="Calibri" w:hAnsi="Calibri"/>
          <w:b/>
          <w:sz w:val="22"/>
        </w:rPr>
        <w:t xml:space="preserve">Keep the free tier genuinely valuable. </w:t>
      </w:r>
      <w:r>
        <w:t>The free tier is your growth engine. If it feels like a demo, people won't engage enough to convert. If it feels valuable, they'll gladly pay for even more.</w:t>
      </w:r>
    </w:p>
    <w:p>
      <w:pPr>
        <w:pStyle w:val="ListBullet"/>
      </w:pPr>
      <w:r>
        <w:rPr>
          <w:rFonts w:ascii="Calibri" w:hAnsi="Calibri"/>
          <w:b/>
          <w:sz w:val="22"/>
        </w:rPr>
        <w:t xml:space="preserve">Think global from Day 1 even if you act local. </w:t>
      </w:r>
      <w:r>
        <w:t>Brand name, visual identity, content quality, and platform architecture should all be built to scale globally. Don't paint yourself into an "India-only" corner.</w:t>
      </w:r>
    </w:p>
    <w:p/>
    <w:p/>
    <w:p>
      <w:pPr>
        <w:jc w:val="center"/>
      </w:pPr>
      <w:r>
        <w:rPr>
          <w:b/>
          <w:color w:val="1A1A2E"/>
          <w:sz w:val="28"/>
        </w:rPr>
        <w:t>End of Report</w:t>
      </w:r>
    </w:p>
    <w:p>
      <w:pPr>
        <w:jc w:val="center"/>
      </w:pPr>
      <w:r>
        <w:rPr>
          <w:color w:val="999999"/>
          <w:sz w:val="20"/>
        </w:rPr>
        <w:t>Prepared for RPS Design Community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D5F8A"/>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A7CA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