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FFC4" w14:textId="77777777" w:rsidR="00CC46E6" w:rsidRDefault="00000000">
      <w:pPr>
        <w:spacing w:after="40"/>
        <w:jc w:val="center"/>
      </w:pPr>
      <w:r>
        <w:rPr>
          <w:b/>
          <w:bCs/>
          <w:color w:val="1F4E78"/>
          <w:sz w:val="40"/>
          <w:szCs w:val="40"/>
        </w:rPr>
        <w:t>CAD Design Similarity Search</w:t>
      </w:r>
    </w:p>
    <w:p w14:paraId="73F4D1ED" w14:textId="77777777" w:rsidR="00CC46E6" w:rsidRDefault="00000000">
      <w:pPr>
        <w:spacing w:after="40"/>
        <w:jc w:val="center"/>
      </w:pPr>
      <w:r>
        <w:rPr>
          <w:i/>
          <w:iCs/>
          <w:color w:val="595959"/>
          <w:sz w:val="24"/>
          <w:szCs w:val="24"/>
        </w:rPr>
        <w:t>A GenAI-Based Approach to Engineering Design Reuse</w:t>
      </w:r>
    </w:p>
    <w:p w14:paraId="12265521" w14:textId="77777777" w:rsidR="00CC46E6" w:rsidRDefault="00000000">
      <w:pPr>
        <w:spacing w:after="200"/>
        <w:jc w:val="center"/>
      </w:pPr>
      <w:r>
        <w:rPr>
          <w:color w:val="595959"/>
          <w:sz w:val="18"/>
          <w:szCs w:val="18"/>
        </w:rPr>
        <w:t xml:space="preserve">Vishal </w:t>
      </w:r>
      <w:proofErr w:type="gramStart"/>
      <w:r>
        <w:rPr>
          <w:color w:val="595959"/>
          <w:sz w:val="18"/>
          <w:szCs w:val="18"/>
        </w:rPr>
        <w:t>Prabu  |</w:t>
      </w:r>
      <w:proofErr w:type="gramEnd"/>
      <w:r>
        <w:rPr>
          <w:color w:val="595959"/>
          <w:sz w:val="18"/>
          <w:szCs w:val="18"/>
        </w:rPr>
        <w:t xml:space="preserve">  Industrials, </w:t>
      </w:r>
      <w:proofErr w:type="gramStart"/>
      <w:r>
        <w:rPr>
          <w:color w:val="595959"/>
          <w:sz w:val="18"/>
          <w:szCs w:val="18"/>
        </w:rPr>
        <w:t>Offshore  |</w:t>
      </w:r>
      <w:proofErr w:type="gramEnd"/>
      <w:r>
        <w:rPr>
          <w:color w:val="595959"/>
          <w:sz w:val="18"/>
          <w:szCs w:val="18"/>
        </w:rPr>
        <w:t xml:space="preserve">  Independent Technology Exploration</w:t>
      </w:r>
    </w:p>
    <w:p w14:paraId="639C9958" w14:textId="77777777" w:rsidR="00CC46E6" w:rsidRDefault="00000000">
      <w:pPr>
        <w:pStyle w:val="Heading1"/>
        <w:spacing w:before="180" w:after="80"/>
      </w:pPr>
      <w:r>
        <w:rPr>
          <w:b/>
          <w:bCs/>
          <w:color w:val="1F4E78"/>
          <w:sz w:val="24"/>
          <w:szCs w:val="24"/>
        </w:rPr>
        <w:t>Project Overview</w:t>
      </w:r>
    </w:p>
    <w:p w14:paraId="09B3B451" w14:textId="77777777" w:rsidR="00CC46E6" w:rsidRDefault="00000000">
      <w:pPr>
        <w:spacing w:after="100"/>
      </w:pPr>
      <w:r>
        <w:t>This project is a proof of concept demonstrating that, given a CAD part, an AI system can automatically retrieve the most structurally similar existing designs from a repository, without relying on filenames, folder structure, or manual search. It is a self-directed technical exploration aligned with the Industrials Offshore team's broader direction on applying GenAI to the engineering design lifecycle, built independently using open-source data and tools to establish feasibility ahead of any client-specific engagement.</w:t>
      </w:r>
    </w:p>
    <w:p w14:paraId="4E1937C1" w14:textId="77777777" w:rsidR="00CC46E6" w:rsidRDefault="00000000">
      <w:pPr>
        <w:pStyle w:val="Heading1"/>
        <w:spacing w:before="180" w:after="80"/>
      </w:pPr>
      <w:r>
        <w:rPr>
          <w:b/>
          <w:bCs/>
          <w:color w:val="1F4E78"/>
          <w:sz w:val="24"/>
          <w:szCs w:val="24"/>
        </w:rPr>
        <w:t>Objectives</w:t>
      </w:r>
    </w:p>
    <w:p w14:paraId="387CC706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Establish whether geometric deep learning can support a practical design-reuse and search capability for CAD repositories.</w:t>
      </w:r>
    </w:p>
    <w:p w14:paraId="25EBF7D7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Build and validate an end-to-end proof of concept: CAD part in, ranked list of similar existing designs out.</w:t>
      </w:r>
    </w:p>
    <w:p w14:paraId="688FB198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Create a reusable technical foundation (data pipeline, embedding generation, retrieval) that can extend to adjacent engineering-design use cases beyond reuse search.</w:t>
      </w:r>
    </w:p>
    <w:p w14:paraId="6B9D00CA" w14:textId="77777777" w:rsidR="00CC46E6" w:rsidRDefault="00000000">
      <w:pPr>
        <w:pStyle w:val="Heading1"/>
        <w:spacing w:before="180" w:after="80"/>
      </w:pPr>
      <w:r>
        <w:rPr>
          <w:b/>
          <w:bCs/>
          <w:color w:val="1F4E78"/>
          <w:sz w:val="24"/>
          <w:szCs w:val="24"/>
        </w:rPr>
        <w:t>Why This Matters</w:t>
      </w:r>
    </w:p>
    <w:p w14:paraId="013426CB" w14:textId="77777777" w:rsidR="00CC46E6" w:rsidRDefault="00000000">
      <w:pPr>
        <w:spacing w:after="100"/>
      </w:pPr>
      <w:r>
        <w:t>Engineering teams frequently redesign components that closely resemble something already built, simply because there is no efficient way to search a design repository by shape or feature similarity rather than by filename or manual browsing. Unnecessary part duplication is a well-documented cost driver in manufacturing organizations, adding avoidable design, tooling, and inventory overhead. This capability directly targets that gap, and reflects the kind of design-reuse and validation problem increasingly relevant across engineering-heavy client accounts. This PoC proves the underlying technique works end-to-end on real CAD geometry, ahead of applying it to any specific client repository.</w:t>
      </w:r>
    </w:p>
    <w:p w14:paraId="48C0F251" w14:textId="77777777" w:rsidR="00CC46E6" w:rsidRDefault="00000000">
      <w:pPr>
        <w:pStyle w:val="Heading1"/>
        <w:spacing w:before="180" w:after="80"/>
      </w:pPr>
      <w:r>
        <w:rPr>
          <w:b/>
          <w:bCs/>
          <w:color w:val="1F4E78"/>
          <w:sz w:val="24"/>
          <w:szCs w:val="24"/>
        </w:rPr>
        <w:t>Technical Approach</w:t>
      </w:r>
    </w:p>
    <w:p w14:paraId="2D1CEC96" w14:textId="77777777" w:rsidR="00CC46E6" w:rsidRDefault="00000000">
      <w:pPr>
        <w:spacing w:after="100"/>
      </w:pPr>
      <w:r>
        <w:t>The pipeline combines three open-source components, each addressing one stage of turning a raw CAD file into a searchable, comparable representation:</w:t>
      </w:r>
    </w:p>
    <w:p w14:paraId="49AD0FA8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Geometry parsing (</w:t>
      </w:r>
      <w:proofErr w:type="spellStart"/>
      <w:r>
        <w:t>OpenCascade</w:t>
      </w:r>
      <w:proofErr w:type="spellEnd"/>
      <w:r>
        <w:t xml:space="preserve"> / </w:t>
      </w:r>
      <w:proofErr w:type="spellStart"/>
      <w:r>
        <w:t>occwl</w:t>
      </w:r>
      <w:proofErr w:type="spellEnd"/>
      <w:r>
        <w:t>): reads STEP files, the neutral CAD exchange format supported by virtually all major CAD systems, and extracts the underlying B-Rep topology, the exact faces, edges, and surface relationships that define the part.</w:t>
      </w:r>
    </w:p>
    <w:p w14:paraId="0F3E7FB8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Embedding generation (</w:t>
      </w:r>
      <w:proofErr w:type="spellStart"/>
      <w:r>
        <w:t>BRepNet</w:t>
      </w:r>
      <w:proofErr w:type="spellEnd"/>
      <w:r>
        <w:t>): a pretrained deep learning model that operates directly on B-Rep topology, rather than approximating shapes as meshes or point clouds. It converts each design's geometry into a compact numeric “fingerprint” capturing its structural and feature composition.</w:t>
      </w:r>
    </w:p>
    <w:p w14:paraId="6BB66798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Similarity retrieval (FAISS): an open-source vector search library that indexes these fingerprints and, given a query part, returns the closest matches ranked by similarity distance.</w:t>
      </w:r>
    </w:p>
    <w:p w14:paraId="4FB1236F" w14:textId="77777777" w:rsidR="00CC46E6" w:rsidRDefault="00000000">
      <w:pPr>
        <w:spacing w:after="100"/>
      </w:pPr>
      <w:r>
        <w:t>All components are open-source, and the pipeline operates on STEP files, making the underlying approach broadly portable across different clients' native CAD environments.</w:t>
      </w:r>
    </w:p>
    <w:p w14:paraId="59A944D8" w14:textId="77777777" w:rsidR="00CC46E6" w:rsidRDefault="00000000">
      <w:pPr>
        <w:pStyle w:val="Heading1"/>
        <w:spacing w:before="180" w:after="80"/>
      </w:pPr>
      <w:r>
        <w:rPr>
          <w:b/>
          <w:bCs/>
          <w:color w:val="1F4E78"/>
          <w:sz w:val="24"/>
          <w:szCs w:val="24"/>
        </w:rPr>
        <w:t>Results to Date</w:t>
      </w:r>
    </w:p>
    <w:p w14:paraId="4DC30569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Built and validated the full pipeline end-to-end on 500 real mechanical CAD designs (Autodesk Fusion 360 Gallery dataset).</w:t>
      </w:r>
    </w:p>
    <w:p w14:paraId="4DB3590C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Retrieval correctly identifies structurally similar parts even when their exact dimensions differ substantially. See Example 1 below.</w:t>
      </w:r>
    </w:p>
    <w:p w14:paraId="746BFB45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Match quality for more geometrically complex parts is currently more mixed; this is an active area of refinement rather than a limitation of the underlying approach, and is the immediate next technical focus.</w:t>
      </w:r>
    </w:p>
    <w:p w14:paraId="6D938511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Current results demonstrate feasibility; adapting this to a specific client's CAD repository would require validation against that client's own design and reuse criteria.</w:t>
      </w:r>
    </w:p>
    <w:p w14:paraId="4F64D8E2" w14:textId="77777777" w:rsidR="00CC46E6" w:rsidRDefault="00000000">
      <w:pPr>
        <w:pStyle w:val="Heading1"/>
        <w:spacing w:before="180" w:after="80"/>
      </w:pPr>
      <w:r>
        <w:rPr>
          <w:b/>
          <w:bCs/>
          <w:color w:val="1F4E78"/>
          <w:sz w:val="24"/>
          <w:szCs w:val="24"/>
        </w:rPr>
        <w:lastRenderedPageBreak/>
        <w:t>Example Retrieval Results</w:t>
      </w:r>
    </w:p>
    <w:p w14:paraId="6AE12BBE" w14:textId="77777777" w:rsidR="00CC46E6" w:rsidRDefault="00000000">
      <w:pPr>
        <w:spacing w:after="100"/>
      </w:pPr>
      <w:r>
        <w:t>Example 1: validated result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0"/>
        <w:gridCol w:w="2960"/>
        <w:gridCol w:w="2960"/>
      </w:tblGrid>
      <w:tr w:rsidR="00CC46E6" w14:paraId="74742091" w14:textId="77777777">
        <w:tc>
          <w:tcPr>
            <w:tcW w:w="296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80977" w14:textId="77777777" w:rsidR="00CC46E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Query Part</w:t>
            </w:r>
          </w:p>
        </w:tc>
        <w:tc>
          <w:tcPr>
            <w:tcW w:w="296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FF45E" w14:textId="77777777" w:rsidR="00CC46E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Match 1</w:t>
            </w:r>
          </w:p>
        </w:tc>
        <w:tc>
          <w:tcPr>
            <w:tcW w:w="296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EA7B1" w14:textId="77777777" w:rsidR="00CC46E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Match 2</w:t>
            </w:r>
          </w:p>
        </w:tc>
      </w:tr>
      <w:tr w:rsidR="00CC46E6" w14:paraId="3DEC27F1" w14:textId="77777777">
        <w:tc>
          <w:tcPr>
            <w:tcW w:w="29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61250D7" w14:textId="77777777" w:rsidR="00CC46E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1C769F" wp14:editId="34FF951E">
                  <wp:extent cx="1000125" cy="10001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40CD1" w14:textId="77777777" w:rsidR="00CC46E6" w:rsidRDefault="00000000">
            <w:pPr>
              <w:spacing w:before="60" w:after="40"/>
              <w:jc w:val="center"/>
            </w:pPr>
            <w:r>
              <w:rPr>
                <w:color w:val="595959"/>
                <w:sz w:val="17"/>
                <w:szCs w:val="17"/>
              </w:rPr>
              <w:t>Query design</w:t>
            </w:r>
          </w:p>
        </w:tc>
        <w:tc>
          <w:tcPr>
            <w:tcW w:w="29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5C770E" w14:textId="77777777" w:rsidR="00CC46E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087431" wp14:editId="7B5E62E6">
                  <wp:extent cx="1000125" cy="1000125"/>
                  <wp:effectExtent l="0" t="0" r="0" b="0"/>
                  <wp:docPr id="2082565497" name="Picture 2082565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C9C26" w14:textId="77777777" w:rsidR="00CC46E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Distance: 0.0397</w:t>
            </w:r>
          </w:p>
        </w:tc>
        <w:tc>
          <w:tcPr>
            <w:tcW w:w="29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1DA065" w14:textId="77777777" w:rsidR="002E3DA3" w:rsidRPr="002E3DA3" w:rsidRDefault="002E3DA3" w:rsidP="002E3DA3">
            <w:pPr>
              <w:jc w:val="center"/>
              <w:rPr>
                <w:noProof/>
              </w:rPr>
            </w:pPr>
            <w:r w:rsidRPr="002E3DA3">
              <w:rPr>
                <w:noProof/>
              </w:rPr>
              <w:drawing>
                <wp:inline distT="0" distB="0" distL="0" distR="0" wp14:anchorId="63297FB0" wp14:editId="2CD3887A">
                  <wp:extent cx="1000800" cy="1000800"/>
                  <wp:effectExtent l="0" t="0" r="8890" b="8890"/>
                  <wp:docPr id="1549520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52033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DD4D52" w14:textId="52D49912" w:rsidR="00CC46E6" w:rsidRDefault="00000000" w:rsidP="002E3DA3">
            <w:pPr>
              <w:spacing w:before="60" w:after="40"/>
              <w:jc w:val="center"/>
            </w:pPr>
            <w:r w:rsidRPr="002E3DA3">
              <w:rPr>
                <w:b/>
                <w:bCs/>
                <w:color w:val="000000"/>
                <w:sz w:val="18"/>
                <w:szCs w:val="18"/>
              </w:rPr>
              <w:t>Distance: 0.0630</w:t>
            </w:r>
          </w:p>
        </w:tc>
      </w:tr>
    </w:tbl>
    <w:p w14:paraId="27C52AA2" w14:textId="77777777" w:rsidR="00CC46E6" w:rsidRDefault="00000000">
      <w:pPr>
        <w:spacing w:before="240" w:after="100"/>
      </w:pPr>
      <w:r>
        <w:rPr>
          <w:sz w:val="21"/>
          <w:szCs w:val="21"/>
        </w:rPr>
        <w:t>Example 2: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0"/>
        <w:gridCol w:w="2960"/>
        <w:gridCol w:w="2960"/>
      </w:tblGrid>
      <w:tr w:rsidR="00CC46E6" w14:paraId="20B828EE" w14:textId="77777777">
        <w:tc>
          <w:tcPr>
            <w:tcW w:w="296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159C6" w14:textId="77777777" w:rsidR="00CC46E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Query Part</w:t>
            </w:r>
          </w:p>
        </w:tc>
        <w:tc>
          <w:tcPr>
            <w:tcW w:w="296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DE15D" w14:textId="77777777" w:rsidR="00CC46E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Match 1</w:t>
            </w:r>
          </w:p>
        </w:tc>
        <w:tc>
          <w:tcPr>
            <w:tcW w:w="296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1B7DDC" w14:textId="77777777" w:rsidR="00CC46E6" w:rsidRDefault="00000000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Match 2</w:t>
            </w:r>
          </w:p>
        </w:tc>
      </w:tr>
      <w:tr w:rsidR="00CC46E6" w14:paraId="383FB4BE" w14:textId="77777777">
        <w:tc>
          <w:tcPr>
            <w:tcW w:w="29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06FB4A" w14:textId="7DA99506" w:rsidR="00CC46E6" w:rsidRDefault="00795201" w:rsidP="00D069EE">
            <w:pPr>
              <w:jc w:val="center"/>
              <w:rPr>
                <w:noProof/>
              </w:rPr>
            </w:pPr>
            <w:r w:rsidRPr="00D069EE">
              <w:rPr>
                <w:noProof/>
              </w:rPr>
              <w:drawing>
                <wp:inline distT="0" distB="0" distL="0" distR="0" wp14:anchorId="6DC710F8" wp14:editId="3FEFE7A3">
                  <wp:extent cx="1000800" cy="1000800"/>
                  <wp:effectExtent l="0" t="0" r="8890" b="8890"/>
                  <wp:docPr id="1925234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52341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33501" w14:textId="22523BF8" w:rsidR="00CC46E6" w:rsidRDefault="00795201" w:rsidP="00D069EE">
            <w:pPr>
              <w:spacing w:before="60" w:after="40"/>
              <w:jc w:val="center"/>
            </w:pPr>
            <w:r w:rsidRPr="00D069EE">
              <w:rPr>
                <w:color w:val="595959"/>
                <w:sz w:val="17"/>
                <w:szCs w:val="17"/>
              </w:rPr>
              <w:t>Query design</w:t>
            </w:r>
          </w:p>
        </w:tc>
        <w:tc>
          <w:tcPr>
            <w:tcW w:w="29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752926" w14:textId="1CEBC4CF" w:rsidR="00CC46E6" w:rsidRDefault="00795201" w:rsidP="00D069EE">
            <w:pPr>
              <w:jc w:val="center"/>
              <w:rPr>
                <w:noProof/>
              </w:rPr>
            </w:pPr>
            <w:r w:rsidRPr="00D069EE">
              <w:rPr>
                <w:noProof/>
              </w:rPr>
              <w:drawing>
                <wp:inline distT="0" distB="0" distL="0" distR="0" wp14:anchorId="1BEA01BB" wp14:editId="25A9E607">
                  <wp:extent cx="1000800" cy="1000800"/>
                  <wp:effectExtent l="0" t="0" r="8890" b="8890"/>
                  <wp:docPr id="13261306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1306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895BCD" w14:textId="35BD786C" w:rsidR="00CC46E6" w:rsidRDefault="00000000" w:rsidP="00D069EE">
            <w:pPr>
              <w:spacing w:before="60" w:after="40"/>
              <w:jc w:val="center"/>
            </w:pPr>
            <w:r w:rsidRPr="00D069EE">
              <w:rPr>
                <w:b/>
                <w:bCs/>
                <w:color w:val="000000"/>
                <w:sz w:val="18"/>
                <w:szCs w:val="18"/>
              </w:rPr>
              <w:t xml:space="preserve">Distance: </w:t>
            </w:r>
            <w:r w:rsidR="00795201" w:rsidRPr="00D069EE">
              <w:rPr>
                <w:b/>
                <w:bCs/>
                <w:color w:val="000000"/>
                <w:sz w:val="18"/>
                <w:szCs w:val="18"/>
              </w:rPr>
              <w:t>0.2280</w:t>
            </w:r>
          </w:p>
        </w:tc>
        <w:tc>
          <w:tcPr>
            <w:tcW w:w="29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B939088" w14:textId="7DBB5CDE" w:rsidR="00CC46E6" w:rsidRDefault="00795201" w:rsidP="00D069EE">
            <w:pPr>
              <w:jc w:val="center"/>
              <w:rPr>
                <w:noProof/>
              </w:rPr>
            </w:pPr>
            <w:r w:rsidRPr="00D069EE">
              <w:rPr>
                <w:noProof/>
              </w:rPr>
              <w:drawing>
                <wp:inline distT="0" distB="0" distL="0" distR="0" wp14:anchorId="17E6B640" wp14:editId="4D9B4972">
                  <wp:extent cx="1000800" cy="1000800"/>
                  <wp:effectExtent l="0" t="0" r="8890" b="8890"/>
                  <wp:docPr id="1740324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3246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E99D2D" w14:textId="1E8A3FAC" w:rsidR="00CC46E6" w:rsidRDefault="00000000" w:rsidP="00D069EE">
            <w:pPr>
              <w:spacing w:before="60" w:after="40"/>
              <w:jc w:val="center"/>
            </w:pPr>
            <w:r w:rsidRPr="00D069EE">
              <w:rPr>
                <w:b/>
                <w:bCs/>
                <w:color w:val="000000"/>
                <w:sz w:val="18"/>
                <w:szCs w:val="18"/>
              </w:rPr>
              <w:t xml:space="preserve">Distance: </w:t>
            </w:r>
            <w:r w:rsidR="00795201" w:rsidRPr="00D069EE">
              <w:rPr>
                <w:b/>
                <w:bCs/>
                <w:color w:val="000000"/>
                <w:sz w:val="18"/>
                <w:szCs w:val="18"/>
              </w:rPr>
              <w:t>0.2484</w:t>
            </w:r>
          </w:p>
        </w:tc>
      </w:tr>
    </w:tbl>
    <w:p w14:paraId="1808767C" w14:textId="2E5AFB45" w:rsidR="002E3DA3" w:rsidRDefault="002E3DA3" w:rsidP="002E3DA3">
      <w:pPr>
        <w:spacing w:before="240" w:after="100"/>
      </w:pPr>
      <w:r>
        <w:rPr>
          <w:sz w:val="21"/>
          <w:szCs w:val="21"/>
        </w:rPr>
        <w:t xml:space="preserve">Example </w:t>
      </w:r>
      <w:r>
        <w:rPr>
          <w:sz w:val="21"/>
          <w:szCs w:val="21"/>
        </w:rPr>
        <w:t>3</w:t>
      </w:r>
      <w:r>
        <w:rPr>
          <w:sz w:val="21"/>
          <w:szCs w:val="21"/>
        </w:rPr>
        <w:t>:</w:t>
      </w:r>
    </w:p>
    <w:tbl>
      <w:tblPr>
        <w:tblW w:w="8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0"/>
        <w:gridCol w:w="2960"/>
        <w:gridCol w:w="2960"/>
      </w:tblGrid>
      <w:tr w:rsidR="002E3DA3" w14:paraId="6DE17110" w14:textId="77777777" w:rsidTr="00A43D7B">
        <w:tc>
          <w:tcPr>
            <w:tcW w:w="296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62268" w14:textId="77777777" w:rsidR="002E3DA3" w:rsidRDefault="002E3DA3" w:rsidP="00A43D7B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Query Part</w:t>
            </w:r>
          </w:p>
        </w:tc>
        <w:tc>
          <w:tcPr>
            <w:tcW w:w="296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529B77" w14:textId="77777777" w:rsidR="002E3DA3" w:rsidRDefault="002E3DA3" w:rsidP="00A43D7B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Match 1</w:t>
            </w:r>
          </w:p>
        </w:tc>
        <w:tc>
          <w:tcPr>
            <w:tcW w:w="2960" w:type="dxa"/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22FA1A" w14:textId="77777777" w:rsidR="002E3DA3" w:rsidRDefault="002E3DA3" w:rsidP="00A43D7B">
            <w:pPr>
              <w:spacing w:before="6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Match 2</w:t>
            </w:r>
          </w:p>
        </w:tc>
      </w:tr>
      <w:tr w:rsidR="002E3DA3" w14:paraId="411301D4" w14:textId="77777777" w:rsidTr="00A43D7B">
        <w:tc>
          <w:tcPr>
            <w:tcW w:w="29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CBB66CC" w14:textId="777A9B0E" w:rsidR="002E3DA3" w:rsidRDefault="002E3DA3" w:rsidP="00D069EE">
            <w:pPr>
              <w:jc w:val="center"/>
              <w:rPr>
                <w:noProof/>
              </w:rPr>
            </w:pPr>
            <w:r w:rsidRPr="002E3DA3">
              <w:rPr>
                <w:noProof/>
              </w:rPr>
              <w:drawing>
                <wp:inline distT="0" distB="0" distL="0" distR="0" wp14:anchorId="359B5868" wp14:editId="0F842F17">
                  <wp:extent cx="1000800" cy="1000800"/>
                  <wp:effectExtent l="0" t="0" r="8890" b="8890"/>
                  <wp:docPr id="10079698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79698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3A735" w14:textId="77777777" w:rsidR="002E3DA3" w:rsidRDefault="002E3DA3" w:rsidP="00D069EE">
            <w:pPr>
              <w:spacing w:before="60" w:after="40"/>
              <w:jc w:val="center"/>
            </w:pPr>
            <w:r w:rsidRPr="00D069EE">
              <w:rPr>
                <w:color w:val="595959"/>
                <w:sz w:val="17"/>
                <w:szCs w:val="17"/>
              </w:rPr>
              <w:t>Query design</w:t>
            </w:r>
          </w:p>
        </w:tc>
        <w:tc>
          <w:tcPr>
            <w:tcW w:w="29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1262E9" w14:textId="72281B99" w:rsidR="002E3DA3" w:rsidRDefault="00D069EE" w:rsidP="00D069EE">
            <w:pPr>
              <w:jc w:val="center"/>
              <w:rPr>
                <w:noProof/>
              </w:rPr>
            </w:pPr>
            <w:r w:rsidRPr="00D069EE">
              <w:rPr>
                <w:noProof/>
              </w:rPr>
              <w:drawing>
                <wp:inline distT="0" distB="0" distL="0" distR="0" wp14:anchorId="07B7C15C" wp14:editId="443D9F4E">
                  <wp:extent cx="1000800" cy="1000800"/>
                  <wp:effectExtent l="0" t="0" r="8890" b="8890"/>
                  <wp:docPr id="20736511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6511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96980" w14:textId="57EB78EE" w:rsidR="002E3DA3" w:rsidRDefault="002E3DA3" w:rsidP="00D069EE">
            <w:pPr>
              <w:spacing w:before="60" w:after="40"/>
              <w:jc w:val="center"/>
            </w:pPr>
            <w:r w:rsidRPr="00D069EE">
              <w:rPr>
                <w:b/>
                <w:bCs/>
                <w:color w:val="000000"/>
                <w:sz w:val="18"/>
                <w:szCs w:val="18"/>
              </w:rPr>
              <w:t xml:space="preserve">Distance: </w:t>
            </w:r>
            <w:r w:rsidR="00D069EE" w:rsidRPr="00D069EE">
              <w:rPr>
                <w:b/>
                <w:bCs/>
                <w:color w:val="000000"/>
                <w:sz w:val="18"/>
                <w:szCs w:val="18"/>
              </w:rPr>
              <w:t>0.0333</w:t>
            </w:r>
          </w:p>
        </w:tc>
        <w:tc>
          <w:tcPr>
            <w:tcW w:w="2960" w:type="dxa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0119B5" w14:textId="0FF9D2AB" w:rsidR="002E3DA3" w:rsidRDefault="00D069EE" w:rsidP="00D069EE">
            <w:pPr>
              <w:jc w:val="center"/>
              <w:rPr>
                <w:noProof/>
              </w:rPr>
            </w:pPr>
            <w:r w:rsidRPr="00D069EE">
              <w:rPr>
                <w:noProof/>
              </w:rPr>
              <w:drawing>
                <wp:inline distT="0" distB="0" distL="0" distR="0" wp14:anchorId="7E139D38" wp14:editId="1782BCA8">
                  <wp:extent cx="1000800" cy="1000800"/>
                  <wp:effectExtent l="0" t="0" r="8890" b="8890"/>
                  <wp:docPr id="1474208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2085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800" cy="100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4162A" w14:textId="65384664" w:rsidR="002E3DA3" w:rsidRDefault="002E3DA3" w:rsidP="00D069EE">
            <w:pPr>
              <w:spacing w:before="60" w:after="40"/>
              <w:jc w:val="center"/>
            </w:pPr>
            <w:r w:rsidRPr="00D069EE">
              <w:rPr>
                <w:b/>
                <w:bCs/>
                <w:color w:val="000000"/>
                <w:sz w:val="18"/>
                <w:szCs w:val="18"/>
              </w:rPr>
              <w:t xml:space="preserve">Distance: </w:t>
            </w:r>
            <w:r w:rsidR="00D069EE" w:rsidRPr="00D069EE">
              <w:rPr>
                <w:b/>
                <w:bCs/>
                <w:color w:val="000000"/>
                <w:sz w:val="18"/>
                <w:szCs w:val="18"/>
              </w:rPr>
              <w:t>0.1201</w:t>
            </w:r>
          </w:p>
        </w:tc>
      </w:tr>
    </w:tbl>
    <w:p w14:paraId="16034F5E" w14:textId="77777777" w:rsidR="002E3DA3" w:rsidRDefault="002E3DA3">
      <w:pPr>
        <w:pStyle w:val="Heading1"/>
        <w:spacing w:before="180" w:after="80"/>
        <w:rPr>
          <w:b/>
          <w:bCs/>
          <w:color w:val="1F4E78"/>
          <w:sz w:val="24"/>
          <w:szCs w:val="24"/>
        </w:rPr>
      </w:pPr>
    </w:p>
    <w:p w14:paraId="7F05BE5A" w14:textId="63859072" w:rsidR="00CC46E6" w:rsidRDefault="00000000">
      <w:pPr>
        <w:pStyle w:val="Heading1"/>
        <w:spacing w:before="180" w:after="80"/>
      </w:pPr>
      <w:r>
        <w:rPr>
          <w:b/>
          <w:bCs/>
          <w:color w:val="1F4E78"/>
          <w:sz w:val="24"/>
          <w:szCs w:val="24"/>
        </w:rPr>
        <w:t>Value for Engineers</w:t>
      </w:r>
    </w:p>
    <w:p w14:paraId="1A648107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proofErr w:type="gramStart"/>
      <w:r>
        <w:t>Lets</w:t>
      </w:r>
      <w:proofErr w:type="gramEnd"/>
      <w:r>
        <w:t xml:space="preserve"> engineers check for a reusable existing design before starting from scratch, shortening design cycles.</w:t>
      </w:r>
    </w:p>
    <w:p w14:paraId="1CB6A69D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Searches by actual geometric and structural similarity, not filename, folder location, or tribal knowledge of who worked on something similar.</w:t>
      </w:r>
    </w:p>
    <w:p w14:paraId="262289F0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Format-agnostic foundation (STEP-based) makes the approach broadly applicable across clients' differing native CAD systems.</w:t>
      </w:r>
    </w:p>
    <w:p w14:paraId="161278CF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The same technical building blocks extend naturally to adjacent problems, such as automated manufacturability screening, without starting over.</w:t>
      </w:r>
    </w:p>
    <w:p w14:paraId="5DB14EA7" w14:textId="77777777" w:rsidR="00CC46E6" w:rsidRDefault="00000000">
      <w:pPr>
        <w:pStyle w:val="Heading1"/>
        <w:spacing w:before="180" w:after="80"/>
      </w:pPr>
      <w:r>
        <w:rPr>
          <w:b/>
          <w:bCs/>
          <w:color w:val="1F4E78"/>
          <w:sz w:val="24"/>
          <w:szCs w:val="24"/>
        </w:rPr>
        <w:t>Next Steps</w:t>
      </w:r>
    </w:p>
    <w:p w14:paraId="76233202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Broaden validation across a larger and more complex sample of designs to better characterize retrieval quality.</w:t>
      </w:r>
    </w:p>
    <w:p w14:paraId="3F4272A9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Build a simple interactive search interface to make the capability tangible in stakeholder discussions.</w:t>
      </w:r>
    </w:p>
    <w:p w14:paraId="733581A7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Apply the same technical foundation to a second use case: automated manufacturability / feature screening.</w:t>
      </w:r>
    </w:p>
    <w:p w14:paraId="66BBCFB6" w14:textId="77777777" w:rsidR="00CC46E6" w:rsidRDefault="00000000">
      <w:pPr>
        <w:pStyle w:val="ListParagraph"/>
        <w:numPr>
          <w:ilvl w:val="0"/>
          <w:numId w:val="2"/>
        </w:numPr>
        <w:spacing w:after="50"/>
      </w:pPr>
      <w:r>
        <w:t>Assess what would be required to adapt this approach to a specific client's CAD data and repository.</w:t>
      </w:r>
    </w:p>
    <w:sectPr w:rsidR="00CC46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D578D"/>
    <w:multiLevelType w:val="hybridMultilevel"/>
    <w:tmpl w:val="F6D04584"/>
    <w:lvl w:ilvl="0" w:tplc="619E828C">
      <w:start w:val="1"/>
      <w:numFmt w:val="bullet"/>
      <w:lvlText w:val="●"/>
      <w:lvlJc w:val="left"/>
      <w:pPr>
        <w:ind w:left="720" w:hanging="360"/>
      </w:pPr>
    </w:lvl>
    <w:lvl w:ilvl="1" w:tplc="981E5E98">
      <w:start w:val="1"/>
      <w:numFmt w:val="bullet"/>
      <w:lvlText w:val="○"/>
      <w:lvlJc w:val="left"/>
      <w:pPr>
        <w:ind w:left="1440" w:hanging="360"/>
      </w:pPr>
    </w:lvl>
    <w:lvl w:ilvl="2" w:tplc="7438F3D6">
      <w:start w:val="1"/>
      <w:numFmt w:val="bullet"/>
      <w:lvlText w:val="■"/>
      <w:lvlJc w:val="left"/>
      <w:pPr>
        <w:ind w:left="2160" w:hanging="360"/>
      </w:pPr>
    </w:lvl>
    <w:lvl w:ilvl="3" w:tplc="1394883A">
      <w:start w:val="1"/>
      <w:numFmt w:val="bullet"/>
      <w:lvlText w:val="●"/>
      <w:lvlJc w:val="left"/>
      <w:pPr>
        <w:ind w:left="2880" w:hanging="360"/>
      </w:pPr>
    </w:lvl>
    <w:lvl w:ilvl="4" w:tplc="B49C7690">
      <w:start w:val="1"/>
      <w:numFmt w:val="bullet"/>
      <w:lvlText w:val="○"/>
      <w:lvlJc w:val="left"/>
      <w:pPr>
        <w:ind w:left="3600" w:hanging="360"/>
      </w:pPr>
    </w:lvl>
    <w:lvl w:ilvl="5" w:tplc="12467DA4">
      <w:start w:val="1"/>
      <w:numFmt w:val="bullet"/>
      <w:lvlText w:val="■"/>
      <w:lvlJc w:val="left"/>
      <w:pPr>
        <w:ind w:left="4320" w:hanging="360"/>
      </w:pPr>
    </w:lvl>
    <w:lvl w:ilvl="6" w:tplc="5D9223AE">
      <w:start w:val="1"/>
      <w:numFmt w:val="bullet"/>
      <w:lvlText w:val="●"/>
      <w:lvlJc w:val="left"/>
      <w:pPr>
        <w:ind w:left="5040" w:hanging="360"/>
      </w:pPr>
    </w:lvl>
    <w:lvl w:ilvl="7" w:tplc="3A2C0CB6">
      <w:start w:val="1"/>
      <w:numFmt w:val="bullet"/>
      <w:lvlText w:val="●"/>
      <w:lvlJc w:val="left"/>
      <w:pPr>
        <w:ind w:left="5760" w:hanging="360"/>
      </w:pPr>
    </w:lvl>
    <w:lvl w:ilvl="8" w:tplc="25E87D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EB68D8"/>
    <w:multiLevelType w:val="hybridMultilevel"/>
    <w:tmpl w:val="FDB80492"/>
    <w:lvl w:ilvl="0" w:tplc="ADA2BC70">
      <w:start w:val="1"/>
      <w:numFmt w:val="bullet"/>
      <w:lvlText w:val="•"/>
      <w:lvlJc w:val="left"/>
      <w:pPr>
        <w:ind w:left="400" w:hanging="260"/>
      </w:pPr>
    </w:lvl>
    <w:lvl w:ilvl="1" w:tplc="C0C61A3E">
      <w:numFmt w:val="decimal"/>
      <w:lvlText w:val=""/>
      <w:lvlJc w:val="left"/>
    </w:lvl>
    <w:lvl w:ilvl="2" w:tplc="302EA4C0">
      <w:numFmt w:val="decimal"/>
      <w:lvlText w:val=""/>
      <w:lvlJc w:val="left"/>
    </w:lvl>
    <w:lvl w:ilvl="3" w:tplc="05C81EDE">
      <w:numFmt w:val="decimal"/>
      <w:lvlText w:val=""/>
      <w:lvlJc w:val="left"/>
    </w:lvl>
    <w:lvl w:ilvl="4" w:tplc="7E9205B2">
      <w:numFmt w:val="decimal"/>
      <w:lvlText w:val=""/>
      <w:lvlJc w:val="left"/>
    </w:lvl>
    <w:lvl w:ilvl="5" w:tplc="F0768690">
      <w:numFmt w:val="decimal"/>
      <w:lvlText w:val=""/>
      <w:lvlJc w:val="left"/>
    </w:lvl>
    <w:lvl w:ilvl="6" w:tplc="B5C6EDE2">
      <w:numFmt w:val="decimal"/>
      <w:lvlText w:val=""/>
      <w:lvlJc w:val="left"/>
    </w:lvl>
    <w:lvl w:ilvl="7" w:tplc="8A2AD41C">
      <w:numFmt w:val="decimal"/>
      <w:lvlText w:val=""/>
      <w:lvlJc w:val="left"/>
    </w:lvl>
    <w:lvl w:ilvl="8" w:tplc="B12C82D0">
      <w:numFmt w:val="decimal"/>
      <w:lvlText w:val=""/>
      <w:lvlJc w:val="left"/>
    </w:lvl>
  </w:abstractNum>
  <w:num w:numId="1" w16cid:durableId="60908583">
    <w:abstractNumId w:val="0"/>
    <w:lvlOverride w:ilvl="0">
      <w:startOverride w:val="1"/>
    </w:lvlOverride>
  </w:num>
  <w:num w:numId="2" w16cid:durableId="9645762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6E6"/>
    <w:rsid w:val="00266F77"/>
    <w:rsid w:val="002E3DA3"/>
    <w:rsid w:val="00795201"/>
    <w:rsid w:val="00BE3236"/>
    <w:rsid w:val="00CC46E6"/>
    <w:rsid w:val="00D069EE"/>
    <w:rsid w:val="00F7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CB67AA"/>
  <w15:docId w15:val="{1DAD79E6-53F6-4F35-9A39-C401DE5E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722</Words>
  <Characters>4118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Project Overview</vt:lpstr>
      <vt:lpstr>Objectives</vt:lpstr>
      <vt:lpstr>Why This Matters</vt:lpstr>
      <vt:lpstr>Technical Approach</vt:lpstr>
      <vt:lpstr>Results to Date</vt:lpstr>
      <vt:lpstr>Example Retrieval Results</vt:lpstr>
      <vt:lpstr/>
      <vt:lpstr>Value for Engineers</vt:lpstr>
      <vt:lpstr>Next Steps</vt:lpstr>
    </vt:vector>
  </TitlesOfParts>
  <Company/>
  <LinksUpToDate>false</LinksUpToDate>
  <CharactersWithSpaces>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PRABU</cp:lastModifiedBy>
  <cp:revision>3</cp:revision>
  <dcterms:created xsi:type="dcterms:W3CDTF">2026-09-10T11:34:00Z</dcterms:created>
  <dcterms:modified xsi:type="dcterms:W3CDTF">2026-09-10T12:03:00Z</dcterms:modified>
</cp:coreProperties>
</file>