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7DCC" w:rsidRDefault="002E7DCC" w:rsidP="00666562">
      <w:pPr>
        <w:jc w:val="center"/>
        <w:rPr>
          <w:b/>
          <w:sz w:val="24"/>
          <w:szCs w:val="21"/>
        </w:rPr>
      </w:pPr>
      <w:r w:rsidRPr="00666562">
        <w:rPr>
          <w:b/>
          <w:sz w:val="24"/>
          <w:szCs w:val="21"/>
        </w:rPr>
        <w:t>Case-Study</w:t>
      </w:r>
      <w:r>
        <w:rPr>
          <w:b/>
          <w:sz w:val="24"/>
          <w:szCs w:val="21"/>
        </w:rPr>
        <w:t xml:space="preserve"> 15</w:t>
      </w:r>
    </w:p>
    <w:p w:rsidR="002E7DCC" w:rsidRDefault="002E7DCC" w:rsidP="00666562">
      <w:pPr>
        <w:jc w:val="center"/>
        <w:rPr>
          <w:b/>
          <w:sz w:val="24"/>
          <w:szCs w:val="21"/>
        </w:rPr>
      </w:pPr>
    </w:p>
    <w:p w:rsidR="00666562" w:rsidRPr="00666562" w:rsidRDefault="00666562" w:rsidP="00666562">
      <w:pPr>
        <w:jc w:val="center"/>
        <w:rPr>
          <w:b/>
          <w:sz w:val="24"/>
          <w:szCs w:val="21"/>
        </w:rPr>
      </w:pPr>
      <w:r w:rsidRPr="00666562">
        <w:rPr>
          <w:b/>
          <w:sz w:val="24"/>
          <w:szCs w:val="21"/>
        </w:rPr>
        <w:t>Amyo</w:t>
      </w:r>
      <w:r w:rsidR="002E7DCC">
        <w:rPr>
          <w:b/>
          <w:sz w:val="24"/>
          <w:szCs w:val="21"/>
        </w:rPr>
        <w:t>trophic Lateral Sclerosis (ALS)</w:t>
      </w:r>
    </w:p>
    <w:p w:rsidR="00666562" w:rsidRDefault="00666562" w:rsidP="00666562">
      <w:pPr>
        <w:rPr>
          <w:sz w:val="21"/>
          <w:szCs w:val="21"/>
        </w:rPr>
      </w:pPr>
    </w:p>
    <w:p w:rsidR="002E7DCC" w:rsidRDefault="002E7DCC" w:rsidP="002E7DCC">
      <w:pPr>
        <w:rPr>
          <w:sz w:val="21"/>
          <w:szCs w:val="21"/>
        </w:rPr>
      </w:pPr>
      <w:r w:rsidRPr="002E7DCC">
        <w:rPr>
          <w:b/>
          <w:sz w:val="21"/>
          <w:szCs w:val="21"/>
        </w:rPr>
        <w:t>Overview</w:t>
      </w:r>
      <w:r w:rsidRPr="002E7DCC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This case-study examines the patterns, symmetries, associations and causality in a rare but devastating disease, amyotrophic lateral sclerosis (ALS). ALS demands conducting clinical trials and collecting big, multi-source and heterogeneous datasets that can be interrogated to derive potential biomarkers. Overcoming many scientific, technical and infrastructure barriers is required to establish complete, efficient, and reproducible protocols (pipelines/workflows) starting with acquiring raw data, preprocessing, aggregation, harmonization, analysis, visualization and result interpretation. </w:t>
      </w:r>
    </w:p>
    <w:p w:rsidR="002E7DCC" w:rsidRDefault="002E7DCC" w:rsidP="002E7DCC">
      <w:pPr>
        <w:rPr>
          <w:sz w:val="21"/>
          <w:szCs w:val="21"/>
        </w:rPr>
      </w:pPr>
    </w:p>
    <w:p w:rsidR="002E7DCC" w:rsidRDefault="002E7DCC" w:rsidP="002E7DCC">
      <w:pPr>
        <w:rPr>
          <w:sz w:val="21"/>
          <w:szCs w:val="21"/>
        </w:rPr>
      </w:pPr>
      <w:r w:rsidRPr="002E7DCC">
        <w:rPr>
          <w:sz w:val="21"/>
          <w:szCs w:val="21"/>
        </w:rPr>
        <w:t xml:space="preserve">The clinical data </w:t>
      </w:r>
      <w:r>
        <w:rPr>
          <w:sz w:val="21"/>
          <w:szCs w:val="21"/>
        </w:rPr>
        <w:t>shows</w:t>
      </w:r>
      <w:r w:rsidRPr="002E7DCC">
        <w:rPr>
          <w:sz w:val="21"/>
          <w:szCs w:val="21"/>
        </w:rPr>
        <w:t xml:space="preserve"> that the rate of ALS progression varies significantly among patients. </w:t>
      </w:r>
      <w:r>
        <w:rPr>
          <w:sz w:val="21"/>
          <w:szCs w:val="21"/>
        </w:rPr>
        <w:t>M</w:t>
      </w:r>
      <w:r w:rsidRPr="002E7DCC">
        <w:rPr>
          <w:sz w:val="21"/>
          <w:szCs w:val="21"/>
        </w:rPr>
        <w:t xml:space="preserve">ajority of the patients die within 3 to 5 years after ALS onset, </w:t>
      </w:r>
      <w:r>
        <w:rPr>
          <w:sz w:val="21"/>
          <w:szCs w:val="21"/>
        </w:rPr>
        <w:t xml:space="preserve">however, </w:t>
      </w:r>
      <w:r w:rsidRPr="002E7DCC">
        <w:rPr>
          <w:sz w:val="21"/>
          <w:szCs w:val="21"/>
        </w:rPr>
        <w:t xml:space="preserve">a few are able survive for over 10 years. This heterogeneity of disease course hinders demonstration of its biological mechanism and development of effective treatment. </w:t>
      </w:r>
      <w:r>
        <w:rPr>
          <w:sz w:val="21"/>
          <w:szCs w:val="21"/>
        </w:rPr>
        <w:t>We need to develop</w:t>
      </w:r>
      <w:r w:rsidRPr="002E7DCC">
        <w:rPr>
          <w:sz w:val="21"/>
          <w:szCs w:val="21"/>
        </w:rPr>
        <w:t xml:space="preserve"> reliable predictive model</w:t>
      </w:r>
      <w:r>
        <w:rPr>
          <w:sz w:val="21"/>
          <w:szCs w:val="21"/>
        </w:rPr>
        <w:t>s</w:t>
      </w:r>
      <w:r w:rsidRPr="002E7DCC">
        <w:rPr>
          <w:sz w:val="21"/>
          <w:szCs w:val="21"/>
        </w:rPr>
        <w:t xml:space="preserve"> of ALS progression </w:t>
      </w:r>
      <w:r>
        <w:rPr>
          <w:sz w:val="21"/>
          <w:szCs w:val="21"/>
        </w:rPr>
        <w:t>to</w:t>
      </w:r>
      <w:r w:rsidRPr="002E7DCC">
        <w:rPr>
          <w:sz w:val="21"/>
          <w:szCs w:val="21"/>
        </w:rPr>
        <w:t xml:space="preserve"> understand the pathophysiology of </w:t>
      </w:r>
      <w:r>
        <w:rPr>
          <w:sz w:val="21"/>
          <w:szCs w:val="21"/>
        </w:rPr>
        <w:t>the disease</w:t>
      </w:r>
      <w:r w:rsidRPr="002E7DCC">
        <w:rPr>
          <w:sz w:val="21"/>
          <w:szCs w:val="21"/>
        </w:rPr>
        <w:t>.</w:t>
      </w:r>
    </w:p>
    <w:p w:rsidR="002E7DCC" w:rsidRPr="002E7DCC" w:rsidRDefault="002E7DCC" w:rsidP="002E7DCC">
      <w:pPr>
        <w:rPr>
          <w:sz w:val="21"/>
          <w:szCs w:val="21"/>
        </w:rPr>
      </w:pPr>
    </w:p>
    <w:p w:rsidR="002E7DCC" w:rsidRPr="002E7DCC" w:rsidRDefault="002E7DCC" w:rsidP="002E7DCC">
      <w:pPr>
        <w:rPr>
          <w:sz w:val="21"/>
          <w:szCs w:val="21"/>
        </w:rPr>
      </w:pPr>
      <w:r w:rsidRPr="002E7DCC">
        <w:rPr>
          <w:b/>
          <w:sz w:val="21"/>
          <w:szCs w:val="21"/>
        </w:rPr>
        <w:t>Driving Challenges</w:t>
      </w:r>
      <w:r w:rsidRPr="002E7DCC">
        <w:rPr>
          <w:sz w:val="21"/>
          <w:szCs w:val="21"/>
        </w:rPr>
        <w:t xml:space="preserve">: </w:t>
      </w:r>
    </w:p>
    <w:p w:rsidR="002E7DCC" w:rsidRPr="002E7DCC" w:rsidRDefault="002E7DCC" w:rsidP="002E7DC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What patient phenotypes can be automatically and reliably determined</w:t>
      </w:r>
      <w:r w:rsidRPr="002E7DCC">
        <w:rPr>
          <w:sz w:val="21"/>
          <w:szCs w:val="21"/>
        </w:rPr>
        <w:t xml:space="preserve">? </w:t>
      </w:r>
    </w:p>
    <w:p w:rsidR="002E7DCC" w:rsidRDefault="002E7DCC" w:rsidP="002E7DC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Predict the change of the ALSFRS slope change using the holistic patient-specific data.</w:t>
      </w:r>
    </w:p>
    <w:p w:rsidR="002E7DCC" w:rsidRPr="002E7DCC" w:rsidRDefault="002E7DCC" w:rsidP="002E7DC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Predict survival of patients at a given time-point (post diagnosis).</w:t>
      </w:r>
      <w:r w:rsidRPr="002E7DCC">
        <w:rPr>
          <w:sz w:val="21"/>
          <w:szCs w:val="21"/>
        </w:rPr>
        <w:t xml:space="preserve"> </w:t>
      </w:r>
    </w:p>
    <w:p w:rsidR="002E7DCC" w:rsidRPr="002E7DCC" w:rsidRDefault="002E7DCC" w:rsidP="002E7DCC">
      <w:pPr>
        <w:rPr>
          <w:sz w:val="21"/>
          <w:szCs w:val="21"/>
        </w:rPr>
      </w:pPr>
      <w:r w:rsidRPr="002E7DCC">
        <w:rPr>
          <w:sz w:val="21"/>
          <w:szCs w:val="21"/>
        </w:rPr>
        <w:t xml:space="preserve"> </w:t>
      </w:r>
    </w:p>
    <w:p w:rsidR="002E7DCC" w:rsidRPr="002E7DCC" w:rsidRDefault="002E7DCC" w:rsidP="002E7DCC">
      <w:pPr>
        <w:rPr>
          <w:b/>
          <w:sz w:val="21"/>
          <w:szCs w:val="21"/>
        </w:rPr>
      </w:pPr>
      <w:r w:rsidRPr="002E7DCC">
        <w:rPr>
          <w:b/>
          <w:sz w:val="21"/>
          <w:szCs w:val="21"/>
        </w:rPr>
        <w:t>Meta-Data</w:t>
      </w:r>
    </w:p>
    <w:p w:rsidR="00666562" w:rsidRDefault="00666562" w:rsidP="00666562">
      <w:pPr>
        <w:rPr>
          <w:sz w:val="21"/>
          <w:szCs w:val="21"/>
        </w:rPr>
      </w:pPr>
    </w:p>
    <w:p w:rsidR="00B1673B" w:rsidRDefault="002E7DCC" w:rsidP="00B1673B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There are 2 datasets</w:t>
      </w:r>
      <w:r w:rsidR="00B1673B">
        <w:rPr>
          <w:sz w:val="21"/>
          <w:szCs w:val="21"/>
        </w:rPr>
        <w:t>:</w:t>
      </w:r>
    </w:p>
    <w:p w:rsidR="00B1673B" w:rsidRDefault="002E7DCC" w:rsidP="00B1673B">
      <w:pPr>
        <w:pStyle w:val="ListParagraph"/>
        <w:numPr>
          <w:ilvl w:val="1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training (</w:t>
      </w:r>
      <w:r w:rsidR="00B1673B">
        <w:rPr>
          <w:sz w:val="21"/>
          <w:szCs w:val="21"/>
        </w:rPr>
        <w:t>N1=2,223</w:t>
      </w:r>
      <w:r>
        <w:rPr>
          <w:sz w:val="21"/>
          <w:szCs w:val="21"/>
        </w:rPr>
        <w:t>)</w:t>
      </w:r>
      <w:r w:rsidR="00B1673B">
        <w:rPr>
          <w:sz w:val="21"/>
          <w:szCs w:val="21"/>
        </w:rPr>
        <w:t xml:space="preserve">: </w:t>
      </w:r>
      <w:r w:rsidR="00B1673B" w:rsidRPr="00B1673B">
        <w:rPr>
          <w:b/>
          <w:sz w:val="21"/>
          <w:szCs w:val="21"/>
        </w:rPr>
        <w:t>ALS_TrainingData_2223.csv</w:t>
      </w:r>
      <w:r w:rsidR="00B1673B">
        <w:rPr>
          <w:sz w:val="21"/>
          <w:szCs w:val="21"/>
        </w:rPr>
        <w:t>,</w:t>
      </w:r>
      <w:r>
        <w:rPr>
          <w:sz w:val="21"/>
          <w:szCs w:val="21"/>
        </w:rPr>
        <w:t xml:space="preserve"> and </w:t>
      </w:r>
    </w:p>
    <w:p w:rsidR="002E7DCC" w:rsidRDefault="002E7DCC" w:rsidP="00B1673B">
      <w:pPr>
        <w:pStyle w:val="ListParagraph"/>
        <w:numPr>
          <w:ilvl w:val="1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testing (</w:t>
      </w:r>
      <w:r w:rsidR="00B1673B">
        <w:rPr>
          <w:sz w:val="21"/>
          <w:szCs w:val="21"/>
        </w:rPr>
        <w:t>N2=78</w:t>
      </w:r>
      <w:r>
        <w:rPr>
          <w:sz w:val="21"/>
          <w:szCs w:val="21"/>
        </w:rPr>
        <w:t>)</w:t>
      </w:r>
      <w:r w:rsidR="00B1673B">
        <w:rPr>
          <w:sz w:val="21"/>
          <w:szCs w:val="21"/>
        </w:rPr>
        <w:t xml:space="preserve">: </w:t>
      </w:r>
      <w:r w:rsidR="00B1673B" w:rsidRPr="00B1673B">
        <w:rPr>
          <w:b/>
          <w:sz w:val="21"/>
          <w:szCs w:val="21"/>
        </w:rPr>
        <w:t>ALS_TestingData_78.csv</w:t>
      </w:r>
    </w:p>
    <w:p w:rsidR="00B1673B" w:rsidRDefault="00B1673B" w:rsidP="00B1673B">
      <w:pPr>
        <w:pStyle w:val="ListParagraph"/>
        <w:ind w:left="1440"/>
        <w:rPr>
          <w:sz w:val="21"/>
          <w:szCs w:val="21"/>
        </w:rPr>
      </w:pPr>
    </w:p>
    <w:p w:rsidR="002E7DCC" w:rsidRDefault="002E7DCC" w:rsidP="002E7DCC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Each dataset includes the following </w:t>
      </w:r>
      <w:r w:rsidR="00B1673B">
        <w:rPr>
          <w:sz w:val="21"/>
          <w:szCs w:val="21"/>
        </w:rPr>
        <w:t>131 variables</w:t>
      </w:r>
      <w:r>
        <w:rPr>
          <w:sz w:val="21"/>
          <w:szCs w:val="21"/>
        </w:rPr>
        <w:t>:</w:t>
      </w:r>
    </w:p>
    <w:p w:rsidR="002E7DCC" w:rsidRDefault="002E7DCC" w:rsidP="002E7DCC">
      <w:pPr>
        <w:pStyle w:val="ListParagraph"/>
        <w:rPr>
          <w:sz w:val="21"/>
          <w:szCs w:val="21"/>
        </w:rPr>
      </w:pPr>
    </w:p>
    <w:p w:rsidR="002E7DCC" w:rsidRDefault="002E7DCC" w:rsidP="002E7DCC">
      <w:pPr>
        <w:pStyle w:val="ListParagraph"/>
        <w:rPr>
          <w:sz w:val="21"/>
          <w:szCs w:val="21"/>
        </w:rPr>
      </w:pPr>
      <w:r w:rsidRPr="002E7DCC">
        <w:rPr>
          <w:sz w:val="21"/>
          <w:szCs w:val="21"/>
        </w:rPr>
        <w:t>ID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Age_mean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Albumin_max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Albumin_median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Albumin_min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Albumin_range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ALSFRS_slope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ALSFRS_Total_max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ALSFRS_Total_median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ALSFRS_Total_min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ALSFRS_Total_range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ALT.SGPT._max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ALT.SGPT._median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ALT.SGPT._min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ALT.SGPT._range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AST.SGOT._max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AST.SGOT._median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AST.SGOT._min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AST.SGOT._range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Basophils_max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Basophils_median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Basophils_min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Basophils_range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Bicarbonate_max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Bicarbonate_median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Bicarbonate_min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Bicarbonate_range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Bilirubin..total._max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Bilirubin..total._median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Bilirubin..total._min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Bilirubin..total._range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Blood.Urea.Nitrogen..BUN._max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Blood.Urea.Nitrogen..BUN._median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Blood.Urea.Nitrogen..BUN._min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Blood.Urea.Nitrogen..BUN._range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BMI_max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bp_diastolic_max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bp_diastolic_median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bp_diastolic_min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bp_diastolic_range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bp_systolic_max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bp_systolic_median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bp_systolic_min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bp_systolic_range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Calcium_max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Calcium_median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Calcium_min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Calcium_range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Chloride_max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Chloride_median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Chloride_min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Chloride_range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Creatinine_max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Creatinine_median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Creatinine_min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Creatinine_range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Eosinophils_max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Eosinophils_median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Eosinophils_min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Eosinophils_range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Gender_mean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Glucose_max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Glucose_median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Glucose_min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Glucose_range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hands_max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hands_median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hands_min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hands_range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Hematocrit_max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Hematocrit_median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Hematocrit_min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Hematocrit_range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Hemoglobin_max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Hemoglobin_median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Hemoglobin_min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Hemoglobin_range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leg_max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leg_median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leg_min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leg_range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Lymphocytes_max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Lymphocytes_median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Lymphocytes_min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Lymphocytes_range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Monocytes_max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Monocytes_median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Monocytes_min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Monocytes_range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mouth_max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mouth_median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mouth_min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mouth_range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onset_delta_mean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onset_site_mean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Platelets_max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Platelets_median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Platelets_min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Potassium_max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Potassium_median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Potassium_min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Potassium_range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pulse_max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pulse_median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pulse_min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pulse_range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Red.Blood.Cells..RBC._max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lastRenderedPageBreak/>
        <w:t>Red.Blood.Cells..RBC._median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Red.Blood.Cells..RBC._min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Red.Blood.Cells..RBC._range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respiratory_max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respiratory_median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respiratory_min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respiratory_range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Sodium_max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Sodium_median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Sodium_min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Sodium_range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SubjectID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trunk_max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trunk_median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trunk_min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trunk_range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Urine.Ph_max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Urine.Ph_median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Urine.Ph_min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Urine.Ph_range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White.Blood.Cell..WBC._max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White.Blood.Cell..WBC._median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White.Blood.Cell..WBC._min</w:t>
      </w:r>
      <w:r>
        <w:rPr>
          <w:sz w:val="21"/>
          <w:szCs w:val="21"/>
        </w:rPr>
        <w:t xml:space="preserve">; </w:t>
      </w:r>
      <w:r w:rsidRPr="002E7DCC">
        <w:rPr>
          <w:sz w:val="21"/>
          <w:szCs w:val="21"/>
        </w:rPr>
        <w:t>White.Blood.Cell..WBC._range</w:t>
      </w:r>
    </w:p>
    <w:p w:rsidR="00B4251A" w:rsidRDefault="00B4251A" w:rsidP="00B4251A">
      <w:pPr>
        <w:rPr>
          <w:b/>
          <w:sz w:val="21"/>
          <w:szCs w:val="21"/>
        </w:rPr>
      </w:pPr>
    </w:p>
    <w:p w:rsidR="00B85093" w:rsidRPr="00B4251A" w:rsidRDefault="00B85093" w:rsidP="00B4251A">
      <w:pPr>
        <w:rPr>
          <w:sz w:val="21"/>
          <w:szCs w:val="21"/>
        </w:rPr>
      </w:pPr>
      <w:r w:rsidRPr="00B4251A">
        <w:rPr>
          <w:b/>
          <w:sz w:val="21"/>
          <w:szCs w:val="21"/>
        </w:rPr>
        <w:t>References</w:t>
      </w:r>
      <w:r w:rsidRPr="00B4251A">
        <w:rPr>
          <w:sz w:val="21"/>
          <w:szCs w:val="21"/>
        </w:rPr>
        <w:t>:</w:t>
      </w:r>
    </w:p>
    <w:p w:rsidR="00B85093" w:rsidRDefault="00B85093" w:rsidP="00B4251A">
      <w:pPr>
        <w:pStyle w:val="ListParagraph"/>
        <w:numPr>
          <w:ilvl w:val="0"/>
          <w:numId w:val="5"/>
        </w:numPr>
      </w:pPr>
      <w:r>
        <w:t xml:space="preserve">Tang, M., Gao, C, Goutman, SA, Kalinin, A, Mukherjee, B, Guan, Y, and </w:t>
      </w:r>
      <w:r w:rsidRPr="00B85093">
        <w:rPr>
          <w:bCs/>
        </w:rPr>
        <w:t>Dinov</w:t>
      </w:r>
      <w:r>
        <w:t xml:space="preserve">, ID. (2018) </w:t>
      </w:r>
      <w:hyperlink r:id="rId5" w:history="1">
        <w:r>
          <w:rPr>
            <w:rStyle w:val="Hyperlink"/>
          </w:rPr>
          <w:t>Model-Based and Model-Free Techniques for Amyotrophic Lateral Sclerosis Diagnostic Prediction and Patient Clustering</w:t>
        </w:r>
      </w:hyperlink>
      <w:r>
        <w:t xml:space="preserve">, </w:t>
      </w:r>
      <w:hyperlink r:id="rId6" w:history="1">
        <w:r>
          <w:rPr>
            <w:rStyle w:val="Hyperlink"/>
          </w:rPr>
          <w:t>Neuroinformatics</w:t>
        </w:r>
      </w:hyperlink>
      <w:r>
        <w:t xml:space="preserve">, 1-15, </w:t>
      </w:r>
      <w:hyperlink r:id="rId7" w:history="1">
        <w:r>
          <w:rPr>
            <w:rStyle w:val="Hyperlink"/>
          </w:rPr>
          <w:t>DOI: 10.1007/s12021-018-9406-9.</w:t>
        </w:r>
      </w:hyperlink>
    </w:p>
    <w:p w:rsidR="00B4251A" w:rsidRDefault="00B4251A" w:rsidP="00B4251A">
      <w:pPr>
        <w:pStyle w:val="ListParagraph"/>
        <w:numPr>
          <w:ilvl w:val="0"/>
          <w:numId w:val="5"/>
        </w:numPr>
      </w:pPr>
      <w:hyperlink r:id="rId8" w:history="1">
        <w:r w:rsidRPr="00CF59A5">
          <w:rPr>
            <w:rStyle w:val="Hyperlink"/>
          </w:rPr>
          <w:t>https://scholar.google.com/scholar?hl=en&amp;as_sdt=1%2C23&amp;q=%22proact%22+%22als%22&amp;btnG</w:t>
        </w:r>
      </w:hyperlink>
      <w:r w:rsidRPr="00B4251A">
        <w:t>=</w:t>
      </w:r>
      <w:r>
        <w:t xml:space="preserve"> </w:t>
      </w:r>
      <w:bookmarkStart w:id="0" w:name="_GoBack"/>
      <w:bookmarkEnd w:id="0"/>
    </w:p>
    <w:p w:rsidR="00B85093" w:rsidRPr="002E7DCC" w:rsidRDefault="00B85093" w:rsidP="002E7DCC">
      <w:pPr>
        <w:pStyle w:val="ListParagraph"/>
        <w:rPr>
          <w:sz w:val="21"/>
          <w:szCs w:val="21"/>
        </w:rPr>
      </w:pPr>
    </w:p>
    <w:sectPr w:rsidR="00B85093" w:rsidRPr="002E7DCC" w:rsidSect="00B1673B"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ED6"/>
    <w:multiLevelType w:val="hybridMultilevel"/>
    <w:tmpl w:val="16C83CD4"/>
    <w:lvl w:ilvl="0" w:tplc="49BE8580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78D"/>
    <w:multiLevelType w:val="hybridMultilevel"/>
    <w:tmpl w:val="8482FA34"/>
    <w:lvl w:ilvl="0" w:tplc="BA0E193C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F46B4"/>
    <w:multiLevelType w:val="multilevel"/>
    <w:tmpl w:val="69E631AC"/>
    <w:lvl w:ilvl="0">
      <w:start w:val="1"/>
      <w:numFmt w:val="decimal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59376B"/>
    <w:multiLevelType w:val="multilevel"/>
    <w:tmpl w:val="68088D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1B62B68"/>
    <w:multiLevelType w:val="hybridMultilevel"/>
    <w:tmpl w:val="DD8CD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1733F"/>
    <w:rsid w:val="002E7DCC"/>
    <w:rsid w:val="00666562"/>
    <w:rsid w:val="00A1733F"/>
    <w:rsid w:val="00B1673B"/>
    <w:rsid w:val="00B4251A"/>
    <w:rsid w:val="00B8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10C7"/>
  <w15:docId w15:val="{9FA35EAB-68F3-489B-8D1C-63A753B0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E7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hl=en&amp;as_sdt=1%2C23&amp;q=%22proact%22+%22als%22&amp;bt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2021-018-9406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journal/12021" TargetMode="External"/><Relationship Id="rId5" Type="http://schemas.openxmlformats.org/officeDocument/2006/relationships/hyperlink" Target="https://doi.org/10.1007/s12021-018-9406-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Dinov</cp:lastModifiedBy>
  <cp:revision>5</cp:revision>
  <dcterms:created xsi:type="dcterms:W3CDTF">2016-06-17T15:41:00Z</dcterms:created>
  <dcterms:modified xsi:type="dcterms:W3CDTF">2019-07-19T00:04:00Z</dcterms:modified>
</cp:coreProperties>
</file>