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sz w:val="22"/>
        </w:rPr>
        <w:t>LITERATURE REVIEW</w:t>
      </w:r>
    </w:p>
    <w:p>
      <w:pPr>
        <w:spacing w:after="180"/>
      </w:pPr>
      <w:r>
        <w:rPr>
          <w:sz w:val="18"/>
        </w:rPr>
        <w:t>2.1 LITERATURE REVIEW</w:t>
      </w:r>
    </w:p>
    <w:p>
      <w:pPr>
        <w:spacing w:lineRule="exact" w:line="284" w:after="200"/>
      </w:pPr>
      <w:r>
        <w:rPr>
          <w:b/>
          <w:color w:val="173F36"/>
          <w:sz w:val="22"/>
        </w:rPr>
        <w:t>2.1.1 SHEPPARD, A. L. AND WOLFFSOHN, J. S. (2018). 'DIGITAL EYE STRAIN: PREVALENCE, MEASUREMENT AND AMELIORATION.'</w:t>
      </w:r>
    </w:p>
    <w:p>
      <w:pPr>
        <w:widowControl w:val="0"/>
        <w:spacing w:lineRule="exact" w:line="325"/>
        <w:jc w:val="both"/>
      </w:pPr>
      <w:r>
        <w:rPr>
          <w:sz w:val="24"/>
        </w:rPr>
        <w:t>Sheppard and Wolffsohn (2018) review digital eye strain in the context of increasing dependence on computers, smartphones and other digital displays. The paper explains that discomfort during digital-device use involves several possible mechanisms rather than a single, uniform condition. It distinguishes internal symptoms, associated with accommodative and binocular visual demands, from external symptoms, associated with the ocular surface and dry eye. This distinction is important because complaints such as tired eyes, difficulty maintaining clear vision, irritation and dryness should not automatically be treated as evidence of the same underlying problem. The review therefore establishes a broader basis for understanding visual comfort during sustained screen-based activity. A central contribution of the paper is its discussion of how digital tasks interact with normal visual behaviour. Concentrated viewing can be associated with changes in blinking, while sustained near work places continuing demands on the visual system. Environmental conditions, viewing arrangements and individual characteristics also influence symptoms. Consequently, screen duration alone cannot explain every user's experience, and one observable signal cannot provide a complete assessment of visual discomfort. The authors discuss approaches for measuring symptoms and examining relevant visual functions, highlighting the difference between a person's reported experience and an objective observation. This distinction is particularly relevant to systems that attempt to infer wellness from camera data. The review also considers approaches intended to ameliorate discomfort, including attention to visual correction, working conditions and patterns of digital-device use. These considerations support a practical emphasis on prevention, comfort and appropriate management rather than assuming that technology use inevitably produces the same symptoms in every person. In AURA, the paper provides the health-related motivation for observing eye-associated signals and encouraging users to interrupt prolonged screen sessions with suitable wellness activities. Blink-related observations and eyelid-opening measurements can make aspects of screen-use behaviour visible, while reminders can create opportunities to look away, blink deliberately or reconsider the working environment. However, these features should be understood as an engineering response inspired by the review, not as interventions whose effectiveness the review establishes for AURA. The paper also helps define an important design requirement: estimated fatigue and digital eye strain must not be treated as interchangeable labels. A low blink rate, a period of eye closure or a change in eye opening can occur for multiple reasons, including task concentration, voluntary movement and imperfect tracking. Such observations should therefore be interpreted alongside other contextual information rather than presented as a diagnosis. AURA's dashboard can support awareness of patterns, but it cannot determine whether symptoms arise from dry eye, an uncorrected visual problem or another condition. Persistent or concerning symptoms require appropriate professional assessment rather than reliance on an application score. An important limitation when applying this literature is that the article is a review of digital eye strain, not a validation study of AURA's camera pipeline, scoring thresholds or recommendation engine. It does not establish the sensitivity or specificity of the project's indicators, nor does it prove that its reminders reduce symptoms. Future evaluation should combine user-reported comfort with clearly defined observation periods and relevant usability measures. Overall, this work contributes the clinical and ergonomic background for the project, supports a cautious wellness-oriented framing and emphasizes that visual well-being requires attention to the user and environment as well as measurable screen activity.</w:t>
      </w:r>
    </w:p>
    <w:p>
      <w:r>
        <w:br w:type="page"/>
      </w:r>
    </w:p>
    <w:p>
      <w:pPr>
        <w:spacing w:after="100"/>
      </w:pPr>
      <w:r>
        <w:rPr>
          <w:b/>
          <w:sz w:val="22"/>
        </w:rPr>
        <w:t>LITERATURE REVIEW</w:t>
      </w:r>
    </w:p>
    <w:p>
      <w:pPr>
        <w:spacing w:after="180"/>
      </w:pPr>
      <w:r>
        <w:rPr>
          <w:sz w:val="18"/>
        </w:rPr>
        <w:t>2.1 LITERATURE REVIEW</w:t>
      </w:r>
    </w:p>
    <w:p>
      <w:pPr>
        <w:spacing w:lineRule="exact" w:line="284" w:after="200"/>
      </w:pPr>
      <w:r>
        <w:rPr>
          <w:b/>
          <w:color w:val="173F36"/>
          <w:sz w:val="22"/>
        </w:rPr>
        <w:t>2.1.2 SOUKUPOVÁ, T. AND ČECH, J. (2016). 'REAL-TIME EYE BLINK DETECTION USING FACIAL LANDMARKS.'</w:t>
      </w:r>
    </w:p>
    <w:p>
      <w:pPr>
        <w:widowControl w:val="0"/>
        <w:spacing w:lineRule="exact" w:line="333"/>
        <w:jc w:val="both"/>
      </w:pPr>
      <w:r>
        <w:rPr>
          <w:sz w:val="24"/>
        </w:rPr>
        <w:t>This paper presents a real-time approach to detecting eye blinks from facial landmarks in video captured using a standard camera. Its central contribution is the Eye Aspect Ratio, commonly abbreviated as EAR, which summarizes eye opening using distances between selected points around the eyelids. The measure combines vertical distances across the eye with the horizontal distance between its corners. When an eye is open, the vertical distances remain relatively large; during closure, they decrease and produce a characteristic reduction in the ratio. Normalizing by eye width makes the measure less dependent on the apparent size of the face than an unnormalized pixel distance, although it does not eliminate difficulties caused by pose, occlusion or inaccurate landmarks. The authors do not treat every low EAR value as a complete blink. Instead, their method considers the evolution of the signal over a short temporal window and uses a Support Vector Machine to classify blink patterns. This temporal treatment is important because a natural blink involves an opening-to-closure-to-opening sequence, while a noisy frame or a sustained closure can produce different behaviour. The work therefore demonstrates that both spatial geometry and changes across time are useful when converting facial measurements into meaningful events. It also shows why real-time blink detection can be developed without directly classifying the entire camera image at every stage of the decision process. For AURA, the paper provides the geometric foundation of the eye-analysis component. The project obtains eye landmarks through MediaPipe and uses their relative positions to estimate eye opening. It combines this information with personal baseline calibration, expression-related signals and a threshold-based state machine to identify eye states and blink events. This implementation is an adaptation of the EAR concept rather than a reproduction of the paper's trained Support Vector Machine. The distinction matters because using the same geometric feature does not mean that the project's detection performance is identical to the performance reported for the original method. AURA must be assessed using its own landmark source, thresholds, timing rules and operating conditions. The study also informs the separation of short blinks from prolonged closure in the project. Repeated frame-level measurements can support estimates of blink frequency and closure duration, but these quantities depend on reliable timestamps, adequate frame sampling and consistent tracking. If frames are missed or the face becomes unavailable, the system should not count the interruption as a genuine closed-eye event. Personal calibration is useful because typical eye geometry varies between users, yet calibration itself cannot correct every source of error. Spectacles, reflections, uneven lighting, head rotation and partial facial obstruction remain relevant practical challenges. These considerations support testing each eye independently and retaining confidence-aware handling of missing observations. A key limitation of the paper's application to AURA is that blink detection is not equivalent to fatigue diagnosis. A user may blink frequently because of irritation or intentionally close an eye without being tired, while demanding visual tasks may alter blinking for reasons unrelated to sleepiness. Accordingly, eye events should contribute to a broader, nonmedical estimate rather than act as definitive evidence of fatigue. Future project evaluation should compare detected events with manually annotated video, reporting missed blinks, false detections and errors in closure duration under varied conditions. Overall, the paper contributes an interpretable and computationally practical feature, establishes the importance of temporal analysis and provides a clear methodological starting point for AURA's real-time eye-monitoring pipeline.</w:t>
      </w:r>
    </w:p>
    <w:p>
      <w:r>
        <w:br w:type="page"/>
      </w:r>
    </w:p>
    <w:p>
      <w:pPr>
        <w:spacing w:after="100"/>
      </w:pPr>
      <w:r>
        <w:rPr>
          <w:b/>
          <w:sz w:val="22"/>
        </w:rPr>
        <w:t>LITERATURE REVIEW</w:t>
      </w:r>
    </w:p>
    <w:p>
      <w:pPr>
        <w:spacing w:after="180"/>
      </w:pPr>
      <w:r>
        <w:rPr>
          <w:sz w:val="18"/>
        </w:rPr>
        <w:t>2.1 LITERATURE REVIEW</w:t>
      </w:r>
    </w:p>
    <w:p>
      <w:pPr>
        <w:spacing w:lineRule="exact" w:line="284" w:after="200"/>
      </w:pPr>
      <w:r>
        <w:rPr>
          <w:b/>
          <w:color w:val="173F36"/>
          <w:sz w:val="22"/>
        </w:rPr>
        <w:t>2.1.3 GRISHCHENKO, I., ABLAVATSKI, A., KARTYNNIK, Y., RAVEENDRAN, K. AND GRUNDMANN, M. (2020). 'ATTENTION MESH: HIGH-FIDELITY FACE MESH PREDICTION IN REAL-TIME.'</w:t>
      </w:r>
    </w:p>
    <w:p>
      <w:pPr>
        <w:widowControl w:val="0"/>
        <w:spacing w:lineRule="exact" w:line="318"/>
        <w:jc w:val="both"/>
      </w:pPr>
      <w:r>
        <w:rPr>
          <w:sz w:val="24"/>
        </w:rPr>
        <w:t>Grishchenko and colleagues (2020) present Attention Mesh, a neural-network approach for predicting a detailed three-dimensional facial mesh while supporting real-time operation. The work addresses the need to estimate facial geometry accurately enough for applications that depend on small movements around important facial regions. A coarse face location is insufficient for tasks involving eyelid position, lip shape or expressive facial motion because errors in these regions can noticeably affect the resulting application. The paper therefore focuses on improving detailed landmark localization while maintaining the efficiency needed for interactive use. Its relevance extends to augmented-reality effects, face-driven animation and other systems that require continuously updated facial geometry. A distinctive feature of the approach is its attention to semantically meaningful regions, especially the eyes and lips. These areas contain fine structures whose motion is important to the interpretation of facial activity. By concentrating refinement on relevant regions, the architecture seeks to improve local detail without treating every part of the face as equally demanding. This provides an example of how targeted processing can balance fidelity and computational cost. The paper's contribution concerns geometric prediction from images; it does not directly assign medical meaning to a facial movement or establish whether a person is fatigued. Separating landmark estimation from higher-level interpretation is therefore essential when applying the work to a wellness system. In AURA, this literature provides background for the use of a facial-landmark pipeline to obtain structured observations from webcam frames. The project uses the MediaPipe Tasks Vision Face Landmarker interface, which supplies landmarks and expression-related outputs for subsequent processing. It should not be described as a direct reimplementation of the 2020 architecture, and the use of a MediaPipe interface does not by itself prove that every model detail matches the paper. Instead, the relationship is methodological: detailed facial geometry makes it possible to construct interpretable measurements of eye opening, mouth movement and head orientation. AURA applies additional rules and calibration to turn those measurements into candidate fatigue indicators. The eye landmarks support EAR-based analysis, while mouth geometry contributes to detecting sustained opening patterns that may resemble yawning. Head-related geometry provides information relevant to orientation and possible posture changes. These measurements are useful because they can be updated continuously, but each remains an observation of appearance rather than a direct measurement of tiredness. Talking can create substantial mouth movement without a yawn, and a change in head position can reflect reading or repositioning rather than fatigue. Temporal filtering and contextual checks are therefore needed after the landmark stage. A technically precise literature review must recognize that improving geometric detail cannot, on its own, solve the problem of interpreting behaviour correctly. Practical limitations include camera placement, lighting variation, reflections from spectacles, occlusion and rapid movement. Processing speed also depends on the device and execution environment, so real-time performance must be checked in the actual project rather than assumed from the paper. Local processing can reduce the need to transmit video, but privacy still depends on the complete application workflow. Future evaluation should separately measure tracking availability, landmark stability and the accuracy of derived events, rather than reporting a single undifferentiated claim of accuracy. Overall, Attention Mesh contributes the computer-vision foundation for extracting detailed facial structure efficiently, while AURA's separate scoring and recommendation layers remain responsible for interpretation and require their own validation.</w:t>
      </w:r>
    </w:p>
    <w:p>
      <w:r>
        <w:br w:type="page"/>
      </w:r>
    </w:p>
    <w:p>
      <w:pPr>
        <w:spacing w:after="100"/>
      </w:pPr>
      <w:r>
        <w:rPr>
          <w:b/>
          <w:sz w:val="22"/>
        </w:rPr>
        <w:t>LITERATURE REVIEW</w:t>
      </w:r>
    </w:p>
    <w:p>
      <w:pPr>
        <w:spacing w:after="180"/>
      </w:pPr>
      <w:r>
        <w:rPr>
          <w:sz w:val="18"/>
        </w:rPr>
        <w:t>2.1 LITERATURE REVIEW</w:t>
      </w:r>
    </w:p>
    <w:p>
      <w:pPr>
        <w:spacing w:lineRule="exact" w:line="284" w:after="200"/>
      </w:pPr>
      <w:r>
        <w:rPr>
          <w:b/>
          <w:color w:val="173F36"/>
          <w:sz w:val="22"/>
        </w:rPr>
        <w:t>2.1.4 KE, G., MENG, Q., FINLEY, T., WANG, T., CHEN, W., MA, W., YE, Q. AND LIU, T.-Y. (2017). 'LIGHTGBM: A HIGHLY EFFICIENT GRADIENT BOOSTING DECISION TREE.'</w:t>
      </w:r>
    </w:p>
    <w:p>
      <w:pPr>
        <w:widowControl w:val="0"/>
        <w:spacing w:lineRule="exact" w:line="310"/>
        <w:jc w:val="both"/>
      </w:pPr>
      <w:r>
        <w:rPr>
          <w:sz w:val="24"/>
        </w:rPr>
        <w:t>Ke and colleagues (2017) introduce LightGBM, a gradient-boosted decision-tree framework designed to improve the efficiency of learning from large datasets. Gradient boosting constructs an ensemble by adding trees that address errors remaining in the current model. This makes it useful for modelling nonlinear relationships and interactions among numerical or encoded features. However, conventional training can become computationally expensive as the number of observations and features increases. The paper addresses this problem through techniques intended to reduce the work required during training while retaining useful predictive information. Its significance for AURA is therefore methodological: it offers an established framework for combining multiple numerical indicators rather than relying entirely on one manually selected threshold. Two central contributions of the paper are Gradient-based One-Side Sampling and Exclusive Feature Bundling. Gradient-based One-Side Sampling retains observations with larger gradients and samples from those with smaller gradients, using an adjustment to account for the sampling. This concentrates computation on observations that are particularly informative for the current learning stage. Exclusive Feature Bundling reduces the effective number of features by combining features that rarely take nonzero values simultaneously, especially in sparse data settings. These techniques address different sources of training cost. They should not be interpreted as evidence that any model built with LightGBM is automatically accurate, unbiased or suitable for medical decisions. Their practical benefit depends on the data and training configuration. In AURA's Python backend, a LightGBM regressor forms part of the fatigue-scoring workflow. The project uses 17 facial, interaction and time-related input features and represents the estimated fatigue level on a scale from zero to one hundred. Relevant information includes eye-associated measurements, posture-related signals, activity patterns and the duration or timing of screen use. An ensemble model can capture combinations of such inputs that would be difficult to express using a single rule. Nevertheless, an input feature's predictive association does not establish a causal relationship with fatigue, and numeric outputs should remain identified as estimates. The reliability of the entire pipeline also depends on the quality of the measurements supplied to the regressor. The project's training data consist of 14,000 synthetically generated samples rather than a clinically labelled collection of real users. This distinction is essential when interpreting evaluation results. A model that performs well on a synthetic holdout set may have learned the relationships built into the generation process without demonstrating the same performance under real lighting, behaviour and device conditions. Synthetic data are useful for developing the pipeline, checking feature compatibility and testing integration, but they cannot independently establish real-world fatigue-detection accuracy. Evaluation should therefore distinguish software correctness, synthetic predictive performance and validation against meaningful observations from people. A further implementation distinction concerns deployment. The public static version of AURA uses a browser-side rule-based fallback scorer rather than executing the Python LightGBM model. Consequently, backend model results must not be presented as the performance of every deployed version. Future work should use consented real-world data, appropriate participant-level separation and comparisons against simpler baselines. Analysis should also examine false alarms, missed events and differences across operating conditions. Feature-importance summaries may assist inspection, but they do not make the model a clinical explanation system. Overall, the paper supports AURA's choice of a flexible numerical modelling framework while emphasizing that the project's credibility depends on data quality, transparent deployment descriptions and evaluation beyond synthetic examples.</w:t>
      </w:r>
    </w:p>
    <w:p>
      <w:r>
        <w:br w:type="page"/>
      </w:r>
    </w:p>
    <w:p>
      <w:pPr>
        <w:spacing w:after="100"/>
      </w:pPr>
      <w:r>
        <w:rPr>
          <w:b/>
          <w:sz w:val="22"/>
        </w:rPr>
        <w:t>LITERATURE REVIEW</w:t>
      </w:r>
    </w:p>
    <w:p>
      <w:pPr>
        <w:spacing w:after="180"/>
      </w:pPr>
      <w:r>
        <w:rPr>
          <w:sz w:val="18"/>
        </w:rPr>
        <w:t>2.1 LITERATURE REVIEW</w:t>
      </w:r>
    </w:p>
    <w:p>
      <w:pPr>
        <w:spacing w:lineRule="exact" w:line="284" w:after="200"/>
      </w:pPr>
      <w:r>
        <w:rPr>
          <w:b/>
          <w:color w:val="173F36"/>
          <w:sz w:val="22"/>
        </w:rPr>
        <w:t>2.1.5 LI, L., CHU, W., LANGFORD, J. AND SCHAPIRE, R. E. (2010). 'A CONTEXTUAL-BANDIT APPROACH TO PERSONALIZED NEWS ARTICLE RECOMMENDATION.'</w:t>
      </w:r>
    </w:p>
    <w:p>
      <w:pPr>
        <w:widowControl w:val="0"/>
        <w:spacing w:lineRule="exact" w:line="303"/>
        <w:jc w:val="both"/>
      </w:pPr>
      <w:r>
        <w:rPr>
          <w:sz w:val="24"/>
        </w:rPr>
        <w:t>Li and colleagues (2010) formulate personalized recommendation as a contextual-bandit problem in which a system selects an action using information available at the time of the decision and learns from feedback on the selected action. The original application concerns choosing news articles for users. Its importance lies in addressing a common difficulty in recommendation: the system must use current knowledge to provide relevant choices while also gathering information about alternatives whose value remains uncertain. Unlike a fully observed supervised-learning problem, feedback is generally available only for the action that was actually presented. This makes the balance between learning and immediate usefulness central to the method. The paper introduces LinUCB, an approach based on a linear estimate of expected reward together with an uncertainty-related exploration term. For each candidate action, the method considers both its predicted value in the current context and the uncertainty associated with that prediction. Actions that appear promising may be selected for exploitation, while less familiar actions can still be chosen when uncertainty makes further exploration worthwhile. This does not imply that the system chooses randomly without structure. Rather, the exploration mechanism is connected to the information represented in the model. The method provides a principled framework for adapting recommendations as feedback accumulates, while relying on modelling assumptions that must be considered when transferring it to a different application. In AURA, the contextual-bandit idea is adapted from news recommendation to the selection of short wellness activities. The Python backend represents eight intervention choices as arms and constructs a context from estimated fatigue and work-related observations. Available activities include eye-focused breaks, posture-related actions, breathing, hydration and brief movement. User-specific parameters are maintained so that feedback can influence later recommendations for the same individual. The implementation also uses heuristic preferences during the initial learning period, when little feedback is available. Consequently, AURA should be described as a LinUCB-based adaptation with additional project rules, rather than an exact reproduction of the original news-recommendation system. The distinction between choosing a recommendation and detecting fatigue is particularly important. The bandit operates after contextual measurements and a score are available; it does not replace the camera pipeline or directly retrain the LightGBM regressor. Completion or dismissal feedback updates the recommendation policy's parameters, not the fatigue model's training data. This separation gives the architecture a clearer division of responsibilities: one component estimates a state, another selects a possible response, and the interface records the user's reaction. It also prevents misleading claims that every interaction improves the accuracy of fatigue detection itself. Applying the method to wellness introduces limitations that are not resolved by the original paper. Completing an activity may reflect convenience, available time or personal preference rather than an improvement in well-being. Dismissing a suggestion may indicate poor timing rather than an unsuitable exercise. Repeatedly optimizing a simple engagement reward could therefore produce recommendations that are frequently accepted without being especially beneficial. The system should preserve user control, allow unsuitable activities to be avoided and treat the choice of reward as a design decision requiring evaluation. Future assessment should compare personalization against fixed or rule-based recommendations and examine acceptance, interruption burden and appropriate wellness outcomes separately. The original news study does not establish clinical effectiveness for AURA's interventions. Overall, the paper contributes a learning-based action-selection framework that supports personalization, while the project's reward design, safety boundaries and real-world usefulness require independent assessment.</w:t>
      </w:r>
    </w:p>
    <w:sectPr w:rsidR="00FC693F" w:rsidRPr="0006063C" w:rsidSect="00034616">
      <w:footerReference w:type="default" r:id="rId9"/>
      <w:pgSz w:w="11906" w:h="16838"/>
      <w:pgMar w:top="600" w:right="1000" w:bottom="920" w:left="1000" w:header="72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AURA | Literature Review | Page </w:t>
    </w:r>
    <w:fldSimple w:instr="PAGE"/>
    <w:r>
      <w:rPr>
        <w:sz w:val="16"/>
      </w:rPr>
      <w:t xml:space="preserve"> of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