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3.9 – Sign-up asks phone and address; real store addresses; stale partner location</w:t>
      </w:r>
    </w:p>
    <w:p>
      <w:pPr>
        <w:shd w:fill="1B2A4A" w:val="clear"/>
        <w:spacing w:before="40" w:after="1600"/>
        <w:jc w:val="center"/>
      </w:pPr>
      <w:r>
        <w:rPr>
          <w:color w:val="AEB9CA"/>
          <w:sz w:val="22"/>
          <w:szCs w:val="22"/>
        </w:rPr>
        <w:t>5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t>22</w:t>
      </w:r>
      <w:r>
        <w:rPr>
          <w:color w:val="1B2A4A"/>
        </w:rPr>
      </w:r>
    </w:p>
    <w:p>
      <w:pPr>
        <w:tabs>
          <w:tab w:val="right" w:leader="dot" w:pos="9350"/>
        </w:tabs>
        <w:spacing w:after="120"/>
      </w:pPr>
      <w:r>
        <w:rPr>
          <w:b/>
          <w:bCs/>
          <w:color w:val="1B2A4A"/>
        </w:rPr>
        <w:t>Chapter 5 — Delivery Partner Module</w:t>
        <w:tab/>
        <w:t>28</w:t>
      </w:r>
    </w:p>
    <w:p>
      <w:pPr>
        <w:tabs>
          <w:tab w:val="right" w:leader="dot" w:pos="9350"/>
        </w:tabs>
        <w:spacing w:after="120"/>
      </w:pPr>
      <w:r>
        <w:rPr>
          <w:b/>
          <w:bCs/>
          <w:color w:val="1B2A4A"/>
        </w:rPr>
        <w:t>Chapter 6 — Admin Module</w:t>
        <w:tab/>
        <w:t>32</w:t>
      </w:r>
    </w:p>
    <w:p>
      <w:pPr>
        <w:tabs>
          <w:tab w:val="right" w:leader="dot" w:pos="9350"/>
        </w:tabs>
        <w:spacing w:after="120"/>
      </w:pPr>
      <w:r>
        <w:rPr>
          <w:b/>
          <w:bCs/>
          <w:color w:val="1B2A4A"/>
        </w:rPr>
        <w:t>Chapter 7 — Cross-Cutting Features</w:t>
        <w:tab/>
        <w:t>37</w:t>
      </w:r>
    </w:p>
    <w:p>
      <w:pPr>
        <w:tabs>
          <w:tab w:val="right" w:leader="dot" w:pos="9350"/>
        </w:tabs>
        <w:spacing w:after="120"/>
      </w:pPr>
      <w:r>
        <w:rPr>
          <w:b/>
          <w:bCs/>
          <w:color w:val="1B2A4A"/>
        </w:rPr>
        <w:t>Chapter 8 — Ask Zippy</w:t>
        <w:tab/>
        <w:t>40</w:t>
      </w:r>
    </w:p>
    <w:p>
      <w:pPr>
        <w:tabs>
          <w:tab w:val="right" w:leader="dot" w:pos="9350"/>
        </w:tabs>
        <w:spacing w:after="120"/>
      </w:pPr>
      <w:r>
        <w:rPr>
          <w:b/>
          <w:bCs/>
          <w:color w:val="1B2A4A"/>
        </w:rPr>
        <w:t>Appendix A — Technical Architecture &amp; Stack</w:t>
        <w:tab/>
        <w:t>44</w:t>
      </w:r>
    </w:p>
    <w:p>
      <w:pPr>
        <w:tabs>
          <w:tab w:val="right" w:leader="dot" w:pos="9350"/>
        </w:tabs>
        <w:spacing w:after="120"/>
      </w:pPr>
      <w:r>
        <w:rPr>
          <w:b/>
          <w:bCs/>
          <w:color w:val="1B2A4A"/>
        </w:rPr>
        <w:t>Appendix B — Database Schema Reference</w:t>
        <w:tab/>
        <w:t>46</w:t>
      </w:r>
    </w:p>
    <w:p>
      <w:pPr>
        <w:tabs>
          <w:tab w:val="right" w:leader="dot" w:pos="9350"/>
        </w:tabs>
        <w:spacing w:after="120"/>
      </w:pPr>
      <w:r>
        <w:rPr>
          <w:b/>
          <w:bCs/>
          <w:color w:val="1B2A4A"/>
        </w:rPr>
        <w:t>Appendix C — Seeded Test Accounts</w:t>
        <w:tab/>
        <w:t>48</w:t>
      </w:r>
    </w:p>
    <w:p>
      <w:pPr>
        <w:tabs>
          <w:tab w:val="right" w:leader="dot" w:pos="9350"/>
        </w:tabs>
        <w:spacing w:after="120"/>
      </w:pPr>
      <w:r>
        <w:rPr>
          <w:b/>
          <w:bCs/>
          <w:color w:val="1B2A4A"/>
        </w:rPr>
        <w:t>Appendix D — Glossary of Terms</w:t>
        <w:tab/>
        <w:t>52</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3.9</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When you create a customer account,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spacing w:before="200" w:after="80"/>
        <w:jc w:val="center"/>
      </w:pPr>
      <w:r>
        <w:drawing>
          <wp:inline xmlns:a="http://schemas.openxmlformats.org/drawingml/2006/main" xmlns:pic="http://schemas.openxmlformats.org/drawingml/2006/picture">
            <wp:extent cx="5715000" cy="1183321"/>
            <wp:docPr id="9518" name="Home header" descr="Home header"/>
            <wp:cNvGraphicFramePr>
              <a:graphicFrameLocks noChangeAspect="1"/>
            </wp:cNvGraphicFramePr>
            <a:graphic>
              <a:graphicData uri="http://schemas.openxmlformats.org/drawingml/2006/picture">
                <pic:pic>
                  <pic:nvPicPr>
                    <pic:cNvPr id="0" name="fig2.png"/>
                    <pic:cNvPicPr/>
                  </pic:nvPicPr>
                  <pic:blipFill>
                    <a:blip r:embed="rId47"/>
                    <a:stretch>
                      <a:fillRect/>
                    </a:stretch>
                  </pic:blipFill>
                  <pic:spPr>
                    <a:xfrm>
                      <a:off x="0" y="0"/>
                      <a:ext cx="5715000" cy="1183321"/>
                    </a:xfrm>
                    <a:prstGeom prst="rect"/>
                  </pic:spPr>
                </pic:pic>
              </a:graphicData>
            </a:graphic>
          </wp:inline>
        </w:drawing>
      </w:r>
    </w:p>
    <w:p>
      <w:pPr>
        <w:spacing w:after="240"/>
        <w:jc w:val="center"/>
      </w:pPr>
      <w:r>
        <w:rPr>
          <w:i/>
          <w:iCs/>
          <w:color w:val="5A6472"/>
          <w:sz w:val="20"/>
          <w:szCs w:val="20"/>
        </w:rPr>
        <w:t>Figure 3.1b — After sign-up the header shows the address you registered with</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xmlns:a="http://schemas.openxmlformats.org/drawingml/2006/main" xmlns:pic="http://schemas.openxmlformats.org/drawingml/2006/picture">
            <wp:extent cx="2103120" cy="2883310"/>
            <wp:docPr id="9517" name="Sign up form" descr="Sign up form"/>
            <wp:cNvGraphicFramePr>
              <a:graphicFrameLocks noChangeAspect="1"/>
            </wp:cNvGraphicFramePr>
            <a:graphic>
              <a:graphicData uri="http://schemas.openxmlformats.org/drawingml/2006/picture">
                <pic:pic>
                  <pic:nvPicPr>
                    <pic:cNvPr id="0" name="fig1.png"/>
                    <pic:cNvPicPr/>
                  </pic:nvPicPr>
                  <pic:blipFill>
                    <a:blip r:embed="rId45"/>
                    <a:stretch>
                      <a:fillRect/>
                    </a:stretch>
                  </pic:blipFill>
                  <pic:spPr>
                    <a:xfrm>
                      <a:off x="0" y="0"/>
                      <a:ext cx="2103120" cy="2883310"/>
                    </a:xfrm>
                    <a:prstGeom prst="rect"/>
                  </pic:spPr>
                </pic:pic>
              </a:graphicData>
            </a:graphic>
          </wp:inline>
        </w:drawing>
      </w:r>
    </w:p>
    <w:p>
      <w:pPr>
        <w:spacing w:after="240"/>
        <w:jc w:val="center"/>
      </w:pPr>
      <w:r>
        <w:rPr>
          <w:i/>
          <w:iCs/>
          <w:color w:val="5A6472"/>
          <w:sz w:val="20"/>
          <w:szCs w:val="20"/>
        </w:rPr>
        <w:t>Figure 3.9a — Sign up now asks for phone and address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5" Type="http://schemas.openxmlformats.org/officeDocument/2006/relationships/image" Target="media/image41.png"/><Relationship Id="rId47" Type="http://schemas.openxmlformats.org/officeDocument/2006/relationships/image" Target="media/image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