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 xml:space="preserve">Version 1.0</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5</w:t>
      </w:r>
    </w:p>
    <w:p>
      <w:pPr>
        <w:tabs>
          <w:tab w:val="right" w:leader="dot" w:pos="9350"/>
        </w:tabs>
        <w:spacing w:after="120"/>
      </w:pPr>
      <w:r>
        <w:rPr>
          <w:b/>
          <w:bCs/>
          <w:color w:val="1B2A4A"/>
        </w:rPr>
        <w:t xml:space="preserve">Chapter 3 — Customer Module</w:t>
      </w:r>
      <w:r>
        <w:tab/>
      </w:r>
      <w:r>
        <w:rPr>
          <w:color w:val="1B2A4A"/>
        </w:rPr>
        <w:t>6</w:t>
      </w:r>
    </w:p>
    <w:p>
      <w:pPr>
        <w:tabs>
          <w:tab w:val="right" w:leader="dot" w:pos="9350"/>
        </w:tabs>
        <w:spacing w:after="120"/>
      </w:pPr>
      <w:r>
        <w:rPr>
          <w:b/>
          <w:bCs/>
          <w:color w:val="1B2A4A"/>
        </w:rPr>
        <w:t xml:space="preserve">Chapter 4 — Vendor Module</w:t>
      </w:r>
      <w:r>
        <w:tab/>
      </w:r>
      <w:r>
        <w:rPr>
          <w:color w:val="1B2A4A"/>
        </w:rPr>
        <w:t>15</w:t>
      </w:r>
    </w:p>
    <w:p>
      <w:pPr>
        <w:tabs>
          <w:tab w:val="right" w:leader="dot" w:pos="9350"/>
        </w:tabs>
        <w:spacing w:after="120"/>
      </w:pPr>
      <w:r>
        <w:rPr>
          <w:b/>
          <w:bCs/>
          <w:color w:val="1B2A4A"/>
        </w:rPr>
        <w:t>Chapter 5 — Delivery Partner Module</w:t>
        <w:tab/>
        <w:t>21</w:t>
      </w:r>
      <w:r/>
      <w:r>
        <w:rPr>
          <w:color w:val="1B2A4A"/>
        </w:rPr>
      </w:r>
    </w:p>
    <w:p>
      <w:pPr>
        <w:tabs>
          <w:tab w:val="right" w:leader="dot" w:pos="9350"/>
        </w:tabs>
        <w:spacing w:after="120"/>
      </w:pPr>
      <w:r>
        <w:rPr>
          <w:b/>
          <w:bCs/>
          <w:color w:val="1B2A4A"/>
        </w:rPr>
        <w:t>Chapter 6 — Admin Module</w:t>
        <w:tab/>
        <w:t>23</w:t>
      </w:r>
      <w:r/>
      <w:r>
        <w:rPr>
          <w:color w:val="1B2A4A"/>
        </w:rPr>
      </w:r>
    </w:p>
    <w:p>
      <w:pPr>
        <w:tabs>
          <w:tab w:val="right" w:leader="dot" w:pos="9350"/>
        </w:tabs>
        <w:spacing w:after="120"/>
      </w:pPr>
      <w:r>
        <w:rPr>
          <w:b/>
          <w:bCs/>
          <w:color w:val="1B2A4A"/>
        </w:rPr>
        <w:t>Chapter 7 — Cross-Cutting Features</w:t>
        <w:tab/>
        <w:t>27</w:t>
      </w:r>
      <w:r/>
      <w:r>
        <w:rPr>
          <w:color w:val="1B2A4A"/>
        </w:rPr>
      </w:r>
    </w:p>
    <w:p>
      <w:pPr>
        <w:tabs>
          <w:tab w:val="right" w:leader="dot" w:pos="9350"/>
        </w:tabs>
        <w:spacing w:after="120"/>
      </w:pPr>
      <w:r>
        <w:rPr>
          <w:b/>
          <w:bCs/>
          <w:color w:val="1B2A4A"/>
        </w:rPr>
        <w:t>Appendix A — Technical Architecture &amp; Stack</w:t>
        <w:tab/>
        <w:t>30</w:t>
      </w:r>
      <w:r/>
      <w:r>
        <w:rPr>
          <w:color w:val="1B2A4A"/>
        </w:rPr>
      </w:r>
    </w:p>
    <w:p>
      <w:pPr>
        <w:tabs>
          <w:tab w:val="right" w:leader="dot" w:pos="9350"/>
        </w:tabs>
        <w:spacing w:after="120"/>
      </w:pPr>
      <w:r>
        <w:rPr>
          <w:b/>
          <w:bCs/>
          <w:color w:val="1B2A4A"/>
        </w:rPr>
        <w:t>Appendix B — Database Schema Reference</w:t>
        <w:tab/>
        <w:t>32</w:t>
      </w:r>
      <w:r/>
      <w:r>
        <w:rPr>
          <w:color w:val="1B2A4A"/>
        </w:rPr>
      </w:r>
    </w:p>
    <w:p>
      <w:pPr>
        <w:tabs>
          <w:tab w:val="right" w:leader="dot" w:pos="9350"/>
        </w:tabs>
        <w:spacing w:after="120"/>
      </w:pPr>
      <w:r>
        <w:rPr>
          <w:b/>
          <w:bCs/>
          <w:color w:val="1B2A4A"/>
        </w:rPr>
        <w:t>Appendix C — Seeded Test Accounts</w:t>
        <w:tab/>
        <w:t>34</w:t>
      </w:r>
      <w:r/>
      <w:r>
        <w:rPr>
          <w:color w:val="1B2A4A"/>
        </w:rPr>
      </w:r>
    </w:p>
    <w:p>
      <w:pPr>
        <w:tabs>
          <w:tab w:val="right" w:leader="dot" w:pos="9350"/>
        </w:tabs>
        <w:spacing w:after="120"/>
      </w:pPr>
      <w:r>
        <w:rPr>
          <w:b/>
          <w:bCs/>
          <w:color w:val="1B2A4A"/>
        </w:rPr>
        <w:t>Appendix D — Glossary of Terms</w:t>
        <w:tab/>
        <w:t>38</w:t>
      </w:r>
      <w:r/>
      <w:r>
        <w:rPr>
          <w:color w:val="1B2A4A"/>
        </w:rPr>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2"/>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3.2 — Sweet Tooth's store page: the real store rating, a Featured items carousel, category pills, and the item catalog as a 4-column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3.6 — Checkout with Mock Card selected: Contact details, the Address 1/2/City/State/Pincode delivery address form, card number/expiry/cardholder-name fields, and the persistent cart panel's order summary and Place Order button on the right.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(a full list of your past and current orders — tap one to see its live status), Wallet (the payment methods available at checkout), Help (a short FAQ on how to use the site), and Sign out.</w:t>
      </w:r>
    </w:p>
    <w:p>
      <w:pPr>
        <w:spacing w:before="200" w:after="80"/>
        <w:jc w:val="center"/>
      </w:pPr>
      <w:r>
        <w:drawing>
          <wp:inline distT="0" distB="0" distL="0" distR="0">
            <wp:extent cx="5715000" cy="3571875"/>
            <wp:effectExtent t="0" r="0" b="0" l="0"/>
            <wp:docPr id="9001" name="Figure 3.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Figure 3.11 — The account menu open from the header hamburger icon, showing the signed-in customer's name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 xml:space="preserve">After signing in, the vendor portal shows a persistent left sidebar (Dashboard, Menu, Orders, an open/closed status pill,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distT="0" distB="0" distL="0" distR="0">
            <wp:extent cx="5715000" cy="1447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4478000"/>
                    </a:xfrm>
                    <a:prstGeom prst="rect">
                      <a:avLst/>
                    </a:prstGeom>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 xml:space="preserve">After signing in, a top bar shows the partner's current online/offline status and a Sign out link. The dashboard below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5.2 — Delivery dashboard: the online toggle, location fields, and a ready-to-claim order shown in the Available orders column.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 xml:space="preserve">After signing in, a top bar reads "Admin" with a Sign out link, and the dashboard below is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 xml:space="preserve">Propagates delivery-side status changes to any downstream notification/logging the workflow defines.</w:t>
      </w:r>
    </w:p>
    <w:p>
      <w:pPr>
        <w:pStyle w:val="Heading3"/>
        <w:spacing w:before="200" w:after="100"/>
      </w:pPr>
      <w:r>
        <w:rPr>
          <w:b/>
          <w:bCs/>
          <w:color w:val="3A4A6B"/>
        </w:rPr>
        <w:t xml:space="preserve">7.2.2 Live Verification — 2026-09-28</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does not claim that branch fired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self-claim rather than being auto-assigned by the workflow — orders.delivery_partner_id remained null until the partner claimed it by hand through /delivery/dashboard. This manual is deliberately not claiming workflow 04 fired successfully; it may not be active in this local n8n instance, or its assignment call may not have succeeded silently. Either way, the self-claim path (section 5.2)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claimed/assigned stage); see docs/n8n-webhook-setup.md section 5 for its documented test procedure.</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delivery self-claim as the mechanism to rely on and workflow 04 as an unconfirmed bonus in this environment rather than a guaranteed path.</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9" Type="http://schemas.openxmlformats.org/officeDocument/2006/relationships/image" Target="media/hi8itzbvgzfskzhplk2-n.png"/><Relationship Id="rId10" Type="http://schemas.openxmlformats.org/officeDocument/2006/relationships/image" Target="media/suh33gems0fg_wsrqnnqz.png"/><Relationship Id="rId11" Type="http://schemas.openxmlformats.org/officeDocument/2006/relationships/image" Target="media/loxhbu1gpcyjdbivessuc.png"/><Relationship Id="rId12" Type="http://schemas.openxmlformats.org/officeDocument/2006/relationships/image" Target="media/dsjvxfd1om1xd2zohd3dg.png"/><Relationship Id="rId13" Type="http://schemas.openxmlformats.org/officeDocument/2006/relationships/image" Target="media/cpgh2cooh8mpz1_t_op-m.png"/><Relationship Id="rId14" Type="http://schemas.openxmlformats.org/officeDocument/2006/relationships/image" Target="media/oqnxadvo6nz3ygdwjam3c.png"/><Relationship Id="rId15" Type="http://schemas.openxmlformats.org/officeDocument/2006/relationships/image" Target="media/68geotbhiiuuckhdsv9az.png"/><Relationship Id="rId16" Type="http://schemas.openxmlformats.org/officeDocument/2006/relationships/image" Target="media/iro4nzyzz33gor0epxjf4.png"/><Relationship Id="rId17" Type="http://schemas.openxmlformats.org/officeDocument/2006/relationships/image" Target="media/febxhp0mnxr5rsemqifvb.png"/><Relationship Id="rId18" Type="http://schemas.openxmlformats.org/officeDocument/2006/relationships/image" Target="media/a3wbcp3owa3c2wgzb_2mh.png"/><Relationship Id="rId19" Type="http://schemas.openxmlformats.org/officeDocument/2006/relationships/image" Target="media/rftk1c81o9tgsqefjmlwj.png"/><Relationship Id="rId20" Type="http://schemas.openxmlformats.org/officeDocument/2006/relationships/image" Target="media/w7twxzsl__y03zaouht3q.png"/><Relationship Id="rId21" Type="http://schemas.openxmlformats.org/officeDocument/2006/relationships/image" Target="media/lrrxjfzfdxojrt23tt5jf.png"/><Relationship Id="rId22" Type="http://schemas.openxmlformats.org/officeDocument/2006/relationships/image" Target="media/s-7vc5do5pazenojfz7lo.png"/><Relationship Id="rId23" Type="http://schemas.openxmlformats.org/officeDocument/2006/relationships/image" Target="media/553ebs7v-xnxmkxf9whzr.png"/><Relationship Id="rId24" Type="http://schemas.openxmlformats.org/officeDocument/2006/relationships/image" Target="media/nuomistvjbe4r6nim7u_v.png"/><Relationship Id="rId25" Type="http://schemas.openxmlformats.org/officeDocument/2006/relationships/image" Target="media/v3zp3d_xrai3tud2luyhc.png"/><Relationship Id="rId26" Type="http://schemas.openxmlformats.org/officeDocument/2006/relationships/image" Target="media/84glychulwnrcjvynaqwf.png"/><Relationship Id="rId27" Type="http://schemas.openxmlformats.org/officeDocument/2006/relationships/image" Target="media/lhnreaf1taqrygw4h-e3a.png"/><Relationship Id="rId28" Type="http://schemas.openxmlformats.org/officeDocument/2006/relationships/image" Target="media/5pntvws4sekkwepwb2mhp.png"/><Relationship Id="rId29" Type="http://schemas.openxmlformats.org/officeDocument/2006/relationships/image" Target="media/fyklzgx0mn23gvhlh0b_s.png"/><Relationship Id="rId30" Type="http://schemas.openxmlformats.org/officeDocument/2006/relationships/image" Target="media/dug9ohu9b7fhqjnosxx_p.png"/><Relationship Id="rId31" Type="http://schemas.openxmlformats.org/officeDocument/2006/relationships/image" Target="media/zke4_juqxhu5-zcgtdn1x.png"/><Relationship Id="rId3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