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3.7.1 – Google Maps on the website: a location picker, address search at checkout and a live delivery tracking map</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t>21</w:t>
      </w:r>
      <w:r>
        <w:rPr>
          <w:color w:val="1B2A4A"/>
        </w:rPr>
      </w:r>
    </w:p>
    <w:p>
      <w:pPr>
        <w:tabs>
          <w:tab w:val="right" w:leader="dot" w:pos="9350"/>
        </w:tabs>
        <w:spacing w:after="120"/>
      </w:pPr>
      <w:r>
        <w:rPr>
          <w:b/>
          <w:bCs/>
          <w:color w:val="1B2A4A"/>
        </w:rPr>
        <w:t>Chapter 5 — Delivery Partner Module</w:t>
        <w:tab/>
        <w:t>27</w:t>
      </w:r>
    </w:p>
    <w:p>
      <w:pPr>
        <w:tabs>
          <w:tab w:val="right" w:leader="dot" w:pos="9350"/>
        </w:tabs>
        <w:spacing w:after="120"/>
      </w:pPr>
      <w:r>
        <w:rPr>
          <w:b/>
          <w:bCs/>
          <w:color w:val="1B2A4A"/>
        </w:rPr>
        <w:t>Chapter 6 — Admin Module</w:t>
        <w:tab/>
        <w:t>31</w:t>
      </w:r>
    </w:p>
    <w:p>
      <w:pPr>
        <w:tabs>
          <w:tab w:val="right" w:leader="dot" w:pos="9350"/>
        </w:tabs>
        <w:spacing w:after="120"/>
      </w:pPr>
      <w:r>
        <w:rPr>
          <w:b/>
          <w:bCs/>
          <w:color w:val="1B2A4A"/>
        </w:rPr>
        <w:t>Chapter 7 — Cross-Cutting Features</w:t>
        <w:tab/>
        <w:t>36</w:t>
      </w:r>
    </w:p>
    <w:p>
      <w:pPr>
        <w:tabs>
          <w:tab w:val="right" w:leader="dot" w:pos="9350"/>
        </w:tabs>
        <w:spacing w:after="120"/>
      </w:pPr>
      <w:r>
        <w:rPr>
          <w:b/>
          <w:bCs/>
          <w:color w:val="1B2A4A"/>
        </w:rPr>
        <w:t>Chapter 8 — Ask Zippy</w:t>
        <w:tab/>
        <w:t>39</w:t>
      </w:r>
    </w:p>
    <w:p>
      <w:pPr>
        <w:tabs>
          <w:tab w:val="right" w:leader="dot" w:pos="9350"/>
        </w:tabs>
        <w:spacing w:after="120"/>
      </w:pPr>
      <w:r>
        <w:rPr>
          <w:b/>
          <w:bCs/>
          <w:color w:val="1B2A4A"/>
        </w:rPr>
        <w:t>Appendix A — Technical Architecture &amp; Stack</w:t>
        <w:tab/>
        <w:t>43</w:t>
      </w:r>
    </w:p>
    <w:p>
      <w:pPr>
        <w:tabs>
          <w:tab w:val="right" w:leader="dot" w:pos="9350"/>
        </w:tabs>
        <w:spacing w:after="120"/>
      </w:pPr>
      <w:r>
        <w:rPr>
          <w:b/>
          <w:bCs/>
          <w:color w:val="1B2A4A"/>
        </w:rPr>
        <w:t>Appendix B — Database Schema Reference</w:t>
        <w:tab/>
        <w:t>45</w:t>
      </w:r>
    </w:p>
    <w:p>
      <w:pPr>
        <w:tabs>
          <w:tab w:val="right" w:leader="dot" w:pos="9350"/>
        </w:tabs>
        <w:spacing w:after="120"/>
      </w:pPr>
      <w:r>
        <w:rPr>
          <w:b/>
          <w:bCs/>
          <w:color w:val="1B2A4A"/>
        </w:rPr>
        <w:t>Appendix C — Seeded Test Accounts</w:t>
        <w:tab/>
        <w:t>47</w:t>
      </w:r>
    </w:p>
    <w:p>
      <w:pPr>
        <w:tabs>
          <w:tab w:val="right" w:leader="dot" w:pos="9350"/>
        </w:tabs>
        <w:spacing w:after="120"/>
      </w:pPr>
      <w:r>
        <w:rPr>
          <w:b/>
          <w:bCs/>
          <w:color w:val="1B2A4A"/>
        </w:rPr>
        <w:t>Appendix D — Glossary of Terms</w:t>
        <w:tab/>
        <w:t>51</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3.7</w:t>
      </w:r>
    </w:p>
    <w:p>
      <w:pPr>
        <w:spacing w:after="160"/>
      </w:pPr>
      <w:r>
        <w:rPr>
          <w:color w:val="1A1A1A"/>
        </w:rPr>
        <w:t>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