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2"/>
        </w:rPr>
        <w:t>Fashion Signup App - Problem Solving Notes body { font-family: Arial, sans-serif; margin: 0; background: #f5f7fa; color: #1a2432; } .container { max-width: 1100px; margin: 0 auto; padding: 36px 24px 60px; } .header { background: linear-gradient(135deg, #1b2b4b, #355f8c); color: white; padding: 26px 30px; border-radius: 14px; } .card { margin-top: 22px; background: white; border-radius: 12px; box-shadow: 0 4px 16px rgba(0,0,0,.06); padding: 22px; } h2 { margin-top: 0; } ul, ol { line-height: 1.8; } .warning { border-left: 5px solid #d57a00; background: #fff8ef; padding: 12px 14px; border-radius: 8px; } .ok { border-left: 5px solid #1b7a46; background: #eefbf3; padding: 12px 14px; border-radius: 8px; }</w:t>
      </w:r>
    </w:p>
    <w:p>
      <w:pPr>
        <w:spacing w:after="120"/>
        <w:jc w:val="both"/>
      </w:pPr>
      <w:r>
        <w:t>Problem Solving Notes</w:t>
      </w:r>
    </w:p>
    <w:p>
      <w:pPr>
        <w:spacing w:after="120"/>
        <w:jc w:val="both"/>
      </w:pPr>
      <w:r>
        <w:t>What was encountered, what was fixed, and why the system ended up in this final architecture.</w:t>
      </w:r>
    </w:p>
    <w:p>
      <w:pPr>
        <w:spacing w:after="120"/>
        <w:jc w:val="both"/>
      </w:pPr>
      <w:r>
        <w:t>1. Git conflicts and repo cleanup</w:t>
      </w:r>
    </w:p>
    <w:p>
      <w:pPr>
        <w:spacing w:after="120"/>
        <w:jc w:val="both"/>
      </w:pPr>
      <w:r>
        <w:t>GitHub rejected pushes because the remote branch had newer history than the local branch. The fix was to fetch, rebase, resolve conflicts, and keep the Helm-only GitOps structure.</w:t>
      </w:r>
    </w:p>
    <w:p>
      <w:pPr>
        <w:spacing w:after="120"/>
        <w:jc w:val="both"/>
      </w:pPr>
      <w:r>
        <w:t>This was important because the project had stale files from an old CD pipeline. The final structure was simplified so Argo CD became the single deployment mechanism.</w:t>
      </w:r>
    </w:p>
    <w:p>
      <w:pPr>
        <w:spacing w:after="120"/>
        <w:jc w:val="both"/>
      </w:pPr>
      <w:r>
        <w:t>2. Jenkins agent memory and SonarQube instability</w:t>
      </w:r>
    </w:p>
    <w:p>
      <w:pPr>
        <w:spacing w:after="120"/>
        <w:jc w:val="both"/>
      </w:pPr>
      <w:r>
        <w:t>The Jenkins agent ran out of memory during SonarQube scanning. Java was being killed by the kernel, leading to pipeline instability.</w:t>
      </w:r>
    </w:p>
    <w:p>
      <w:pPr>
        <w:spacing w:after="120"/>
        <w:jc w:val="both"/>
      </w:pPr>
      <w:r>
        <w:t>The solution was to add swap and increase memory headroom so the analysis process could complete. The pipeline was also configured to continue even when the quality gate did not fully pass, while still exposing the result transparently.</w:t>
      </w:r>
    </w:p>
    <w:p>
      <w:pPr>
        <w:spacing w:after="120"/>
        <w:jc w:val="both"/>
      </w:pPr>
      <w:r>
        <w:t>The issue was resolved by checking the Java version on the controller and agent, aligning the Jenkins tool configuration with the application JDK, and confirming the Maven compiler target. The important lesson is to validate both the Jenkins runtime Java and the application build/runtime Java; they do not have to be identical, but they must be deliberately configured and compatible.</w:t>
      </w:r>
    </w:p>
    <w:p>
      <w:pPr>
        <w:spacing w:after="120"/>
        <w:jc w:val="both"/>
      </w:pPr>
      <w:r>
        <w:t>The Jenkins controller, Jenkins agent, and application build were using different Java and JDK versions. This caused repeated pipeline failures because Jenkins requires a compatible Java runtime, while Maven compilation and the application runtime must also use compatible JDK and bytecode versions.</w:t>
      </w:r>
    </w:p>
    <w:p>
      <w:pPr>
        <w:spacing w:after="120"/>
        <w:jc w:val="left"/>
      </w:pPr>
      <w:r>
        <w:rPr>
          <w:b/>
          <w:sz w:val="26"/>
        </w:rPr>
        <w:t>3. Java and JDK version mismatch across Jenkins</w:t>
      </w:r>
    </w:p>
    <w:p>
      <w:pPr>
        <w:spacing w:after="120"/>
        <w:jc w:val="both"/>
      </w:pPr>
      <w:r>
        <w:t>The issue was resolved by checking the Java version on the controller and agent, aligning the Jenkins tool configuration with the application JDK, and confirming the Maven compiler target. The important lesson is to validate both the Jenkins runtime Java and the application build/runtime Java; they do not have to be identical, but they must be deliberately configured and compatible.</w:t>
      </w:r>
    </w:p>
    <w:p>
      <w:pPr>
        <w:spacing w:after="120"/>
        <w:jc w:val="both"/>
      </w:pPr>
      <w:r>
        <w:t>The Jenkins controller, Jenkins agent, and application build were using different Java and JDK versions. This caused repeated pipeline failures because Jenkins requires a compatible Java runtime, while Maven compilation and the application runtime must also use compatible JDK and bytecode versions.</w:t>
      </w:r>
    </w:p>
    <w:p>
      <w:pPr>
        <w:spacing w:after="120"/>
        <w:jc w:val="both"/>
      </w:pPr>
      <w:r>
        <w:rPr>
          <w:b/>
        </w:rPr>
        <w:t>4. Database driver and password issues</w:t>
      </w:r>
    </w:p>
    <w:p>
      <w:pPr>
        <w:spacing w:after="120"/>
        <w:jc w:val="both"/>
      </w:pPr>
      <w:r>
        <w:t>The application initially returned an HTTP 500 error because the PostgreSQL JDBC driver was not being loaded correctly and the DB password value was empty.</w:t>
      </w:r>
    </w:p>
    <w:p>
      <w:pPr>
        <w:spacing w:after="120"/>
        <w:jc w:val="both"/>
      </w:pPr>
      <w:r>
        <w:t>The application was updated to explicitly load the PostgreSQL driver, and the Kubernetes Secret value was corrected and restarted. The admin page then successfully connected and displayed registered users.</w:t>
      </w:r>
    </w:p>
    <w:p>
      <w:pPr>
        <w:spacing w:after="120"/>
        <w:jc w:val="both"/>
      </w:pPr>
      <w:r>
        <w:rPr>
          <w:b/>
        </w:rPr>
        <w:t>5. Admin ordering issue</w:t>
      </w:r>
    </w:p>
    <w:p>
      <w:pPr>
        <w:spacing w:after="120"/>
        <w:jc w:val="both"/>
      </w:pPr>
      <w:r>
        <w:t>Rows were not appearing in a clean deterministic order when timestamps were the same.</w:t>
      </w:r>
    </w:p>
    <w:p>
      <w:pPr>
        <w:spacing w:after="120"/>
        <w:jc w:val="both"/>
      </w:pPr>
      <w:r>
        <w:t>The SQL query was updated to sort by created_at descending and id descending, which ensured a stable and readable list of newest records first.</w:t>
      </w:r>
    </w:p>
    <w:p>
      <w:pPr>
        <w:spacing w:after="120"/>
        <w:jc w:val="both"/>
      </w:pPr>
      <w:r>
        <w:rPr>
          <w:b/>
        </w:rPr>
        <w:t>6. Grafana public access and LoadBalancer configuration</w:t>
      </w:r>
    </w:p>
    <w:p>
      <w:pPr>
        <w:spacing w:after="120"/>
        <w:jc w:val="both"/>
      </w:pPr>
      <w:r>
        <w:t>Grafana was deployed in the monitoring namespace and exposed using a service of type LoadBalancer. Public access was validated after confirming the correct security group and route.</w:t>
      </w:r>
    </w:p>
    <w:p>
      <w:pPr>
        <w:spacing w:after="120"/>
        <w:jc w:val="both"/>
      </w:pPr>
      <w:r>
        <w:t>Important lesson: the EC2 bootstrap security group and the AWS-managed LoadBalancer security group are not the same object.</w:t>
      </w:r>
    </w:p>
    <w:p>
      <w:pPr>
        <w:spacing w:after="120"/>
        <w:jc w:val="both"/>
      </w:pPr>
      <w:r>
        <w:rPr>
          <w:b/>
        </w:rPr>
        <w:t>7. Argo CD and GitOps ownership</w:t>
      </w:r>
    </w:p>
    <w:p>
      <w:pPr>
        <w:spacing w:after="120"/>
        <w:jc w:val="both"/>
      </w:pPr>
      <w:r>
        <w:t>In the final design, Jenkins is responsible for build validation, Docker image creation, and updating the GitOps chart values. Argo CD is responsible for reconciling the cluster with the desired state declared in Git. This is the cleanest and most professional GitOps pattern.</w:t>
      </w:r>
    </w:p>
    <w:p>
      <w:pPr>
        <w:spacing w:after="120"/>
        <w:jc w:val="both"/>
      </w:pPr>
      <w:r>
        <w:rPr>
          <w:b/>
        </w:rPr>
        <w:t>8. Summary of lessons learned</w:t>
      </w:r>
    </w:p>
    <w:p>
      <w:pPr>
        <w:spacing w:after="120"/>
        <w:jc w:val="both"/>
      </w:pPr>
      <w:r>
        <w:t>-</w:t>
      </w:r>
    </w:p>
    <w:p>
      <w:pPr>
        <w:spacing w:after="120"/>
        <w:jc w:val="both"/>
      </w:pPr>
      <w:r>
        <w:t>Always follow the logs from the app container, the pod, the Service, and the cluster instead of assuming infrastructure is healthy.</w:t>
      </w:r>
    </w:p>
    <w:p>
      <w:pPr>
        <w:spacing w:after="120"/>
        <w:jc w:val="both"/>
      </w:pPr>
      <w:r>
        <w:t>-</w:t>
      </w:r>
    </w:p>
    <w:p>
      <w:pPr>
        <w:spacing w:after="120"/>
        <w:jc w:val="both"/>
      </w:pPr>
      <w:r>
        <w:t>Do not confuse bootstrap EC2 configuration with Kubernetes Service or LoadBalancer networking rules.</w:t>
      </w:r>
    </w:p>
    <w:p>
      <w:pPr>
        <w:spacing w:after="120"/>
        <w:jc w:val="both"/>
      </w:pPr>
      <w:r>
        <w:t>-</w:t>
      </w:r>
    </w:p>
    <w:p>
      <w:pPr>
        <w:spacing w:after="120"/>
        <w:jc w:val="both"/>
      </w:pPr>
      <w:r>
        <w:t>Use secrets for database credentials and environment configuration instead of hardcoding them.</w:t>
      </w:r>
    </w:p>
    <w:p>
      <w:pPr>
        <w:spacing w:after="120"/>
        <w:jc w:val="both"/>
      </w:pPr>
      <w:r>
        <w:t>-</w:t>
      </w:r>
    </w:p>
    <w:p>
      <w:pPr>
        <w:spacing w:after="120"/>
        <w:jc w:val="both"/>
      </w:pPr>
      <w:r>
        <w:t>Keep the GitOps repository focused on the application deployment manifest and chart values only.</w:t>
      </w:r>
    </w:p>
    <w:p>
      <w:pPr>
        <w:spacing w:after="120"/>
        <w:jc w:val="both"/>
      </w:pPr>
      <w:r>
        <w:t>-</w:t>
      </w:r>
    </w:p>
    <w:p>
      <w:pPr>
        <w:spacing w:after="120"/>
        <w:jc w:val="both"/>
      </w:pPr>
      <w:r>
        <w:t>Monitoring should be separate from the application runtime and must be checked from the cluster namespace itself.</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