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sz w:val="32"/>
        </w:rPr>
        <w:t>Fashion Signup App - Screenshot Evidence body { font-family: Arial, sans-serif; margin: 0; background: #f5f7fb; color: #152332; } .container { max-width: 1200px; margin: 0 auto; padding: 36px 24px 60px; } .header { background: linear-gradient(135deg, #113b67, #2d6fa7); color: white; border-radius: 12px; padding: 24px 28px; } .grid { display: grid; grid-template-columns: repeat(auto-fit, minmax(280px, 1fr)); gap: 20px; margin-top: 22px; } .card { background: #fff; border: 1px solid #dfeaf5; border-radius: 12px; padding: 14px; box-shadow: 0 4px 14px rgba(0,0,0,.04); } .card h3 { margin-top: 0; } .card a { display: inline-block; margin-top: 8px; color: #1b5a89; font-weight: 600; } .note { background: #edf5ff; border-left: 4px solid #2d6fa7; padding: 12px 14px; border-radius: 8px; margin-top: 18px; }</w:t>
      </w:r>
    </w:p>
    <w:p>
      <w:pPr>
        <w:spacing w:after="120"/>
        <w:jc w:val="both"/>
      </w:pPr>
      <w:r>
        <w:t>Screenshot Evidence</w:t>
      </w:r>
    </w:p>
    <w:p>
      <w:pPr>
        <w:spacing w:after="120"/>
        <w:jc w:val="both"/>
      </w:pPr>
      <w:r>
        <w:t>Current approved evidence for the Fashion Signup App final state.</w:t>
      </w:r>
    </w:p>
    <w:p>
      <w:pPr>
        <w:spacing w:after="120"/>
        <w:jc w:val="both"/>
      </w:pPr>
      <w:r>
        <w:t>This folder contains the final screenshots used to support the project architecture, deployment, monitoring, and runtime execution story. Historical screenshots are excluded from the final portfolio pack.</w:t>
      </w:r>
    </w:p>
    <w:p>
      <w:pPr>
        <w:spacing w:after="120"/>
        <w:jc w:val="both"/>
      </w:pPr>
      <w:r>
        <w:t>Jenkins CI</w:t>
      </w:r>
    </w:p>
    <w:p>
      <w:pPr>
        <w:spacing w:after="120"/>
        <w:jc w:val="both"/>
      </w:pPr>
      <w:r>
        <w:t>Pipeline result, stage status, and success screenshots.</w:t>
      </w:r>
    </w:p>
    <w:p>
      <w:pPr>
        <w:spacing w:after="120"/>
        <w:jc w:val="both"/>
      </w:pPr>
      <w:r>
        <w:t>Jenkins CI view</w:t>
      </w:r>
    </w:p>
    <w:p>
      <w:pPr>
        <w:spacing w:after="120"/>
        <w:jc w:val="both"/>
      </w:pPr>
      <w:r>
        <w:t>Jenkins Email and Credentials</w:t>
      </w:r>
    </w:p>
    <w:p>
      <w:pPr>
        <w:spacing w:after="120"/>
        <w:jc w:val="both"/>
      </w:pPr>
      <w:r>
        <w:t>Email notification and credential configuration for pipeline integrations.</w:t>
      </w:r>
    </w:p>
    <w:p>
      <w:pPr>
        <w:spacing w:after="120"/>
        <w:jc w:val="both"/>
      </w:pPr>
      <w:r>
        <w:t>Email success</w:t>
      </w:r>
    </w:p>
    <w:p>
      <w:pPr>
        <w:spacing w:after="120"/>
        <w:jc w:val="both"/>
      </w:pPr>
      <w:r>
        <w:t>SonarQube</w:t>
      </w:r>
    </w:p>
    <w:p>
      <w:pPr>
        <w:spacing w:after="120"/>
        <w:jc w:val="both"/>
      </w:pPr>
      <w:r>
        <w:t>Code quality view and analysis result.</w:t>
      </w:r>
    </w:p>
    <w:p>
      <w:pPr>
        <w:spacing w:after="120"/>
        <w:jc w:val="both"/>
      </w:pPr>
      <w:r>
        <w:t>SonarQube code quality</w:t>
      </w:r>
    </w:p>
    <w:p>
      <w:pPr>
        <w:spacing w:after="120"/>
        <w:jc w:val="both"/>
      </w:pPr>
      <w:r>
        <w:t>Application</w:t>
      </w:r>
    </w:p>
    <w:p>
      <w:pPr>
        <w:spacing w:after="120"/>
        <w:jc w:val="both"/>
      </w:pPr>
      <w:r>
        <w:t>Public application pages served by the EKS LoadBalancer.</w:t>
      </w:r>
    </w:p>
    <w:p>
      <w:pPr>
        <w:spacing w:after="120"/>
        <w:jc w:val="both"/>
      </w:pPr>
      <w:r>
        <w:t>Application landing page</w:t>
      </w:r>
    </w:p>
    <w:p>
      <w:pPr>
        <w:spacing w:after="120"/>
        <w:jc w:val="both"/>
      </w:pPr>
      <w:r>
        <w:t>Argo CD</w:t>
      </w:r>
    </w:p>
    <w:p>
      <w:pPr>
        <w:spacing w:after="120"/>
        <w:jc w:val="both"/>
      </w:pPr>
      <w:r>
        <w:t>Synced and healthy deployment evidence.</w:t>
      </w:r>
    </w:p>
    <w:p>
      <w:pPr>
        <w:spacing w:after="120"/>
        <w:jc w:val="both"/>
      </w:pPr>
      <w:r>
        <w:t>Argo CD app details</w:t>
      </w:r>
    </w:p>
    <w:p>
      <w:pPr>
        <w:spacing w:after="120"/>
        <w:jc w:val="both"/>
      </w:pPr>
      <w:r>
        <w:t>EKS</w:t>
      </w:r>
    </w:p>
    <w:p>
      <w:pPr>
        <w:spacing w:after="120"/>
        <w:jc w:val="both"/>
      </w:pPr>
      <w:r>
        <w:t>Cluster state and workload resources.</w:t>
      </w:r>
    </w:p>
    <w:p>
      <w:pPr>
        <w:spacing w:after="120"/>
        <w:jc w:val="both"/>
      </w:pPr>
      <w:r>
        <w:t>EKS cluster view</w:t>
      </w:r>
    </w:p>
    <w:p>
      <w:pPr>
        <w:spacing w:after="120"/>
        <w:jc w:val="both"/>
      </w:pPr>
      <w:r>
        <w:t>RDS</w:t>
      </w:r>
    </w:p>
    <w:p>
      <w:pPr>
        <w:spacing w:after="120"/>
        <w:jc w:val="both"/>
      </w:pPr>
      <w:r>
        <w:t>Database status and PostgreSQL backend.</w:t>
      </w:r>
    </w:p>
    <w:p>
      <w:pPr>
        <w:spacing w:after="120"/>
        <w:jc w:val="both"/>
      </w:pPr>
      <w:r>
        <w:t>RDS database details</w:t>
      </w:r>
    </w:p>
    <w:p>
      <w:pPr>
        <w:spacing w:after="120"/>
        <w:jc w:val="both"/>
      </w:pPr>
      <w:r>
        <w:t>Grafana</w:t>
      </w:r>
    </w:p>
    <w:p>
      <w:pPr>
        <w:spacing w:after="120"/>
        <w:jc w:val="both"/>
      </w:pPr>
      <w:r>
        <w:t>Monitoring dashboards and resource health views.</w:t>
      </w:r>
    </w:p>
    <w:p>
      <w:pPr>
        <w:spacing w:after="120"/>
        <w:jc w:val="both"/>
      </w:pPr>
      <w:r>
        <w:t>Grafana dashboard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