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1601" w14:textId="624560E4" w:rsidR="009303D9" w:rsidRPr="00C21C91" w:rsidRDefault="008C79BE" w:rsidP="003A1D6E">
      <w:pPr>
        <w:pStyle w:val="papertitle"/>
        <w:spacing w:before="100" w:beforeAutospacing="1" w:after="100" w:afterAutospacing="1"/>
        <w:rPr>
          <w:color w:val="000000" w:themeColor="text1"/>
          <w:kern w:val="48"/>
        </w:rPr>
      </w:pPr>
      <w:r w:rsidRPr="00C21C91">
        <w:rPr>
          <w:color w:val="000000" w:themeColor="text1"/>
          <w:kern w:val="48"/>
        </w:rPr>
        <w:t>Supply Chain Orchestration</w:t>
      </w:r>
      <w:r w:rsidR="00BC0D80" w:rsidRPr="00C21C91">
        <w:rPr>
          <w:color w:val="000000" w:themeColor="text1"/>
          <w:kern w:val="48"/>
        </w:rPr>
        <w:t xml:space="preserve"> Tool</w:t>
      </w:r>
      <w:r w:rsidRPr="00C21C91">
        <w:rPr>
          <w:color w:val="000000" w:themeColor="text1"/>
          <w:kern w:val="48"/>
        </w:rPr>
        <w:t>: using Data Driven Decision Modelling</w:t>
      </w:r>
    </w:p>
    <w:p w14:paraId="3E1BF882" w14:textId="77777777" w:rsidR="00D7522C" w:rsidRPr="00C21C91" w:rsidRDefault="00D7522C" w:rsidP="003B4E04">
      <w:pPr>
        <w:pStyle w:val="Author"/>
        <w:spacing w:before="100" w:beforeAutospacing="1" w:after="100" w:afterAutospacing="1" w:line="120" w:lineRule="auto"/>
        <w:rPr>
          <w:color w:val="000000" w:themeColor="text1"/>
          <w:sz w:val="16"/>
          <w:szCs w:val="16"/>
        </w:rPr>
      </w:pPr>
    </w:p>
    <w:p w14:paraId="52196C64" w14:textId="77777777" w:rsidR="00D7522C" w:rsidRPr="00C21C91" w:rsidRDefault="00D7522C" w:rsidP="00911E1D">
      <w:pPr>
        <w:pStyle w:val="Author"/>
        <w:spacing w:before="100" w:beforeAutospacing="1" w:after="100" w:afterAutospacing="1" w:line="120" w:lineRule="auto"/>
        <w:jc w:val="both"/>
        <w:rPr>
          <w:color w:val="000000" w:themeColor="text1"/>
          <w:sz w:val="16"/>
          <w:szCs w:val="16"/>
        </w:rPr>
        <w:sectPr w:rsidR="00D7522C" w:rsidRPr="00C21C91" w:rsidSect="00C0430E">
          <w:footerReference w:type="even" r:id="rId8"/>
          <w:footerReference w:type="default" r:id="rId9"/>
          <w:footerReference w:type="first" r:id="rId10"/>
          <w:pgSz w:w="11906" w:h="16838" w:code="9"/>
          <w:pgMar w:top="540" w:right="893" w:bottom="1440" w:left="893" w:header="720" w:footer="720" w:gutter="0"/>
          <w:cols w:space="720"/>
          <w:docGrid w:linePitch="360"/>
        </w:sectPr>
      </w:pPr>
    </w:p>
    <w:p w14:paraId="34601803" w14:textId="0A7039FB" w:rsidR="001A3B3D" w:rsidRPr="00C21C91" w:rsidRDefault="00BD670B" w:rsidP="007B6DDA">
      <w:pPr>
        <w:pStyle w:val="Author"/>
        <w:spacing w:before="100" w:beforeAutospacing="1"/>
        <w:rPr>
          <w:color w:val="000000" w:themeColor="text1"/>
          <w:sz w:val="18"/>
          <w:szCs w:val="18"/>
        </w:rPr>
      </w:pPr>
      <w:r w:rsidRPr="00C21C91">
        <w:rPr>
          <w:color w:val="000000" w:themeColor="text1"/>
          <w:sz w:val="18"/>
          <w:szCs w:val="18"/>
        </w:rPr>
        <w:br w:type="column"/>
      </w:r>
      <w:r w:rsidR="00F847A6" w:rsidRPr="00C21C91">
        <w:rPr>
          <w:color w:val="000000" w:themeColor="text1"/>
          <w:sz w:val="18"/>
          <w:szCs w:val="18"/>
        </w:rPr>
        <w:t xml:space="preserve"> </w:t>
      </w:r>
      <w:r w:rsidR="00F87472" w:rsidRPr="00C21C91">
        <w:rPr>
          <w:color w:val="000000" w:themeColor="text1"/>
          <w:sz w:val="18"/>
          <w:szCs w:val="18"/>
        </w:rPr>
        <w:t>Vishal Makode</w:t>
      </w:r>
      <w:r w:rsidR="001A3B3D" w:rsidRPr="00C21C91">
        <w:rPr>
          <w:color w:val="000000" w:themeColor="text1"/>
          <w:sz w:val="18"/>
          <w:szCs w:val="18"/>
        </w:rPr>
        <w:br/>
      </w:r>
      <w:r w:rsidR="00F87472" w:rsidRPr="00C21C91">
        <w:rPr>
          <w:color w:val="000000" w:themeColor="text1"/>
          <w:sz w:val="18"/>
          <w:szCs w:val="18"/>
        </w:rPr>
        <w:t>200875978</w:t>
      </w:r>
      <w:r w:rsidR="001A3B3D" w:rsidRPr="00C21C91">
        <w:rPr>
          <w:i/>
          <w:color w:val="000000" w:themeColor="text1"/>
          <w:sz w:val="18"/>
          <w:szCs w:val="18"/>
        </w:rPr>
        <w:t xml:space="preserve"> </w:t>
      </w:r>
      <w:r w:rsidR="007B6DDA" w:rsidRPr="00C21C91">
        <w:rPr>
          <w:i/>
          <w:color w:val="000000" w:themeColor="text1"/>
          <w:sz w:val="18"/>
          <w:szCs w:val="18"/>
        </w:rPr>
        <w:br/>
      </w:r>
      <w:r w:rsidR="00F87472" w:rsidRPr="00C21C91">
        <w:rPr>
          <w:color w:val="000000" w:themeColor="text1"/>
          <w:sz w:val="18"/>
          <w:szCs w:val="18"/>
        </w:rPr>
        <w:t>Dr. Flynn Castles</w:t>
      </w:r>
      <w:r w:rsidR="001A3B3D" w:rsidRPr="00C21C91">
        <w:rPr>
          <w:color w:val="000000" w:themeColor="text1"/>
          <w:sz w:val="18"/>
          <w:szCs w:val="18"/>
        </w:rPr>
        <w:br/>
      </w:r>
      <w:r w:rsidR="00F87472" w:rsidRPr="00C21C91">
        <w:rPr>
          <w:color w:val="000000" w:themeColor="text1"/>
          <w:sz w:val="18"/>
          <w:szCs w:val="18"/>
        </w:rPr>
        <w:t>Msc IOT (Data)</w:t>
      </w:r>
    </w:p>
    <w:p w14:paraId="65860334" w14:textId="4A59C1E0" w:rsidR="001A3B3D" w:rsidRPr="00C21C91" w:rsidRDefault="00BD670B" w:rsidP="00447BB9">
      <w:pPr>
        <w:pStyle w:val="Author"/>
        <w:spacing w:before="100" w:beforeAutospacing="1"/>
        <w:rPr>
          <w:color w:val="000000" w:themeColor="text1"/>
          <w:sz w:val="18"/>
          <w:szCs w:val="18"/>
        </w:rPr>
      </w:pPr>
      <w:r w:rsidRPr="00C21C91">
        <w:rPr>
          <w:color w:val="000000" w:themeColor="text1"/>
          <w:sz w:val="18"/>
          <w:szCs w:val="18"/>
        </w:rPr>
        <w:br w:type="column"/>
      </w:r>
    </w:p>
    <w:p w14:paraId="6135D31B" w14:textId="77777777" w:rsidR="009F1D79" w:rsidRPr="00C21C91" w:rsidRDefault="009F1D79" w:rsidP="00911E1D">
      <w:pPr>
        <w:jc w:val="both"/>
        <w:rPr>
          <w:color w:val="000000" w:themeColor="text1"/>
        </w:rPr>
        <w:sectPr w:rsidR="009F1D79" w:rsidRPr="00C21C91" w:rsidSect="003B4E04">
          <w:type w:val="continuous"/>
          <w:pgSz w:w="11906" w:h="16838" w:code="9"/>
          <w:pgMar w:top="450" w:right="893" w:bottom="1440" w:left="893" w:header="720" w:footer="720" w:gutter="0"/>
          <w:cols w:num="3" w:space="720"/>
          <w:docGrid w:linePitch="360"/>
        </w:sectPr>
      </w:pPr>
    </w:p>
    <w:p w14:paraId="32DEFA00" w14:textId="77777777" w:rsidR="00A66829" w:rsidRPr="00891A12" w:rsidRDefault="00A66829" w:rsidP="00A66829">
      <w:pPr>
        <w:rPr>
          <w:color w:val="000000" w:themeColor="text1"/>
        </w:rPr>
        <w:sectPr w:rsidR="00A66829" w:rsidRPr="00891A12" w:rsidSect="003B4E04">
          <w:type w:val="continuous"/>
          <w:pgSz w:w="11906" w:h="16838" w:code="9"/>
          <w:pgMar w:top="450" w:right="893" w:bottom="1440" w:left="893" w:header="720" w:footer="720" w:gutter="0"/>
          <w:cols w:num="3" w:space="720"/>
          <w:docGrid w:linePitch="360"/>
        </w:sectPr>
      </w:pPr>
      <w:r w:rsidRPr="00891A12">
        <w:rPr>
          <w:color w:val="000000" w:themeColor="text1"/>
        </w:rPr>
        <w:br w:type="column"/>
      </w:r>
    </w:p>
    <w:p w14:paraId="5B40F532" w14:textId="77777777" w:rsidR="00461E36" w:rsidRPr="00461E36" w:rsidRDefault="00461E36" w:rsidP="00461E36">
      <w:pPr>
        <w:spacing w:after="200"/>
        <w:ind w:firstLine="272"/>
        <w:jc w:val="both"/>
        <w:rPr>
          <w:rFonts w:eastAsia="Times New Roman"/>
          <w:color w:val="000000" w:themeColor="text1"/>
          <w:sz w:val="24"/>
          <w:szCs w:val="24"/>
          <w:lang w:eastAsia="en-GB"/>
        </w:rPr>
      </w:pPr>
      <w:bookmarkStart w:id="0" w:name="OLE_LINK1"/>
      <w:r w:rsidRPr="00461E36">
        <w:rPr>
          <w:rFonts w:eastAsia="Times New Roman"/>
          <w:b/>
          <w:bCs/>
          <w:i/>
          <w:iCs/>
          <w:color w:val="000000" w:themeColor="text1"/>
          <w:sz w:val="18"/>
          <w:szCs w:val="18"/>
          <w:lang w:eastAsia="en-GB"/>
        </w:rPr>
        <w:t xml:space="preserve">Abstract </w:t>
      </w:r>
      <w:r w:rsidRPr="00461E36">
        <w:rPr>
          <w:rFonts w:eastAsia="Times New Roman"/>
          <w:b/>
          <w:bCs/>
          <w:color w:val="000000" w:themeColor="text1"/>
          <w:sz w:val="18"/>
          <w:szCs w:val="18"/>
          <w:lang w:eastAsia="en-GB"/>
        </w:rPr>
        <w:t xml:space="preserve">— There are several publications on the application of predictive analytics in Supply Chain Management (SCM). However, most of them are limited to </w:t>
      </w:r>
      <w:proofErr w:type="spellStart"/>
      <w:r w:rsidRPr="00461E36">
        <w:rPr>
          <w:rFonts w:eastAsia="Times New Roman"/>
          <w:b/>
          <w:bCs/>
          <w:color w:val="000000" w:themeColor="text1"/>
          <w:sz w:val="18"/>
          <w:szCs w:val="18"/>
          <w:lang w:eastAsia="en-GB"/>
        </w:rPr>
        <w:t>specialised</w:t>
      </w:r>
      <w:proofErr w:type="spellEnd"/>
      <w:r w:rsidRPr="00461E36">
        <w:rPr>
          <w:rFonts w:eastAsia="Times New Roman"/>
          <w:b/>
          <w:bCs/>
          <w:color w:val="000000" w:themeColor="text1"/>
          <w:sz w:val="18"/>
          <w:szCs w:val="18"/>
          <w:lang w:eastAsia="en-GB"/>
        </w:rPr>
        <w:t xml:space="preserve"> supply chain management tasks, such as Logistics, Transportation, Demand prediction, Demand management, Inventory management or other pure research elements. The primary focus of the report is on improving visibility to manage complexity and assist decision-making for handling risk and disruptions along the supply chain. Demand management and Procurement are the two main areas of SCM in which predictive analytics is often applied. This report has two objectives: first, to provide an overview of supply chain management functions (SCMF), apply data-driven predictive analytics, highlighting practical approaches, algorithms, or models in SCM through a comparative review of several machine learning approaches and secondly present a comprehensive supply chain orchestration tool encompassing all those finding into production-ready functional software. For these reasons, pertinent literature information was obtained and evaluated. Accordingly, this report will present the data pipeline, data insights, cloud architectures, and machine learning models for predictive analytics and their performances. These will form the basis for the SCM orchestration tool, which includes all the necessary components to implement SCMF with an intuitive dashboard for supply chain managers and data analysts. </w:t>
      </w:r>
    </w:p>
    <w:p w14:paraId="660B6810" w14:textId="77777777" w:rsidR="00461E36" w:rsidRPr="00461E36" w:rsidRDefault="00461E36" w:rsidP="00461E36">
      <w:pPr>
        <w:jc w:val="left"/>
        <w:rPr>
          <w:rFonts w:eastAsia="Times New Roman"/>
          <w:color w:val="000000" w:themeColor="text1"/>
          <w:sz w:val="24"/>
          <w:szCs w:val="24"/>
          <w:lang w:eastAsia="en-GB"/>
        </w:rPr>
      </w:pPr>
      <w:r w:rsidRPr="00461E36">
        <w:rPr>
          <w:rFonts w:eastAsia="Times New Roman"/>
          <w:b/>
          <w:bCs/>
          <w:i/>
          <w:iCs/>
          <w:color w:val="000000" w:themeColor="text1"/>
          <w:sz w:val="18"/>
          <w:szCs w:val="18"/>
          <w:lang w:eastAsia="en-GB"/>
        </w:rPr>
        <w:t xml:space="preserve">Keywords </w:t>
      </w:r>
      <w:r w:rsidRPr="00461E36">
        <w:rPr>
          <w:rFonts w:eastAsia="Times New Roman"/>
          <w:b/>
          <w:bCs/>
          <w:color w:val="000000" w:themeColor="text1"/>
          <w:sz w:val="18"/>
          <w:szCs w:val="18"/>
          <w:lang w:eastAsia="en-GB"/>
        </w:rPr>
        <w:t>— Supply chain management, Forecasting, Neural networks, Big Data Analytics (BDA), Predictive Analytics, Machine learning (ML), Recurrent Neural Network (RNN), Random Forest, Kubernetes, cloud, Dashboard, Docker, Mongo DB</w:t>
      </w:r>
    </w:p>
    <w:p w14:paraId="5EA4130A" w14:textId="77777777" w:rsidR="00461E36" w:rsidRPr="00461E36" w:rsidRDefault="00461E36" w:rsidP="00461E36">
      <w:pPr>
        <w:jc w:val="left"/>
        <w:rPr>
          <w:rFonts w:eastAsia="Times New Roman"/>
          <w:color w:val="000000" w:themeColor="text1"/>
          <w:sz w:val="24"/>
          <w:szCs w:val="24"/>
          <w:lang w:eastAsia="en-GB"/>
        </w:rPr>
      </w:pPr>
    </w:p>
    <w:p w14:paraId="1986C8A0" w14:textId="7B611BBC" w:rsidR="00A66829" w:rsidRPr="00891A12" w:rsidRDefault="00A66829" w:rsidP="00A66829">
      <w:pPr>
        <w:pStyle w:val="Heading1"/>
        <w:rPr>
          <w:color w:val="000000" w:themeColor="text1"/>
        </w:rPr>
      </w:pPr>
      <w:r w:rsidRPr="00891A12">
        <w:rPr>
          <w:color w:val="000000" w:themeColor="text1"/>
        </w:rPr>
        <w:t xml:space="preserve">Introduction </w:t>
      </w:r>
    </w:p>
    <w:bookmarkEnd w:id="0"/>
    <w:p w14:paraId="232F0AAD" w14:textId="72DFAAB3" w:rsidR="00A66829" w:rsidRPr="00891A12" w:rsidRDefault="007F70F7" w:rsidP="00D35807">
      <w:pPr>
        <w:jc w:val="left"/>
        <w:rPr>
          <w:rFonts w:eastAsia="Times New Roman"/>
          <w:color w:val="000000" w:themeColor="text1"/>
          <w:sz w:val="24"/>
          <w:szCs w:val="24"/>
          <w:lang w:eastAsia="en-GB"/>
        </w:rPr>
      </w:pPr>
      <w:r w:rsidRPr="007F70F7">
        <w:rPr>
          <w:rFonts w:eastAsia="Times New Roman"/>
          <w:color w:val="000000" w:themeColor="text1"/>
          <w:lang w:eastAsia="en-GB"/>
        </w:rPr>
        <w:t xml:space="preserve">Supply chains contribute significantly to user satisfaction, budget control, and a corporation's responses to market advantages and risks. While examining their cost considerations, timeframes, and stock control, firms pursue efficiency, dependability, and reproducibility (Zhang </w:t>
      </w:r>
      <w:r w:rsidRPr="007F70F7">
        <w:rPr>
          <w:rFonts w:eastAsia="Times New Roman"/>
          <w:i/>
          <w:iCs/>
          <w:color w:val="000000" w:themeColor="text1"/>
          <w:lang w:eastAsia="en-GB"/>
        </w:rPr>
        <w:t>et al.</w:t>
      </w:r>
      <w:r w:rsidRPr="007F70F7">
        <w:rPr>
          <w:rFonts w:eastAsia="Times New Roman"/>
          <w:color w:val="000000" w:themeColor="text1"/>
          <w:lang w:eastAsia="en-GB"/>
        </w:rPr>
        <w:t xml:space="preserve">, 2016) to evaluate and avoid occurrences and circumstances affecting logistics management, from the most frequent (production delays, manufacturing faults) to the most significant (social turmoil, environmental disasters, manufacturers' financial distress). Several characteristics could complicate the nature of production processes in contexts where uncertainty is already present. As a result of the swift advancement of technology, the lifespan of products is decreasing at an unprecedented rate. Organisations throughout the globe are utilising reverse supply chain (RSC) tactics to circumvent laws and create profit-generating options. Generally, the production planning procedure can identify the ideal implementation plan for a supply chain's production and logistical activities. A computer program that facilitates the detection of </w:t>
      </w:r>
      <w:r w:rsidRPr="007F70F7">
        <w:rPr>
          <w:rFonts w:eastAsia="Times New Roman"/>
          <w:color w:val="000000" w:themeColor="text1"/>
          <w:lang w:eastAsia="en-GB"/>
        </w:rPr>
        <w:t xml:space="preserve">concealed data within collections. While combining data mining and optimization, after the confidential information is recovered from the collection, the feature selection of an optimization problem could be decreased (Aria and Cuccurullo, 2017). Thus, a practical or high-quality response can be identified in a small amount of time and computational performance. To exemplify the efficacy of this strategy, an optimal machine learning </w:t>
      </w:r>
      <w:r w:rsidR="00D35807" w:rsidRPr="00891A12">
        <w:rPr>
          <w:rFonts w:eastAsia="Times New Roman"/>
          <w:color w:val="000000" w:themeColor="text1"/>
          <w:lang w:eastAsia="en-GB"/>
        </w:rPr>
        <w:t>technique has</w:t>
      </w:r>
      <w:r w:rsidRPr="007F70F7">
        <w:rPr>
          <w:rFonts w:eastAsia="Times New Roman"/>
          <w:color w:val="000000" w:themeColor="text1"/>
          <w:lang w:eastAsia="en-GB"/>
        </w:rPr>
        <w:t xml:space="preserve"> been applied to a limited optimal control problem, and the outcomes are clarified</w:t>
      </w:r>
    </w:p>
    <w:p w14:paraId="538D99B0" w14:textId="4FE6C9FF" w:rsidR="00A66829" w:rsidRPr="00891A12" w:rsidRDefault="00473EC2" w:rsidP="00D35807">
      <w:pPr>
        <w:pStyle w:val="NormalWeb"/>
        <w:spacing w:before="0" w:beforeAutospacing="0" w:after="120" w:afterAutospacing="0"/>
        <w:ind w:firstLine="288"/>
        <w:jc w:val="both"/>
        <w:rPr>
          <w:color w:val="000000" w:themeColor="text1"/>
        </w:rPr>
      </w:pPr>
      <w:r>
        <w:rPr>
          <w:noProof/>
        </w:rPr>
        <mc:AlternateContent>
          <mc:Choice Requires="wps">
            <w:drawing>
              <wp:anchor distT="0" distB="0" distL="114300" distR="114300" simplePos="0" relativeHeight="251678720" behindDoc="0" locked="0" layoutInCell="1" allowOverlap="1" wp14:anchorId="63E01ADE" wp14:editId="53444036">
                <wp:simplePos x="0" y="0"/>
                <wp:positionH relativeFrom="column">
                  <wp:posOffset>1451610</wp:posOffset>
                </wp:positionH>
                <wp:positionV relativeFrom="paragraph">
                  <wp:posOffset>2414905</wp:posOffset>
                </wp:positionV>
                <wp:extent cx="161671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59005A08" w14:textId="72265D36" w:rsidR="00473EC2" w:rsidRPr="00C34BEC" w:rsidRDefault="00473EC2" w:rsidP="00473EC2">
                            <w:pPr>
                              <w:pStyle w:val="Caption"/>
                              <w:rPr>
                                <w:rFonts w:eastAsia="Times New Roman"/>
                                <w:noProof/>
                                <w:color w:val="000000" w:themeColor="text1"/>
                              </w:rPr>
                            </w:pPr>
                            <w:r>
                              <w:t xml:space="preserve">Fig. </w:t>
                            </w:r>
                            <w:r>
                              <w:fldChar w:fldCharType="begin"/>
                            </w:r>
                            <w:r>
                              <w:instrText xml:space="preserve"> SEQ Fig. \* ARABIC </w:instrText>
                            </w:r>
                            <w:r>
                              <w:fldChar w:fldCharType="separate"/>
                            </w:r>
                            <w:r>
                              <w:rPr>
                                <w:noProof/>
                              </w:rPr>
                              <w:t>1</w:t>
                            </w:r>
                            <w:r>
                              <w:fldChar w:fldCharType="end"/>
                            </w:r>
                            <w:r>
                              <w:t>. Understanding supply 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E01ADE" id="_x0000_t202" coordsize="21600,21600" o:spt="202" path="m,l,21600r21600,l21600,xe">
                <v:stroke joinstyle="miter"/>
                <v:path gradientshapeok="t" o:connecttype="rect"/>
              </v:shapetype>
              <v:shape id="Text Box 1" o:spid="_x0000_s1026" type="#_x0000_t202" style="position:absolute;left:0;text-align:left;margin-left:114.3pt;margin-top:190.15pt;width:12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" stroked="f">
                <v:textbox style="mso-fit-shape-to-text:t" inset="0,0,0,0">
                  <w:txbxContent>
                    <w:p w14:paraId="59005A08" w14:textId="72265D36" w:rsidR="00473EC2" w:rsidRPr="00C34BEC" w:rsidRDefault="00473EC2" w:rsidP="00473EC2">
                      <w:pPr>
                        <w:pStyle w:val="Caption"/>
                        <w:rPr>
                          <w:rFonts w:eastAsia="Times New Roman"/>
                          <w:noProof/>
                          <w:color w:val="000000" w:themeColor="text1"/>
                        </w:rPr>
                      </w:pPr>
                      <w:r>
                        <w:t xml:space="preserve">Fig. </w:t>
                      </w:r>
                      <w:r>
                        <w:fldChar w:fldCharType="begin"/>
                      </w:r>
                      <w:r>
                        <w:instrText xml:space="preserve"> SEQ Fig. \* ARABIC </w:instrText>
                      </w:r>
                      <w:r>
                        <w:fldChar w:fldCharType="separate"/>
                      </w:r>
                      <w:r>
                        <w:rPr>
                          <w:noProof/>
                        </w:rPr>
                        <w:t>1</w:t>
                      </w:r>
                      <w:r>
                        <w:fldChar w:fldCharType="end"/>
                      </w:r>
                      <w:r>
                        <w:t>. Understanding supply chain.</w:t>
                      </w:r>
                    </w:p>
                  </w:txbxContent>
                </v:textbox>
                <w10:wrap type="square"/>
              </v:shape>
            </w:pict>
          </mc:Fallback>
        </mc:AlternateContent>
      </w:r>
      <w:r w:rsidR="0035437B" w:rsidRPr="00891A12">
        <w:rPr>
          <w:noProof/>
          <w:color w:val="000000" w:themeColor="text1"/>
        </w:rPr>
        <w:drawing>
          <wp:anchor distT="0" distB="0" distL="114300" distR="114300" simplePos="0" relativeHeight="251676672" behindDoc="0" locked="0" layoutInCell="1" allowOverlap="1" wp14:anchorId="6F50F5A8" wp14:editId="4B4452F6">
            <wp:simplePos x="0" y="0"/>
            <wp:positionH relativeFrom="margin">
              <wp:posOffset>4779010</wp:posOffset>
            </wp:positionH>
            <wp:positionV relativeFrom="margin">
              <wp:posOffset>3848401</wp:posOffset>
            </wp:positionV>
            <wp:extent cx="1616710" cy="1570990"/>
            <wp:effectExtent l="0" t="0" r="0" b="3810"/>
            <wp:wrapSquare wrapText="bothSides"/>
            <wp:docPr id="29" name="Picture 2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company name&#10;&#10;Description automatically generated"/>
                    <pic:cNvPicPr/>
                  </pic:nvPicPr>
                  <pic:blipFill rotWithShape="1">
                    <a:blip r:embed="rId11" cstate="print">
                      <a:extLst>
                        <a:ext uri="{28A0092B-C50C-407E-A947-70E740481C1C}">
                          <a14:useLocalDpi xmlns:a14="http://schemas.microsoft.com/office/drawing/2010/main" val="0"/>
                        </a:ext>
                      </a:extLst>
                    </a:blip>
                    <a:srcRect l="23463" t="13850" r="13520"/>
                    <a:stretch/>
                  </pic:blipFill>
                  <pic:spPr bwMode="auto">
                    <a:xfrm>
                      <a:off x="0" y="0"/>
                      <a:ext cx="1616710" cy="1570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5807" w:rsidRPr="00891A12">
        <w:rPr>
          <w:color w:val="000000" w:themeColor="text1"/>
          <w:sz w:val="20"/>
          <w:szCs w:val="20"/>
        </w:rPr>
        <w:t xml:space="preserve"> </w:t>
      </w:r>
      <w:r w:rsidR="00D35807" w:rsidRPr="00891A12">
        <w:rPr>
          <w:color w:val="000000" w:themeColor="text1"/>
          <w:sz w:val="20"/>
          <w:szCs w:val="20"/>
        </w:rPr>
        <w:t>As the economy has been growing, the quality of human existence has continually improved. In addition, as the market for various items rises, individuals are placing an increased significance on product durability and safety (Han and Zhang, 2021). The supply chain management fundamental</w:t>
      </w:r>
      <w:r w:rsidR="00D35807" w:rsidRPr="00891A12">
        <w:rPr>
          <w:color w:val="000000" w:themeColor="text1"/>
          <w:sz w:val="20"/>
          <w:szCs w:val="20"/>
        </w:rPr>
        <w:t xml:space="preserve">ly </w:t>
      </w:r>
      <w:r w:rsidR="00D35807" w:rsidRPr="00891A12">
        <w:rPr>
          <w:color w:val="000000" w:themeColor="text1"/>
          <w:sz w:val="20"/>
          <w:szCs w:val="20"/>
        </w:rPr>
        <w:t xml:space="preserve">is a technique </w:t>
      </w:r>
      <w:r w:rsidR="00D35807" w:rsidRPr="00891A12">
        <w:rPr>
          <w:color w:val="000000" w:themeColor="text1"/>
          <w:sz w:val="20"/>
          <w:szCs w:val="20"/>
        </w:rPr>
        <w:t xml:space="preserve">which </w:t>
      </w:r>
      <w:r w:rsidR="00D35807" w:rsidRPr="00891A12">
        <w:rPr>
          <w:color w:val="000000" w:themeColor="text1"/>
          <w:sz w:val="20"/>
          <w:szCs w:val="20"/>
        </w:rPr>
        <w:t>combine</w:t>
      </w:r>
      <w:r w:rsidR="00D35807" w:rsidRPr="00891A12">
        <w:rPr>
          <w:color w:val="000000" w:themeColor="text1"/>
          <w:sz w:val="20"/>
          <w:szCs w:val="20"/>
        </w:rPr>
        <w:t>s several</w:t>
      </w:r>
      <w:r w:rsidR="00D35807" w:rsidRPr="00891A12">
        <w:rPr>
          <w:color w:val="000000" w:themeColor="text1"/>
          <w:sz w:val="20"/>
          <w:szCs w:val="20"/>
        </w:rPr>
        <w:t xml:space="preserve"> conceptual framework</w:t>
      </w:r>
      <w:r w:rsidR="00D35807" w:rsidRPr="00891A12">
        <w:rPr>
          <w:color w:val="000000" w:themeColor="text1"/>
          <w:sz w:val="20"/>
          <w:szCs w:val="20"/>
        </w:rPr>
        <w:t>s</w:t>
      </w:r>
      <w:r w:rsidR="00D35807" w:rsidRPr="00891A12">
        <w:rPr>
          <w:color w:val="000000" w:themeColor="text1"/>
          <w:sz w:val="20"/>
          <w:szCs w:val="20"/>
        </w:rPr>
        <w:t xml:space="preserve"> (Turkulainen and Swink, 2017), </w:t>
      </w:r>
      <w:r w:rsidR="00D35807" w:rsidRPr="00891A12">
        <w:rPr>
          <w:color w:val="000000" w:themeColor="text1"/>
          <w:sz w:val="20"/>
          <w:szCs w:val="20"/>
        </w:rPr>
        <w:t>as</w:t>
      </w:r>
      <w:r w:rsidR="00D35807" w:rsidRPr="00891A12">
        <w:rPr>
          <w:color w:val="000000" w:themeColor="text1"/>
          <w:sz w:val="20"/>
          <w:szCs w:val="20"/>
        </w:rPr>
        <w:t xml:space="preserve"> several scholars have long predicted that integration will be an essential factor of supply chain research (Luo and Yu, 2019). The commercial supply chain has shifted from a single regional vertical clustering to an internally strategic alliance and will evolve into a stage characterized by several supply chain functional relationships (Gholamian and Taghanzadeh, 2017). </w:t>
      </w:r>
      <w:r w:rsidR="00A66829" w:rsidRPr="00891A12">
        <w:rPr>
          <w:color w:val="000000" w:themeColor="text1"/>
          <w:lang w:val="en-US"/>
        </w:rPr>
        <w:t xml:space="preserve"> </w:t>
      </w:r>
    </w:p>
    <w:p w14:paraId="195DFBD4" w14:textId="5816B51A" w:rsidR="00891A12" w:rsidRPr="00891A12" w:rsidRDefault="00891A12" w:rsidP="00891A12">
      <w:pPr>
        <w:jc w:val="left"/>
        <w:rPr>
          <w:rFonts w:eastAsia="Times New Roman"/>
          <w:sz w:val="24"/>
          <w:szCs w:val="24"/>
          <w:lang w:eastAsia="en-GB"/>
        </w:rPr>
      </w:pPr>
      <w:r w:rsidRPr="00891A12">
        <w:rPr>
          <w:rFonts w:eastAsia="Times New Roman"/>
          <w:color w:val="000000"/>
          <w:lang w:eastAsia="en-GB"/>
        </w:rPr>
        <w:t xml:space="preserve">As per (Mentzer </w:t>
      </w:r>
      <w:r w:rsidRPr="00891A12">
        <w:rPr>
          <w:rFonts w:eastAsia="Times New Roman"/>
          <w:i/>
          <w:iCs/>
          <w:color w:val="000000"/>
          <w:lang w:eastAsia="en-GB"/>
        </w:rPr>
        <w:t>et al.</w:t>
      </w:r>
      <w:r w:rsidRPr="00891A12">
        <w:rPr>
          <w:rFonts w:eastAsia="Times New Roman"/>
          <w:color w:val="000000"/>
          <w:lang w:eastAsia="en-GB"/>
        </w:rPr>
        <w:t xml:space="preserve">, 2001), the supply chain is the network of businesses </w:t>
      </w:r>
      <w:r>
        <w:rPr>
          <w:rFonts w:eastAsia="Times New Roman"/>
          <w:color w:val="000000"/>
          <w:lang w:eastAsia="en-GB"/>
        </w:rPr>
        <w:t>having</w:t>
      </w:r>
      <w:r w:rsidRPr="00891A12">
        <w:rPr>
          <w:rFonts w:eastAsia="Times New Roman"/>
          <w:color w:val="000000"/>
          <w:lang w:eastAsia="en-GB"/>
        </w:rPr>
        <w:t xml:space="preserve"> many actions and procedures that produce wealth in the shape of goods and services given to the end user. </w:t>
      </w:r>
      <w:r w:rsidR="00473EC2" w:rsidRPr="00473EC2">
        <w:rPr>
          <w:rFonts w:eastAsia="Times New Roman"/>
          <w:color w:val="000000"/>
          <w:lang w:eastAsia="en-GB"/>
        </w:rPr>
        <w:t>These links, operations, and activities depend on ecosystem modelling, planning, and management to function effectively to produce more flexible and sustainable supply chain.</w:t>
      </w:r>
      <w:r w:rsidRPr="00891A12">
        <w:rPr>
          <w:rFonts w:eastAsia="Times New Roman"/>
          <w:color w:val="000000"/>
          <w:lang w:eastAsia="en-GB"/>
        </w:rPr>
        <w:t xml:space="preserve"> Artificial intelligence (AI) capabilities have evolved in numerous industries in recent decades, especially in supply chains (Borges </w:t>
      </w:r>
      <w:r w:rsidRPr="00891A12">
        <w:rPr>
          <w:rFonts w:eastAsia="Times New Roman"/>
          <w:i/>
          <w:iCs/>
          <w:color w:val="000000"/>
          <w:lang w:eastAsia="en-GB"/>
        </w:rPr>
        <w:t>et al.</w:t>
      </w:r>
      <w:r w:rsidRPr="00891A12">
        <w:rPr>
          <w:rFonts w:eastAsia="Times New Roman"/>
          <w:color w:val="000000"/>
          <w:lang w:eastAsia="en-GB"/>
        </w:rPr>
        <w:t xml:space="preserve">, 2021). AI enables computers to make intelligent decisions and complete operations without personal interaction. Industries </w:t>
      </w:r>
      <w:r w:rsidRPr="00891A12">
        <w:rPr>
          <w:rFonts w:eastAsia="Times New Roman"/>
          <w:color w:val="000000" w:themeColor="text1"/>
          <w:lang w:eastAsia="en-GB"/>
        </w:rPr>
        <w:t xml:space="preserve">use AI and machine learning to understand various </w:t>
      </w:r>
      <w:r w:rsidR="00473EC2" w:rsidRPr="00473EC2">
        <w:rPr>
          <w:rFonts w:eastAsia="Times New Roman"/>
          <w:color w:val="000000" w:themeColor="text1"/>
          <w:lang w:eastAsia="en-GB"/>
        </w:rPr>
        <w:t>parameters</w:t>
      </w:r>
      <w:r w:rsidRPr="00891A12">
        <w:rPr>
          <w:rFonts w:eastAsia="Times New Roman"/>
          <w:color w:val="000000" w:themeColor="text1"/>
          <w:lang w:eastAsia="en-GB"/>
        </w:rPr>
        <w:t xml:space="preserve">, including </w:t>
      </w:r>
      <w:r w:rsidR="00473EC2" w:rsidRPr="00473EC2">
        <w:rPr>
          <w:rFonts w:eastAsia="Times New Roman"/>
          <w:color w:val="000000" w:themeColor="text1"/>
          <w:lang w:eastAsia="en-GB"/>
        </w:rPr>
        <w:t>logistics</w:t>
      </w:r>
      <w:r w:rsidRPr="00891A12">
        <w:rPr>
          <w:rFonts w:eastAsia="Times New Roman"/>
          <w:color w:val="000000" w:themeColor="text1"/>
          <w:lang w:eastAsia="en-GB"/>
        </w:rPr>
        <w:t xml:space="preserve">, supply chain </w:t>
      </w:r>
      <w:r w:rsidR="00473EC2" w:rsidRPr="00473EC2">
        <w:rPr>
          <w:rFonts w:eastAsia="Times New Roman"/>
          <w:color w:val="000000" w:themeColor="text1"/>
          <w:lang w:eastAsia="en-GB"/>
        </w:rPr>
        <w:t>features</w:t>
      </w:r>
      <w:r w:rsidRPr="00891A12">
        <w:rPr>
          <w:rFonts w:eastAsia="Times New Roman"/>
          <w:color w:val="000000" w:themeColor="text1"/>
          <w:lang w:eastAsia="en-GB"/>
        </w:rPr>
        <w:t xml:space="preserve">, and storage. </w:t>
      </w:r>
      <w:r w:rsidR="00473EC2" w:rsidRPr="00473EC2">
        <w:rPr>
          <w:rFonts w:eastAsia="Times New Roman"/>
          <w:color w:val="000000" w:themeColor="text1"/>
          <w:lang w:eastAsia="en-GB"/>
        </w:rPr>
        <w:t>Supply chain a</w:t>
      </w:r>
      <w:r w:rsidRPr="00891A12">
        <w:rPr>
          <w:rFonts w:eastAsia="Times New Roman"/>
          <w:color w:val="000000" w:themeColor="text1"/>
          <w:lang w:eastAsia="en-GB"/>
        </w:rPr>
        <w:t>utomation definitions change depending on the standpoint from which they are formulated</w:t>
      </w:r>
      <w:r w:rsidR="00473EC2" w:rsidRPr="00473EC2">
        <w:rPr>
          <w:rFonts w:eastAsia="Times New Roman"/>
          <w:color w:val="000000" w:themeColor="text1"/>
          <w:lang w:eastAsia="en-GB"/>
        </w:rPr>
        <w:t xml:space="preserve"> </w:t>
      </w:r>
      <w:r w:rsidRPr="00891A12">
        <w:rPr>
          <w:rFonts w:eastAsia="Times New Roman"/>
          <w:color w:val="000000" w:themeColor="text1"/>
          <w:lang w:eastAsia="en-GB"/>
        </w:rPr>
        <w:t>(Zhang, Pee and Cui, 2021).</w:t>
      </w:r>
      <w:r w:rsidRPr="00891A12">
        <w:rPr>
          <w:rFonts w:eastAsia="Times New Roman"/>
          <w:color w:val="FF0000"/>
          <w:lang w:eastAsia="en-GB"/>
        </w:rPr>
        <w:t xml:space="preserve"> </w:t>
      </w:r>
    </w:p>
    <w:p w14:paraId="4F551751" w14:textId="77777777" w:rsidR="00A66829" w:rsidRPr="00C21C91" w:rsidRDefault="00A66829" w:rsidP="00A66829">
      <w:pPr>
        <w:pStyle w:val="Heading1"/>
        <w:rPr>
          <w:color w:val="000000" w:themeColor="text1"/>
        </w:rPr>
      </w:pPr>
      <w:r w:rsidRPr="00C21C91">
        <w:rPr>
          <w:color w:val="000000" w:themeColor="text1"/>
        </w:rPr>
        <w:lastRenderedPageBreak/>
        <w:t xml:space="preserve">Related work </w:t>
      </w:r>
    </w:p>
    <w:p w14:paraId="31369675" w14:textId="44D2E05F" w:rsidR="00836367" w:rsidRPr="00C21C91" w:rsidRDefault="00A66829" w:rsidP="00473EC2">
      <w:pPr>
        <w:jc w:val="both"/>
        <w:rPr>
          <w:b/>
          <w:color w:val="000000" w:themeColor="text1"/>
          <w:spacing w:val="-1"/>
          <w:lang w:val="x-none" w:eastAsia="x-none"/>
        </w:rPr>
        <w:sectPr w:rsidR="00836367" w:rsidRPr="00C21C91" w:rsidSect="00683992">
          <w:type w:val="continuous"/>
          <w:pgSz w:w="11906" w:h="16838" w:code="9"/>
          <w:pgMar w:top="1080" w:right="907" w:bottom="1440" w:left="907" w:header="720" w:footer="720" w:gutter="0"/>
          <w:cols w:num="2" w:space="360"/>
          <w:docGrid w:linePitch="360"/>
        </w:sectPr>
      </w:pPr>
      <w:r w:rsidRPr="00C21C91">
        <w:rPr>
          <w:color w:val="000000" w:themeColor="text1"/>
        </w:rPr>
        <w:t xml:space="preserve">The data-driven supply chain is an integral part of today’s business to move products from one site to another. This type of supply chain optimizes the exposure of the product from </w:t>
      </w:r>
    </w:p>
    <w:p w14:paraId="1636E717" w14:textId="70195A5A" w:rsidR="009303D9" w:rsidRPr="00C21C91" w:rsidRDefault="009303D9" w:rsidP="005B520E">
      <w:pPr>
        <w:rPr>
          <w:color w:val="000000" w:themeColor="text1"/>
        </w:rPr>
      </w:pPr>
    </w:p>
    <w:sectPr w:rsidR="009303D9" w:rsidRPr="00C21C91"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EFF25" w14:textId="77777777" w:rsidR="001659B6" w:rsidRDefault="001659B6" w:rsidP="001A3B3D">
      <w:r>
        <w:separator/>
      </w:r>
    </w:p>
  </w:endnote>
  <w:endnote w:type="continuationSeparator" w:id="0">
    <w:p w14:paraId="4709D08F" w14:textId="77777777" w:rsidR="001659B6" w:rsidRDefault="001659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6532135"/>
      <w:docPartObj>
        <w:docPartGallery w:val="Page Numbers (Bottom of Page)"/>
        <w:docPartUnique/>
      </w:docPartObj>
    </w:sdtPr>
    <w:sdtContent>
      <w:p w14:paraId="7B36A80D" w14:textId="4D1E6C1E" w:rsidR="008D25E1" w:rsidRDefault="008D25E1" w:rsidP="002E7D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204D00" w14:textId="77777777" w:rsidR="008D25E1" w:rsidRDefault="008D25E1" w:rsidP="008D25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5778330"/>
      <w:docPartObj>
        <w:docPartGallery w:val="Page Numbers (Bottom of Page)"/>
        <w:docPartUnique/>
      </w:docPartObj>
    </w:sdtPr>
    <w:sdtContent>
      <w:p w14:paraId="0C908891" w14:textId="50664368" w:rsidR="008D25E1" w:rsidRDefault="008D25E1" w:rsidP="002E7D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B94D9E4" w14:textId="6200FB53" w:rsidR="00C0430E" w:rsidRPr="00C0430E" w:rsidRDefault="00C0430E" w:rsidP="008D25E1">
    <w:pPr>
      <w:pStyle w:val="Footer"/>
      <w:ind w:right="360"/>
      <w:jc w:val="left"/>
      <w:rPr>
        <w:sz w:val="16"/>
        <w:szCs w:val="16"/>
      </w:rPr>
    </w:pPr>
    <w:r>
      <w:rPr>
        <w:sz w:val="16"/>
        <w:szCs w:val="16"/>
      </w:rPr>
      <w:t>Supply Chain Orchestration</w:t>
    </w:r>
    <w:r w:rsidR="00972D70">
      <w:rPr>
        <w:sz w:val="16"/>
        <w:szCs w:val="16"/>
      </w:rPr>
      <w:t xml:space="preserve"> Tool </w:t>
    </w:r>
    <w:r w:rsidRPr="006F6D3D">
      <w:rPr>
        <w:sz w:val="16"/>
        <w:szCs w:val="16"/>
      </w:rPr>
      <w:t>©</w:t>
    </w:r>
    <w:r>
      <w:rPr>
        <w:sz w:val="16"/>
        <w:szCs w:val="16"/>
      </w:rPr>
      <w:t>Vishal Makode</w:t>
    </w:r>
  </w:p>
  <w:p w14:paraId="15D799FE" w14:textId="77777777" w:rsidR="00C0430E" w:rsidRDefault="00C043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5601022"/>
      <w:docPartObj>
        <w:docPartGallery w:val="Page Numbers (Bottom of Page)"/>
        <w:docPartUnique/>
      </w:docPartObj>
    </w:sdtPr>
    <w:sdtContent>
      <w:p w14:paraId="48AD6512" w14:textId="1350BDFA" w:rsidR="00C0430E" w:rsidRDefault="00C0430E" w:rsidP="002E7D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5C1B58" w14:textId="5891D330" w:rsidR="00C0430E" w:rsidRPr="00C0430E" w:rsidRDefault="00C0430E" w:rsidP="00C0430E">
    <w:pPr>
      <w:pStyle w:val="Footer"/>
      <w:ind w:right="360"/>
      <w:jc w:val="left"/>
      <w:rPr>
        <w:sz w:val="16"/>
        <w:szCs w:val="16"/>
      </w:rPr>
    </w:pPr>
    <w:r>
      <w:rPr>
        <w:sz w:val="16"/>
        <w:szCs w:val="16"/>
      </w:rPr>
      <w:t>Supply Chain Orchestration</w:t>
    </w:r>
    <w:r w:rsidR="00050189" w:rsidRPr="006F6D3D">
      <w:rPr>
        <w:sz w:val="16"/>
        <w:szCs w:val="16"/>
      </w:rPr>
      <w:t xml:space="preserve"> ©</w:t>
    </w:r>
    <w:r>
      <w:rPr>
        <w:sz w:val="16"/>
        <w:szCs w:val="16"/>
      </w:rPr>
      <w:t>Vishal Makode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10D9" w14:textId="77777777" w:rsidR="001659B6" w:rsidRDefault="001659B6" w:rsidP="001A3B3D">
      <w:r>
        <w:separator/>
      </w:r>
    </w:p>
  </w:footnote>
  <w:footnote w:type="continuationSeparator" w:id="0">
    <w:p w14:paraId="50C19B04" w14:textId="77777777" w:rsidR="001659B6" w:rsidRDefault="001659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414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927"/>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33569D8"/>
    <w:multiLevelType w:val="hybridMultilevel"/>
    <w:tmpl w:val="C36CC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783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86798027">
    <w:abstractNumId w:val="14"/>
  </w:num>
  <w:num w:numId="2" w16cid:durableId="684551126">
    <w:abstractNumId w:val="20"/>
  </w:num>
  <w:num w:numId="3" w16cid:durableId="557473052">
    <w:abstractNumId w:val="13"/>
  </w:num>
  <w:num w:numId="4" w16cid:durableId="1480612953">
    <w:abstractNumId w:val="16"/>
  </w:num>
  <w:num w:numId="5" w16cid:durableId="887305710">
    <w:abstractNumId w:val="16"/>
  </w:num>
  <w:num w:numId="6" w16cid:durableId="1079791402">
    <w:abstractNumId w:val="16"/>
  </w:num>
  <w:num w:numId="7" w16cid:durableId="2062363706">
    <w:abstractNumId w:val="16"/>
  </w:num>
  <w:num w:numId="8" w16cid:durableId="1629386958">
    <w:abstractNumId w:val="18"/>
  </w:num>
  <w:num w:numId="9" w16cid:durableId="1556045769">
    <w:abstractNumId w:val="21"/>
  </w:num>
  <w:num w:numId="10" w16cid:durableId="390274981">
    <w:abstractNumId w:val="15"/>
  </w:num>
  <w:num w:numId="11" w16cid:durableId="266230974">
    <w:abstractNumId w:val="12"/>
  </w:num>
  <w:num w:numId="12" w16cid:durableId="595552435">
    <w:abstractNumId w:val="11"/>
  </w:num>
  <w:num w:numId="13" w16cid:durableId="1908682272">
    <w:abstractNumId w:val="0"/>
  </w:num>
  <w:num w:numId="14" w16cid:durableId="1457335768">
    <w:abstractNumId w:val="10"/>
  </w:num>
  <w:num w:numId="15" w16cid:durableId="1740011603">
    <w:abstractNumId w:val="8"/>
  </w:num>
  <w:num w:numId="16" w16cid:durableId="1913614487">
    <w:abstractNumId w:val="7"/>
  </w:num>
  <w:num w:numId="17" w16cid:durableId="1188258049">
    <w:abstractNumId w:val="6"/>
  </w:num>
  <w:num w:numId="18" w16cid:durableId="507332774">
    <w:abstractNumId w:val="5"/>
  </w:num>
  <w:num w:numId="19" w16cid:durableId="1744982389">
    <w:abstractNumId w:val="9"/>
  </w:num>
  <w:num w:numId="20" w16cid:durableId="270672022">
    <w:abstractNumId w:val="4"/>
  </w:num>
  <w:num w:numId="21" w16cid:durableId="1711611354">
    <w:abstractNumId w:val="3"/>
  </w:num>
  <w:num w:numId="22" w16cid:durableId="248852613">
    <w:abstractNumId w:val="2"/>
  </w:num>
  <w:num w:numId="23" w16cid:durableId="296842260">
    <w:abstractNumId w:val="1"/>
  </w:num>
  <w:num w:numId="24" w16cid:durableId="792870368">
    <w:abstractNumId w:val="17"/>
  </w:num>
  <w:num w:numId="25" w16cid:durableId="508105883">
    <w:abstractNumId w:val="19"/>
  </w:num>
  <w:num w:numId="26" w16cid:durableId="715096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11669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MDa1NDM3MDM0MzdR0lEKTi0uzszPAykwrAUAbDRILCwAAAA="/>
  </w:docVars>
  <w:rsids>
    <w:rsidRoot w:val="009303D9"/>
    <w:rsid w:val="00005E95"/>
    <w:rsid w:val="000101AA"/>
    <w:rsid w:val="00015833"/>
    <w:rsid w:val="00023914"/>
    <w:rsid w:val="000314B5"/>
    <w:rsid w:val="00034EDF"/>
    <w:rsid w:val="00044BA7"/>
    <w:rsid w:val="000465DB"/>
    <w:rsid w:val="0004781E"/>
    <w:rsid w:val="00050189"/>
    <w:rsid w:val="00061A58"/>
    <w:rsid w:val="00067964"/>
    <w:rsid w:val="00074F41"/>
    <w:rsid w:val="0008533C"/>
    <w:rsid w:val="0008758A"/>
    <w:rsid w:val="00094844"/>
    <w:rsid w:val="000A100A"/>
    <w:rsid w:val="000A779D"/>
    <w:rsid w:val="000B40E3"/>
    <w:rsid w:val="000B472C"/>
    <w:rsid w:val="000C1E68"/>
    <w:rsid w:val="000C4595"/>
    <w:rsid w:val="000E6050"/>
    <w:rsid w:val="000F2213"/>
    <w:rsid w:val="00107271"/>
    <w:rsid w:val="0011164D"/>
    <w:rsid w:val="00113098"/>
    <w:rsid w:val="00114710"/>
    <w:rsid w:val="00115190"/>
    <w:rsid w:val="00117095"/>
    <w:rsid w:val="00120FE5"/>
    <w:rsid w:val="001231AC"/>
    <w:rsid w:val="00127C75"/>
    <w:rsid w:val="00135566"/>
    <w:rsid w:val="001412CF"/>
    <w:rsid w:val="00144082"/>
    <w:rsid w:val="00162CDF"/>
    <w:rsid w:val="001659B6"/>
    <w:rsid w:val="00173C82"/>
    <w:rsid w:val="001747B4"/>
    <w:rsid w:val="00184B25"/>
    <w:rsid w:val="001A2EFD"/>
    <w:rsid w:val="001A3B3D"/>
    <w:rsid w:val="001A4AC7"/>
    <w:rsid w:val="001B67DC"/>
    <w:rsid w:val="001D5D35"/>
    <w:rsid w:val="001D6196"/>
    <w:rsid w:val="001D6E9E"/>
    <w:rsid w:val="001D75F2"/>
    <w:rsid w:val="001D7CEF"/>
    <w:rsid w:val="001E6235"/>
    <w:rsid w:val="001E79E9"/>
    <w:rsid w:val="001F1E4C"/>
    <w:rsid w:val="00201A4A"/>
    <w:rsid w:val="002113D2"/>
    <w:rsid w:val="002125DC"/>
    <w:rsid w:val="0021770A"/>
    <w:rsid w:val="00223B15"/>
    <w:rsid w:val="00224CFA"/>
    <w:rsid w:val="002254A9"/>
    <w:rsid w:val="00233D97"/>
    <w:rsid w:val="002347A2"/>
    <w:rsid w:val="00240AA2"/>
    <w:rsid w:val="002440B0"/>
    <w:rsid w:val="00245FA8"/>
    <w:rsid w:val="00253F1D"/>
    <w:rsid w:val="00276AA8"/>
    <w:rsid w:val="00277A91"/>
    <w:rsid w:val="00282BE8"/>
    <w:rsid w:val="002850E3"/>
    <w:rsid w:val="002864FB"/>
    <w:rsid w:val="002B2AC9"/>
    <w:rsid w:val="002E7C13"/>
    <w:rsid w:val="002F1B67"/>
    <w:rsid w:val="002F4A1E"/>
    <w:rsid w:val="003066BF"/>
    <w:rsid w:val="00311F4F"/>
    <w:rsid w:val="003308A8"/>
    <w:rsid w:val="00332CAD"/>
    <w:rsid w:val="003331A4"/>
    <w:rsid w:val="0034413C"/>
    <w:rsid w:val="003477A4"/>
    <w:rsid w:val="003524FD"/>
    <w:rsid w:val="0035437B"/>
    <w:rsid w:val="00354FCF"/>
    <w:rsid w:val="0036453C"/>
    <w:rsid w:val="00370BBE"/>
    <w:rsid w:val="00370FF8"/>
    <w:rsid w:val="00371BCC"/>
    <w:rsid w:val="003860B6"/>
    <w:rsid w:val="00386B7F"/>
    <w:rsid w:val="003A19E2"/>
    <w:rsid w:val="003A1D6E"/>
    <w:rsid w:val="003B1245"/>
    <w:rsid w:val="003B2B40"/>
    <w:rsid w:val="003B3BBA"/>
    <w:rsid w:val="003B4E04"/>
    <w:rsid w:val="003C0591"/>
    <w:rsid w:val="003C2099"/>
    <w:rsid w:val="003C41FA"/>
    <w:rsid w:val="003D7034"/>
    <w:rsid w:val="003F0D3A"/>
    <w:rsid w:val="003F20AF"/>
    <w:rsid w:val="003F5A08"/>
    <w:rsid w:val="00400110"/>
    <w:rsid w:val="00401596"/>
    <w:rsid w:val="004058DB"/>
    <w:rsid w:val="00420716"/>
    <w:rsid w:val="00426E3C"/>
    <w:rsid w:val="004325FB"/>
    <w:rsid w:val="00432834"/>
    <w:rsid w:val="004432BA"/>
    <w:rsid w:val="0044407E"/>
    <w:rsid w:val="00447BB9"/>
    <w:rsid w:val="00447CB5"/>
    <w:rsid w:val="0045402F"/>
    <w:rsid w:val="0046031D"/>
    <w:rsid w:val="00460391"/>
    <w:rsid w:val="00461E36"/>
    <w:rsid w:val="004650BE"/>
    <w:rsid w:val="00467357"/>
    <w:rsid w:val="004704FA"/>
    <w:rsid w:val="00473AC9"/>
    <w:rsid w:val="00473EC2"/>
    <w:rsid w:val="00496A76"/>
    <w:rsid w:val="004A17F9"/>
    <w:rsid w:val="004A24D6"/>
    <w:rsid w:val="004A7497"/>
    <w:rsid w:val="004B03F6"/>
    <w:rsid w:val="004B33E9"/>
    <w:rsid w:val="004C27C7"/>
    <w:rsid w:val="004D663F"/>
    <w:rsid w:val="004D72B5"/>
    <w:rsid w:val="004F142B"/>
    <w:rsid w:val="004F7DAC"/>
    <w:rsid w:val="0050025E"/>
    <w:rsid w:val="0051148B"/>
    <w:rsid w:val="00517072"/>
    <w:rsid w:val="005271B4"/>
    <w:rsid w:val="00535977"/>
    <w:rsid w:val="005453EB"/>
    <w:rsid w:val="005506AF"/>
    <w:rsid w:val="00551B7F"/>
    <w:rsid w:val="0056610F"/>
    <w:rsid w:val="00575BCA"/>
    <w:rsid w:val="00592D56"/>
    <w:rsid w:val="005B0344"/>
    <w:rsid w:val="005B520E"/>
    <w:rsid w:val="005C5B87"/>
    <w:rsid w:val="005D5C8B"/>
    <w:rsid w:val="005D6575"/>
    <w:rsid w:val="005E19B3"/>
    <w:rsid w:val="005E2800"/>
    <w:rsid w:val="005E5E66"/>
    <w:rsid w:val="005F43C7"/>
    <w:rsid w:val="00605825"/>
    <w:rsid w:val="00606E26"/>
    <w:rsid w:val="00620311"/>
    <w:rsid w:val="00620664"/>
    <w:rsid w:val="006210B9"/>
    <w:rsid w:val="0062722E"/>
    <w:rsid w:val="0063455A"/>
    <w:rsid w:val="00641581"/>
    <w:rsid w:val="00644399"/>
    <w:rsid w:val="00645D22"/>
    <w:rsid w:val="00651A08"/>
    <w:rsid w:val="00654204"/>
    <w:rsid w:val="0065591D"/>
    <w:rsid w:val="006664FD"/>
    <w:rsid w:val="00670434"/>
    <w:rsid w:val="00680411"/>
    <w:rsid w:val="00683992"/>
    <w:rsid w:val="00684009"/>
    <w:rsid w:val="006950BC"/>
    <w:rsid w:val="006B6B66"/>
    <w:rsid w:val="006B7E0F"/>
    <w:rsid w:val="006C2D56"/>
    <w:rsid w:val="006E7EEC"/>
    <w:rsid w:val="006F6D3D"/>
    <w:rsid w:val="006F7D32"/>
    <w:rsid w:val="007044B8"/>
    <w:rsid w:val="00705D64"/>
    <w:rsid w:val="00715BEA"/>
    <w:rsid w:val="00715C07"/>
    <w:rsid w:val="00721479"/>
    <w:rsid w:val="0072562D"/>
    <w:rsid w:val="00736513"/>
    <w:rsid w:val="00740EEA"/>
    <w:rsid w:val="00757E19"/>
    <w:rsid w:val="00764852"/>
    <w:rsid w:val="0077205E"/>
    <w:rsid w:val="007777C4"/>
    <w:rsid w:val="00794804"/>
    <w:rsid w:val="0079675D"/>
    <w:rsid w:val="007B33F1"/>
    <w:rsid w:val="007B6DDA"/>
    <w:rsid w:val="007C0308"/>
    <w:rsid w:val="007C2FF2"/>
    <w:rsid w:val="007D3FD2"/>
    <w:rsid w:val="007D6232"/>
    <w:rsid w:val="007F1250"/>
    <w:rsid w:val="007F1F99"/>
    <w:rsid w:val="007F70F7"/>
    <w:rsid w:val="007F768F"/>
    <w:rsid w:val="00801D49"/>
    <w:rsid w:val="00802691"/>
    <w:rsid w:val="008046C0"/>
    <w:rsid w:val="00805507"/>
    <w:rsid w:val="0080791D"/>
    <w:rsid w:val="008202E5"/>
    <w:rsid w:val="00823EB2"/>
    <w:rsid w:val="00834035"/>
    <w:rsid w:val="00834817"/>
    <w:rsid w:val="00836367"/>
    <w:rsid w:val="0085196C"/>
    <w:rsid w:val="008662B2"/>
    <w:rsid w:val="00873603"/>
    <w:rsid w:val="00891A12"/>
    <w:rsid w:val="00891E7C"/>
    <w:rsid w:val="008A2C7D"/>
    <w:rsid w:val="008B3C6E"/>
    <w:rsid w:val="008B4143"/>
    <w:rsid w:val="008B6524"/>
    <w:rsid w:val="008C4B23"/>
    <w:rsid w:val="008C5DBB"/>
    <w:rsid w:val="008C79BE"/>
    <w:rsid w:val="008D25E1"/>
    <w:rsid w:val="008E59F7"/>
    <w:rsid w:val="008F1FF7"/>
    <w:rsid w:val="008F6E2C"/>
    <w:rsid w:val="00911E1D"/>
    <w:rsid w:val="00912B91"/>
    <w:rsid w:val="009303D9"/>
    <w:rsid w:val="009324D4"/>
    <w:rsid w:val="00933C64"/>
    <w:rsid w:val="00942F46"/>
    <w:rsid w:val="00945B1E"/>
    <w:rsid w:val="0094764C"/>
    <w:rsid w:val="009501E2"/>
    <w:rsid w:val="0095599B"/>
    <w:rsid w:val="00955B6B"/>
    <w:rsid w:val="009639DE"/>
    <w:rsid w:val="00964168"/>
    <w:rsid w:val="00972203"/>
    <w:rsid w:val="00972D70"/>
    <w:rsid w:val="00990C65"/>
    <w:rsid w:val="009A7705"/>
    <w:rsid w:val="009C68EE"/>
    <w:rsid w:val="009C6FDE"/>
    <w:rsid w:val="009E43E0"/>
    <w:rsid w:val="009E4FFC"/>
    <w:rsid w:val="009F0A52"/>
    <w:rsid w:val="009F1D79"/>
    <w:rsid w:val="00A04272"/>
    <w:rsid w:val="00A059B3"/>
    <w:rsid w:val="00A158FF"/>
    <w:rsid w:val="00A339AE"/>
    <w:rsid w:val="00A57F60"/>
    <w:rsid w:val="00A62657"/>
    <w:rsid w:val="00A66829"/>
    <w:rsid w:val="00A82DB2"/>
    <w:rsid w:val="00A87F28"/>
    <w:rsid w:val="00A91F5F"/>
    <w:rsid w:val="00AA01FB"/>
    <w:rsid w:val="00AB2FBB"/>
    <w:rsid w:val="00AC1768"/>
    <w:rsid w:val="00AC199F"/>
    <w:rsid w:val="00AC398C"/>
    <w:rsid w:val="00AD16B4"/>
    <w:rsid w:val="00AE236C"/>
    <w:rsid w:val="00AE31E2"/>
    <w:rsid w:val="00AE3409"/>
    <w:rsid w:val="00AE76CA"/>
    <w:rsid w:val="00AF2971"/>
    <w:rsid w:val="00AF6A3D"/>
    <w:rsid w:val="00B11A60"/>
    <w:rsid w:val="00B22613"/>
    <w:rsid w:val="00B24D52"/>
    <w:rsid w:val="00B44A76"/>
    <w:rsid w:val="00B52A63"/>
    <w:rsid w:val="00B60A0E"/>
    <w:rsid w:val="00B73993"/>
    <w:rsid w:val="00B75247"/>
    <w:rsid w:val="00B768D1"/>
    <w:rsid w:val="00B80B04"/>
    <w:rsid w:val="00B83D13"/>
    <w:rsid w:val="00B90752"/>
    <w:rsid w:val="00BA1025"/>
    <w:rsid w:val="00BA5D47"/>
    <w:rsid w:val="00BB4F2F"/>
    <w:rsid w:val="00BC0232"/>
    <w:rsid w:val="00BC0D80"/>
    <w:rsid w:val="00BC3420"/>
    <w:rsid w:val="00BC6D93"/>
    <w:rsid w:val="00BC7492"/>
    <w:rsid w:val="00BD1F86"/>
    <w:rsid w:val="00BD53ED"/>
    <w:rsid w:val="00BD670B"/>
    <w:rsid w:val="00BD6C10"/>
    <w:rsid w:val="00BE7D3C"/>
    <w:rsid w:val="00BF331D"/>
    <w:rsid w:val="00BF5662"/>
    <w:rsid w:val="00BF5FF6"/>
    <w:rsid w:val="00C0207F"/>
    <w:rsid w:val="00C0430E"/>
    <w:rsid w:val="00C16117"/>
    <w:rsid w:val="00C214FD"/>
    <w:rsid w:val="00C21C91"/>
    <w:rsid w:val="00C24384"/>
    <w:rsid w:val="00C26690"/>
    <w:rsid w:val="00C2776F"/>
    <w:rsid w:val="00C3075A"/>
    <w:rsid w:val="00C44A9C"/>
    <w:rsid w:val="00C54675"/>
    <w:rsid w:val="00C60D01"/>
    <w:rsid w:val="00C715E0"/>
    <w:rsid w:val="00C81941"/>
    <w:rsid w:val="00C87608"/>
    <w:rsid w:val="00C919A4"/>
    <w:rsid w:val="00C92E12"/>
    <w:rsid w:val="00CA0234"/>
    <w:rsid w:val="00CA3238"/>
    <w:rsid w:val="00CA4392"/>
    <w:rsid w:val="00CB18B3"/>
    <w:rsid w:val="00CB53F6"/>
    <w:rsid w:val="00CC32AD"/>
    <w:rsid w:val="00CC32C4"/>
    <w:rsid w:val="00CC393F"/>
    <w:rsid w:val="00CD1141"/>
    <w:rsid w:val="00CE5C12"/>
    <w:rsid w:val="00CF4F04"/>
    <w:rsid w:val="00D11A73"/>
    <w:rsid w:val="00D2176E"/>
    <w:rsid w:val="00D32FA6"/>
    <w:rsid w:val="00D35807"/>
    <w:rsid w:val="00D55332"/>
    <w:rsid w:val="00D61BB5"/>
    <w:rsid w:val="00D632BE"/>
    <w:rsid w:val="00D71BFC"/>
    <w:rsid w:val="00D72D06"/>
    <w:rsid w:val="00D7522C"/>
    <w:rsid w:val="00D7536F"/>
    <w:rsid w:val="00D75D11"/>
    <w:rsid w:val="00D76668"/>
    <w:rsid w:val="00D8788C"/>
    <w:rsid w:val="00D90999"/>
    <w:rsid w:val="00DA7BD3"/>
    <w:rsid w:val="00DB423D"/>
    <w:rsid w:val="00DB660F"/>
    <w:rsid w:val="00DC35F4"/>
    <w:rsid w:val="00DD2561"/>
    <w:rsid w:val="00DF5886"/>
    <w:rsid w:val="00E07383"/>
    <w:rsid w:val="00E12B44"/>
    <w:rsid w:val="00E13832"/>
    <w:rsid w:val="00E165BC"/>
    <w:rsid w:val="00E41FA4"/>
    <w:rsid w:val="00E50D6F"/>
    <w:rsid w:val="00E519DE"/>
    <w:rsid w:val="00E56ECB"/>
    <w:rsid w:val="00E61E12"/>
    <w:rsid w:val="00E7596C"/>
    <w:rsid w:val="00E82878"/>
    <w:rsid w:val="00E85D38"/>
    <w:rsid w:val="00E8678A"/>
    <w:rsid w:val="00E878F2"/>
    <w:rsid w:val="00E97A0D"/>
    <w:rsid w:val="00EA0987"/>
    <w:rsid w:val="00EB6935"/>
    <w:rsid w:val="00EB72CF"/>
    <w:rsid w:val="00ED0149"/>
    <w:rsid w:val="00ED0573"/>
    <w:rsid w:val="00ED2300"/>
    <w:rsid w:val="00EF2988"/>
    <w:rsid w:val="00EF7DE3"/>
    <w:rsid w:val="00F02F56"/>
    <w:rsid w:val="00F03103"/>
    <w:rsid w:val="00F0503D"/>
    <w:rsid w:val="00F23E70"/>
    <w:rsid w:val="00F271DE"/>
    <w:rsid w:val="00F33940"/>
    <w:rsid w:val="00F35795"/>
    <w:rsid w:val="00F40538"/>
    <w:rsid w:val="00F436C4"/>
    <w:rsid w:val="00F627DA"/>
    <w:rsid w:val="00F7288F"/>
    <w:rsid w:val="00F83E19"/>
    <w:rsid w:val="00F847A6"/>
    <w:rsid w:val="00F87472"/>
    <w:rsid w:val="00F9441B"/>
    <w:rsid w:val="00F97EB7"/>
    <w:rsid w:val="00FA2E0A"/>
    <w:rsid w:val="00FA4C32"/>
    <w:rsid w:val="00FB3B7C"/>
    <w:rsid w:val="00FB51F9"/>
    <w:rsid w:val="00FC122A"/>
    <w:rsid w:val="00FD1479"/>
    <w:rsid w:val="00FE4F1D"/>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272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clear" w:pos="4140"/>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927"/>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2562D"/>
    <w:rPr>
      <w:color w:val="808080"/>
    </w:rPr>
  </w:style>
  <w:style w:type="character" w:customStyle="1" w:styleId="Heading2Char">
    <w:name w:val="Heading 2 Char"/>
    <w:basedOn w:val="DefaultParagraphFont"/>
    <w:link w:val="Heading2"/>
    <w:rsid w:val="00EB6935"/>
    <w:rPr>
      <w:i/>
      <w:iCs/>
      <w:noProof/>
    </w:rPr>
  </w:style>
  <w:style w:type="table" w:styleId="TableGrid">
    <w:name w:val="Table Grid"/>
    <w:basedOn w:val="TableNormal"/>
    <w:rsid w:val="00EB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935"/>
    <w:pPr>
      <w:ind w:left="720"/>
      <w:contextualSpacing/>
    </w:pPr>
  </w:style>
  <w:style w:type="character" w:styleId="PageNumber">
    <w:name w:val="page number"/>
    <w:basedOn w:val="DefaultParagraphFont"/>
    <w:rsid w:val="00C0430E"/>
  </w:style>
  <w:style w:type="paragraph" w:styleId="Caption">
    <w:name w:val="caption"/>
    <w:basedOn w:val="Normal"/>
    <w:next w:val="Normal"/>
    <w:unhideWhenUsed/>
    <w:qFormat/>
    <w:rsid w:val="008E59F7"/>
    <w:pPr>
      <w:spacing w:after="200"/>
    </w:pPr>
    <w:rPr>
      <w:i/>
      <w:iCs/>
      <w:color w:val="44546A" w:themeColor="text2"/>
      <w:sz w:val="18"/>
      <w:szCs w:val="18"/>
    </w:rPr>
  </w:style>
  <w:style w:type="paragraph" w:styleId="NormalWeb">
    <w:name w:val="Normal (Web)"/>
    <w:basedOn w:val="Normal"/>
    <w:uiPriority w:val="99"/>
    <w:unhideWhenUsed/>
    <w:rsid w:val="00432834"/>
    <w:pPr>
      <w:spacing w:before="100" w:beforeAutospacing="1" w:after="100" w:afterAutospacing="1"/>
      <w:jc w:val="left"/>
    </w:pPr>
    <w:rPr>
      <w:rFonts w:eastAsia="Times New Roman"/>
      <w:sz w:val="24"/>
      <w:szCs w:val="24"/>
      <w:lang w:eastAsia="en-GB"/>
    </w:rPr>
  </w:style>
  <w:style w:type="character" w:styleId="Emphasis">
    <w:name w:val="Emphasis"/>
    <w:basedOn w:val="DefaultParagraphFont"/>
    <w:uiPriority w:val="20"/>
    <w:qFormat/>
    <w:rsid w:val="004C27C7"/>
    <w:rPr>
      <w:i/>
      <w:iCs/>
    </w:rPr>
  </w:style>
  <w:style w:type="character" w:styleId="Strong">
    <w:name w:val="Strong"/>
    <w:basedOn w:val="DefaultParagraphFont"/>
    <w:uiPriority w:val="22"/>
    <w:qFormat/>
    <w:rsid w:val="00C60D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199">
      <w:bodyDiv w:val="1"/>
      <w:marLeft w:val="0"/>
      <w:marRight w:val="0"/>
      <w:marTop w:val="0"/>
      <w:marBottom w:val="0"/>
      <w:divBdr>
        <w:top w:val="none" w:sz="0" w:space="0" w:color="auto"/>
        <w:left w:val="none" w:sz="0" w:space="0" w:color="auto"/>
        <w:bottom w:val="none" w:sz="0" w:space="0" w:color="auto"/>
        <w:right w:val="none" w:sz="0" w:space="0" w:color="auto"/>
      </w:divBdr>
    </w:div>
    <w:div w:id="51513356">
      <w:bodyDiv w:val="1"/>
      <w:marLeft w:val="0"/>
      <w:marRight w:val="0"/>
      <w:marTop w:val="0"/>
      <w:marBottom w:val="0"/>
      <w:divBdr>
        <w:top w:val="none" w:sz="0" w:space="0" w:color="auto"/>
        <w:left w:val="none" w:sz="0" w:space="0" w:color="auto"/>
        <w:bottom w:val="none" w:sz="0" w:space="0" w:color="auto"/>
        <w:right w:val="none" w:sz="0" w:space="0" w:color="auto"/>
      </w:divBdr>
    </w:div>
    <w:div w:id="93551115">
      <w:bodyDiv w:val="1"/>
      <w:marLeft w:val="0"/>
      <w:marRight w:val="0"/>
      <w:marTop w:val="0"/>
      <w:marBottom w:val="0"/>
      <w:divBdr>
        <w:top w:val="none" w:sz="0" w:space="0" w:color="auto"/>
        <w:left w:val="none" w:sz="0" w:space="0" w:color="auto"/>
        <w:bottom w:val="none" w:sz="0" w:space="0" w:color="auto"/>
        <w:right w:val="none" w:sz="0" w:space="0" w:color="auto"/>
      </w:divBdr>
    </w:div>
    <w:div w:id="128981330">
      <w:bodyDiv w:val="1"/>
      <w:marLeft w:val="0"/>
      <w:marRight w:val="0"/>
      <w:marTop w:val="0"/>
      <w:marBottom w:val="0"/>
      <w:divBdr>
        <w:top w:val="none" w:sz="0" w:space="0" w:color="auto"/>
        <w:left w:val="none" w:sz="0" w:space="0" w:color="auto"/>
        <w:bottom w:val="none" w:sz="0" w:space="0" w:color="auto"/>
        <w:right w:val="none" w:sz="0" w:space="0" w:color="auto"/>
      </w:divBdr>
    </w:div>
    <w:div w:id="159005990">
      <w:bodyDiv w:val="1"/>
      <w:marLeft w:val="0"/>
      <w:marRight w:val="0"/>
      <w:marTop w:val="0"/>
      <w:marBottom w:val="0"/>
      <w:divBdr>
        <w:top w:val="none" w:sz="0" w:space="0" w:color="auto"/>
        <w:left w:val="none" w:sz="0" w:space="0" w:color="auto"/>
        <w:bottom w:val="none" w:sz="0" w:space="0" w:color="auto"/>
        <w:right w:val="none" w:sz="0" w:space="0" w:color="auto"/>
      </w:divBdr>
    </w:div>
    <w:div w:id="196747564">
      <w:bodyDiv w:val="1"/>
      <w:marLeft w:val="0"/>
      <w:marRight w:val="0"/>
      <w:marTop w:val="0"/>
      <w:marBottom w:val="0"/>
      <w:divBdr>
        <w:top w:val="none" w:sz="0" w:space="0" w:color="auto"/>
        <w:left w:val="none" w:sz="0" w:space="0" w:color="auto"/>
        <w:bottom w:val="none" w:sz="0" w:space="0" w:color="auto"/>
        <w:right w:val="none" w:sz="0" w:space="0" w:color="auto"/>
      </w:divBdr>
    </w:div>
    <w:div w:id="200826003">
      <w:bodyDiv w:val="1"/>
      <w:marLeft w:val="0"/>
      <w:marRight w:val="0"/>
      <w:marTop w:val="0"/>
      <w:marBottom w:val="0"/>
      <w:divBdr>
        <w:top w:val="none" w:sz="0" w:space="0" w:color="auto"/>
        <w:left w:val="none" w:sz="0" w:space="0" w:color="auto"/>
        <w:bottom w:val="none" w:sz="0" w:space="0" w:color="auto"/>
        <w:right w:val="none" w:sz="0" w:space="0" w:color="auto"/>
      </w:divBdr>
    </w:div>
    <w:div w:id="348213789">
      <w:bodyDiv w:val="1"/>
      <w:marLeft w:val="0"/>
      <w:marRight w:val="0"/>
      <w:marTop w:val="0"/>
      <w:marBottom w:val="0"/>
      <w:divBdr>
        <w:top w:val="none" w:sz="0" w:space="0" w:color="auto"/>
        <w:left w:val="none" w:sz="0" w:space="0" w:color="auto"/>
        <w:bottom w:val="none" w:sz="0" w:space="0" w:color="auto"/>
        <w:right w:val="none" w:sz="0" w:space="0" w:color="auto"/>
      </w:divBdr>
    </w:div>
    <w:div w:id="440609546">
      <w:bodyDiv w:val="1"/>
      <w:marLeft w:val="0"/>
      <w:marRight w:val="0"/>
      <w:marTop w:val="0"/>
      <w:marBottom w:val="0"/>
      <w:divBdr>
        <w:top w:val="none" w:sz="0" w:space="0" w:color="auto"/>
        <w:left w:val="none" w:sz="0" w:space="0" w:color="auto"/>
        <w:bottom w:val="none" w:sz="0" w:space="0" w:color="auto"/>
        <w:right w:val="none" w:sz="0" w:space="0" w:color="auto"/>
      </w:divBdr>
    </w:div>
    <w:div w:id="533464661">
      <w:bodyDiv w:val="1"/>
      <w:marLeft w:val="0"/>
      <w:marRight w:val="0"/>
      <w:marTop w:val="0"/>
      <w:marBottom w:val="0"/>
      <w:divBdr>
        <w:top w:val="none" w:sz="0" w:space="0" w:color="auto"/>
        <w:left w:val="none" w:sz="0" w:space="0" w:color="auto"/>
        <w:bottom w:val="none" w:sz="0" w:space="0" w:color="auto"/>
        <w:right w:val="none" w:sz="0" w:space="0" w:color="auto"/>
      </w:divBdr>
    </w:div>
    <w:div w:id="737900073">
      <w:bodyDiv w:val="1"/>
      <w:marLeft w:val="0"/>
      <w:marRight w:val="0"/>
      <w:marTop w:val="0"/>
      <w:marBottom w:val="0"/>
      <w:divBdr>
        <w:top w:val="none" w:sz="0" w:space="0" w:color="auto"/>
        <w:left w:val="none" w:sz="0" w:space="0" w:color="auto"/>
        <w:bottom w:val="none" w:sz="0" w:space="0" w:color="auto"/>
        <w:right w:val="none" w:sz="0" w:space="0" w:color="auto"/>
      </w:divBdr>
    </w:div>
    <w:div w:id="798453187">
      <w:bodyDiv w:val="1"/>
      <w:marLeft w:val="0"/>
      <w:marRight w:val="0"/>
      <w:marTop w:val="0"/>
      <w:marBottom w:val="0"/>
      <w:divBdr>
        <w:top w:val="none" w:sz="0" w:space="0" w:color="auto"/>
        <w:left w:val="none" w:sz="0" w:space="0" w:color="auto"/>
        <w:bottom w:val="none" w:sz="0" w:space="0" w:color="auto"/>
        <w:right w:val="none" w:sz="0" w:space="0" w:color="auto"/>
      </w:divBdr>
    </w:div>
    <w:div w:id="1024936873">
      <w:bodyDiv w:val="1"/>
      <w:marLeft w:val="0"/>
      <w:marRight w:val="0"/>
      <w:marTop w:val="0"/>
      <w:marBottom w:val="0"/>
      <w:divBdr>
        <w:top w:val="none" w:sz="0" w:space="0" w:color="auto"/>
        <w:left w:val="none" w:sz="0" w:space="0" w:color="auto"/>
        <w:bottom w:val="none" w:sz="0" w:space="0" w:color="auto"/>
        <w:right w:val="none" w:sz="0" w:space="0" w:color="auto"/>
      </w:divBdr>
    </w:div>
    <w:div w:id="1206676696">
      <w:bodyDiv w:val="1"/>
      <w:marLeft w:val="0"/>
      <w:marRight w:val="0"/>
      <w:marTop w:val="0"/>
      <w:marBottom w:val="0"/>
      <w:divBdr>
        <w:top w:val="none" w:sz="0" w:space="0" w:color="auto"/>
        <w:left w:val="none" w:sz="0" w:space="0" w:color="auto"/>
        <w:bottom w:val="none" w:sz="0" w:space="0" w:color="auto"/>
        <w:right w:val="none" w:sz="0" w:space="0" w:color="auto"/>
      </w:divBdr>
    </w:div>
    <w:div w:id="1326779956">
      <w:bodyDiv w:val="1"/>
      <w:marLeft w:val="0"/>
      <w:marRight w:val="0"/>
      <w:marTop w:val="0"/>
      <w:marBottom w:val="0"/>
      <w:divBdr>
        <w:top w:val="none" w:sz="0" w:space="0" w:color="auto"/>
        <w:left w:val="none" w:sz="0" w:space="0" w:color="auto"/>
        <w:bottom w:val="none" w:sz="0" w:space="0" w:color="auto"/>
        <w:right w:val="none" w:sz="0" w:space="0" w:color="auto"/>
      </w:divBdr>
    </w:div>
    <w:div w:id="1395860047">
      <w:bodyDiv w:val="1"/>
      <w:marLeft w:val="0"/>
      <w:marRight w:val="0"/>
      <w:marTop w:val="0"/>
      <w:marBottom w:val="0"/>
      <w:divBdr>
        <w:top w:val="none" w:sz="0" w:space="0" w:color="auto"/>
        <w:left w:val="none" w:sz="0" w:space="0" w:color="auto"/>
        <w:bottom w:val="none" w:sz="0" w:space="0" w:color="auto"/>
        <w:right w:val="none" w:sz="0" w:space="0" w:color="auto"/>
      </w:divBdr>
    </w:div>
    <w:div w:id="1472594603">
      <w:bodyDiv w:val="1"/>
      <w:marLeft w:val="0"/>
      <w:marRight w:val="0"/>
      <w:marTop w:val="0"/>
      <w:marBottom w:val="0"/>
      <w:divBdr>
        <w:top w:val="none" w:sz="0" w:space="0" w:color="auto"/>
        <w:left w:val="none" w:sz="0" w:space="0" w:color="auto"/>
        <w:bottom w:val="none" w:sz="0" w:space="0" w:color="auto"/>
        <w:right w:val="none" w:sz="0" w:space="0" w:color="auto"/>
      </w:divBdr>
    </w:div>
    <w:div w:id="1594364542">
      <w:bodyDiv w:val="1"/>
      <w:marLeft w:val="0"/>
      <w:marRight w:val="0"/>
      <w:marTop w:val="0"/>
      <w:marBottom w:val="0"/>
      <w:divBdr>
        <w:top w:val="none" w:sz="0" w:space="0" w:color="auto"/>
        <w:left w:val="none" w:sz="0" w:space="0" w:color="auto"/>
        <w:bottom w:val="none" w:sz="0" w:space="0" w:color="auto"/>
        <w:right w:val="none" w:sz="0" w:space="0" w:color="auto"/>
      </w:divBdr>
    </w:div>
    <w:div w:id="1613979076">
      <w:bodyDiv w:val="1"/>
      <w:marLeft w:val="0"/>
      <w:marRight w:val="0"/>
      <w:marTop w:val="0"/>
      <w:marBottom w:val="0"/>
      <w:divBdr>
        <w:top w:val="none" w:sz="0" w:space="0" w:color="auto"/>
        <w:left w:val="none" w:sz="0" w:space="0" w:color="auto"/>
        <w:bottom w:val="none" w:sz="0" w:space="0" w:color="auto"/>
        <w:right w:val="none" w:sz="0" w:space="0" w:color="auto"/>
      </w:divBdr>
    </w:div>
    <w:div w:id="1975059374">
      <w:bodyDiv w:val="1"/>
      <w:marLeft w:val="0"/>
      <w:marRight w:val="0"/>
      <w:marTop w:val="0"/>
      <w:marBottom w:val="0"/>
      <w:divBdr>
        <w:top w:val="none" w:sz="0" w:space="0" w:color="auto"/>
        <w:left w:val="none" w:sz="0" w:space="0" w:color="auto"/>
        <w:bottom w:val="none" w:sz="0" w:space="0" w:color="auto"/>
        <w:right w:val="none" w:sz="0" w:space="0" w:color="auto"/>
      </w:divBdr>
    </w:div>
    <w:div w:id="2011984075">
      <w:bodyDiv w:val="1"/>
      <w:marLeft w:val="0"/>
      <w:marRight w:val="0"/>
      <w:marTop w:val="0"/>
      <w:marBottom w:val="0"/>
      <w:divBdr>
        <w:top w:val="none" w:sz="0" w:space="0" w:color="auto"/>
        <w:left w:val="none" w:sz="0" w:space="0" w:color="auto"/>
        <w:bottom w:val="none" w:sz="0" w:space="0" w:color="auto"/>
        <w:right w:val="none" w:sz="0" w:space="0" w:color="auto"/>
      </w:divBdr>
    </w:div>
    <w:div w:id="208267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84B12-5D6B-456C-9B67-257BEBCEB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Makode</cp:lastModifiedBy>
  <cp:revision>4</cp:revision>
  <dcterms:created xsi:type="dcterms:W3CDTF">2022-08-21T23:10:00Z</dcterms:created>
  <dcterms:modified xsi:type="dcterms:W3CDTF">2022-08-21T23:31:00Z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1df932fc-a4c3-3834-9963-97e46aa2ba8b</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http://www.zotero.org/styles/chicago-note-bibliography</vt:lpwstr>
  </property>
  <property fmtid="{D5CDD505-2E9C-101B-9397-08002B2CF9AE}" pid="10" name="Mendeley Recent Style Name 2_1">
    <vt:lpwstr>Chicago Manual of Style 17th edition (note)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http://www.zotero.org/styles/peerj</vt:lpwstr>
  </property>
  <property fmtid="{D5CDD505-2E9C-101B-9397-08002B2CF9AE}" pid="22" name="Mendeley Recent Style Name 8_1">
    <vt:lpwstr>PeerJ</vt:lpwstr>
  </property>
  <property fmtid="{D5CDD505-2E9C-101B-9397-08002B2CF9AE}" pid="23" name="Mendeley Recent Style Id 9_1">
    <vt:lpwstr>http://www.zotero.org/styles/symmetry</vt:lpwstr>
  </property>
  <property fmtid="{D5CDD505-2E9C-101B-9397-08002B2CF9AE}" pid="24" name="Mendeley Recent Style Name 9_1">
    <vt:lpwstr>Symmetry</vt:lpwstr>
  </property>
</Properties>
</file>