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</w:pPr>
      <w:r>
        <w:tab/>
      </w:r>
      <w:r>
        <w:rPr>
          <w:rtl w:val="0"/>
          <w:lang w:val="en-US"/>
        </w:rPr>
        <w:t>Vishal Kumar</w:t>
      </w:r>
    </w:p>
    <w:p>
      <w:pPr>
        <w:pStyle w:val="Body 2"/>
      </w:pPr>
      <w:r>
        <w:rPr>
          <w:rtl w:val="0"/>
          <w:lang w:val="en-US"/>
        </w:rPr>
        <w:tab/>
        <w:t>Data Science Career Track</w:t>
      </w:r>
    </w:p>
    <w:p>
      <w:pPr>
        <w:pStyle w:val="Body 2"/>
      </w:pPr>
      <w:r>
        <w:tab/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DATE \@ "MMMM d, y" 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February 27, 2018</w:t>
      </w:r>
      <w:r>
        <w:rPr>
          <w:lang w:val="en-US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Healthcare Insurance Marketplace</w:t>
      </w:r>
      <w:r>
        <w:rPr>
          <w:rtl w:val="0"/>
          <w:lang w:val="en-US"/>
        </w:rPr>
        <w:t xml:space="preserve"> - Inferential Statistics. </w:t>
      </w:r>
    </w:p>
    <w:p>
      <w:pPr>
        <w:pStyle w:val="Body 2"/>
      </w:pPr>
    </w:p>
    <w:p>
      <w:pPr>
        <w:pStyle w:val="Body A"/>
      </w:pPr>
      <w:r>
        <w:rPr>
          <w:rtl w:val="0"/>
        </w:rPr>
        <w:t xml:space="preserve">In this report, I </w:t>
      </w:r>
      <w:r>
        <w:rPr>
          <w:rtl w:val="0"/>
        </w:rPr>
        <w:t>have</w:t>
      </w:r>
      <w:r>
        <w:rPr>
          <w:rtl w:val="0"/>
        </w:rPr>
        <w:t xml:space="preserve"> discuss</w:t>
      </w:r>
      <w:r>
        <w:rPr>
          <w:rtl w:val="0"/>
        </w:rPr>
        <w:t>ed</w:t>
      </w:r>
      <w:r>
        <w:rPr>
          <w:rtl w:val="0"/>
        </w:rPr>
        <w:t xml:space="preserve"> the approach involved in using Inferential Statistics in my first capstone project healthcare insurance marketplace or exchange.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Predictive Model: </w:t>
      </w:r>
      <w:r>
        <w:rPr>
          <w:rtl w:val="0"/>
          <w:lang w:val="en-US"/>
        </w:rPr>
        <w:t xml:space="preserve">The capstone project </w:t>
      </w:r>
      <w:r>
        <w:rPr>
          <w:rtl w:val="0"/>
          <w:lang w:val="en-US"/>
        </w:rPr>
        <w:t>has</w:t>
      </w:r>
      <w:r>
        <w:rPr>
          <w:rtl w:val="0"/>
          <w:lang w:val="en-US"/>
        </w:rPr>
        <w:t xml:space="preserve"> a predictive model which predict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the individual rates and individual tobacco rates. These rates are nothing but the monthly premium we pay for our health insurance. So this model predict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the rates based on the several factors(independent variable).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Regression</w:t>
      </w:r>
      <w:r>
        <w:rPr>
          <w:rtl w:val="0"/>
          <w:lang w:val="en-US"/>
        </w:rPr>
        <w:t xml:space="preserve">: I </w:t>
      </w:r>
      <w:r>
        <w:rPr>
          <w:rtl w:val="0"/>
          <w:lang w:val="en-US"/>
        </w:rPr>
        <w:t>have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rtl w:val="0"/>
          <w:lang w:val="en-US"/>
        </w:rPr>
        <w:t xml:space="preserve"> regression to predict the continuous variable i.e. price of the health insurance. </w:t>
      </w:r>
      <w:r>
        <w:rPr>
          <w:rtl w:val="0"/>
          <w:lang w:val="en-US"/>
        </w:rPr>
        <w:t>I have used</w:t>
      </w:r>
      <w:r>
        <w:rPr>
          <w:rtl w:val="0"/>
          <w:lang w:val="en-US"/>
        </w:rPr>
        <w:t xml:space="preserve"> 3 different models to predict the rates and then compare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which one is the best or in other words which one has the best performance</w:t>
      </w:r>
      <w:r>
        <w:rPr>
          <w:rtl w:val="0"/>
          <w:lang w:val="en-US"/>
        </w:rPr>
        <w:t xml:space="preserve"> in predicting the unseen data.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How premiums are set</w:t>
      </w:r>
      <w:r>
        <w:rPr>
          <w:color w:val="000000"/>
          <w:u w:color="000000"/>
          <w:shd w:val="clear" w:color="auto" w:fill="ffffff"/>
        </w:rPr>
        <w:br w:type="textWrapping"/>
      </w:r>
      <w:r>
        <w:rPr>
          <w:color w:val="000000"/>
          <w:u w:color="000000"/>
          <w:shd w:val="clear" w:color="auto" w:fill="ffffff"/>
          <w:rtl w:val="0"/>
          <w:lang w:val="en-US"/>
        </w:rPr>
        <w:t>Under the health care law, insurance companies can account for only 5 things when setting premiums.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1.Age:</w:t>
      </w:r>
      <w:r>
        <w:rPr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u w:color="000000"/>
          <w:shd w:val="clear" w:color="auto" w:fill="ffffff"/>
          <w:rtl w:val="0"/>
          <w:lang w:val="en-US"/>
        </w:rPr>
        <w:t>Premiums can be up to 3 times higher for older people than for younger ones.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2.Location:</w:t>
      </w:r>
      <w:r>
        <w:rPr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u w:color="000000"/>
          <w:shd w:val="clear" w:color="auto" w:fill="ffffff"/>
          <w:rtl w:val="0"/>
          <w:lang w:val="en-US"/>
        </w:rPr>
        <w:t>Where you live has a big effect on your premiums. Differences in competition, state and local rules, and cost of living account for this.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3.Tobacco use:</w:t>
      </w:r>
      <w:r>
        <w:rPr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u w:color="000000"/>
          <w:shd w:val="clear" w:color="auto" w:fill="ffffff"/>
          <w:rtl w:val="0"/>
          <w:lang w:val="en-US"/>
        </w:rPr>
        <w:t>Insurers can charge tobacco users up to 50% more than those who don</w:t>
      </w:r>
      <w:r>
        <w:rPr>
          <w:color w:val="000000"/>
          <w:u w:color="000000"/>
          <w:shd w:val="clear" w:color="auto" w:fill="ffffff"/>
          <w:rtl w:val="0"/>
          <w:lang w:val="en-US"/>
        </w:rPr>
        <w:t>’</w:t>
      </w:r>
      <w:r>
        <w:rPr>
          <w:color w:val="000000"/>
          <w:u w:color="000000"/>
          <w:shd w:val="clear" w:color="auto" w:fill="ffffff"/>
          <w:rtl w:val="0"/>
          <w:lang w:val="en-US"/>
        </w:rPr>
        <w:t>t use tobacco.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4.Individual vs. family enrollment:</w:t>
      </w:r>
      <w:r>
        <w:rPr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u w:color="000000"/>
          <w:shd w:val="clear" w:color="auto" w:fill="ffffff"/>
          <w:rtl w:val="0"/>
          <w:lang w:val="en-US"/>
        </w:rPr>
        <w:t>Insurers can charge more for a plan that also covers a spouse and/or dependents.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5.Plan category: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color w:val="000000"/>
          <w:u w:color="000000"/>
          <w:shd w:val="clear" w:color="auto" w:fill="ffffff"/>
          <w:rtl w:val="0"/>
          <w:lang w:val="en-US"/>
        </w:rPr>
        <w:t xml:space="preserve">There are five plan categories </w:t>
      </w:r>
      <w:r>
        <w:rPr>
          <w:color w:val="000000"/>
          <w:u w:color="000000"/>
          <w:shd w:val="clear" w:color="auto" w:fill="ffffff"/>
          <w:rtl w:val="0"/>
          <w:lang w:val="en-US"/>
        </w:rPr>
        <w:t xml:space="preserve">– </w:t>
      </w:r>
      <w:r>
        <w:rPr>
          <w:color w:val="000000"/>
          <w:u w:color="000000"/>
          <w:shd w:val="clear" w:color="auto" w:fill="ffffff"/>
          <w:rtl w:val="0"/>
          <w:lang w:val="en-US"/>
        </w:rPr>
        <w:t>Bronze, Silver, Gold, Platinum, and Catastrophic. The categories are based on how you and the plan share costs. Bronze plans usually have lower monthly premiums and higher out-of-pocket costs when you get care. Platinum plans usually have the highest premiums and lowest out-of-pocket costs.</w:t>
      </w:r>
    </w:p>
    <w:p>
      <w:pPr>
        <w:pStyle w:val="Free Form"/>
        <w:spacing w:after="0" w:line="300" w:lineRule="atLeast"/>
        <w:rPr>
          <w:color w:val="000000"/>
          <w:u w:color="000000"/>
          <w:shd w:val="clear" w:color="auto" w:fill="ffffff"/>
        </w:rPr>
      </w:pPr>
    </w:p>
    <w:p>
      <w:pPr>
        <w:pStyle w:val="Free Form"/>
        <w:spacing w:after="0" w:line="300" w:lineRule="atLeast"/>
      </w:pPr>
      <w:r>
        <w:rPr>
          <w:color w:val="000000"/>
          <w:u w:color="000000"/>
          <w:shd w:val="clear" w:color="auto" w:fill="ffffff"/>
          <w:rtl w:val="0"/>
          <w:lang w:val="en-US"/>
        </w:rPr>
        <w:t xml:space="preserve">Wherever it was possible I have tried to list out the importance of each independent variables in predicting the target variables.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 w:color="222222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 w:color="222222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 w:color="22222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