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320" w:after="320"/>
        <w:jc w:val="center"/>
        <w:rPr/>
      </w:pPr>
      <w:r>
        <w:rPr>
          <w:rFonts w:eastAsia="Arial Rounded MT Bold" w:ascii="Arial Rounded MT Bold" w:hAnsi="Arial Rounded MT Bold"/>
          <w:b w:val="false"/>
          <w:i w:val="false"/>
          <w:color w:val="000000"/>
          <w:sz w:val="50"/>
        </w:rPr>
        <w:t>CROSS-GENERATOR EVALUATION OF</w:t>
        <w:br/>
        <w:t>SPOOFING-AWARE SPEAKER VERIFICATION</w:t>
        <w:br/>
        <w:t>ON EMOTIONAL NEURAL VOICE CLONES</w:t>
      </w:r>
    </w:p>
    <w:p>
      <w:pPr>
        <w:pStyle w:val="Normal"/>
        <w:spacing w:lineRule="auto" w:line="288" w:before="440" w:after="320"/>
        <w:jc w:val="center"/>
        <w:rPr/>
      </w:pPr>
      <w:r>
        <w:rPr>
          <w:rFonts w:eastAsia="Arial" w:ascii="Arial" w:hAnsi="Arial"/>
          <w:b w:val="false"/>
          <w:i w:val="false"/>
          <w:color w:val="000000"/>
          <w:sz w:val="32"/>
        </w:rPr>
        <w:t>Artificial Intelligence and Expert Systems</w:t>
        <w:br/>
        <w:t>(CSI3003)</w:t>
        <w:br/>
        <w:t>E1+TE1 Slot Fall Semester 2026-27</w:t>
      </w:r>
    </w:p>
    <w:p>
      <w:pPr>
        <w:pStyle w:val="Normal"/>
        <w:spacing w:lineRule="auto" w:line="240" w:before="320" w:after="320"/>
        <w:jc w:val="center"/>
        <w:rPr/>
      </w:pPr>
      <w:r>
        <w:rPr>
          <w:rFonts w:eastAsia="Arial" w:ascii="Arial" w:hAnsi="Arial"/>
          <w:b w:val="false"/>
          <w:i/>
          <w:color w:val="000000"/>
          <w:sz w:val="32"/>
        </w:rPr>
        <w:t>Course Project Report</w:t>
      </w:r>
    </w:p>
    <w:p>
      <w:pPr>
        <w:pStyle w:val="Normal"/>
        <w:spacing w:lineRule="auto" w:line="240" w:before="360" w:after="80"/>
        <w:jc w:val="center"/>
        <w:rPr/>
      </w:pPr>
      <w:r>
        <w:rPr>
          <w:rFonts w:eastAsia="Arial" w:ascii="Arial" w:hAnsi="Arial"/>
          <w:b w:val="false"/>
          <w:i/>
          <w:color w:val="000000"/>
          <w:sz w:val="28"/>
        </w:rPr>
        <w:t>Submitted by</w:t>
      </w:r>
    </w:p>
    <w:p>
      <w:pPr>
        <w:pStyle w:val="Normal"/>
        <w:spacing w:lineRule="auto" w:line="240" w:before="0" w:after="240"/>
        <w:jc w:val="center"/>
        <w:rPr/>
      </w:pPr>
      <w:r>
        <w:rPr>
          <w:rFonts w:eastAsia="Arial Rounded MT Bold" w:ascii="Arial Rounded MT Bold" w:hAnsi="Arial Rounded MT Bold"/>
          <w:b w:val="false"/>
          <w:i w:val="false"/>
          <w:color w:val="000000"/>
          <w:sz w:val="32"/>
        </w:rPr>
        <w:t>VISHAL TANTRI (15BCE0131)</w:t>
      </w:r>
    </w:p>
    <w:p>
      <w:pPr>
        <w:pStyle w:val="Normal"/>
        <w:spacing w:lineRule="auto" w:line="240" w:before="240" w:after="60"/>
        <w:jc w:val="center"/>
        <w:rPr/>
      </w:pPr>
      <w:r>
        <w:rPr>
          <w:rFonts w:eastAsia="Arial" w:ascii="Arial" w:hAnsi="Arial"/>
          <w:b w:val="false"/>
          <w:i/>
          <w:color w:val="000000"/>
          <w:sz w:val="26"/>
        </w:rPr>
        <w:t>Under the guidance of</w:t>
      </w:r>
    </w:p>
    <w:p>
      <w:pPr>
        <w:pStyle w:val="Normal"/>
        <w:spacing w:lineRule="auto" w:line="240" w:before="0" w:after="160"/>
        <w:jc w:val="center"/>
        <w:rPr/>
      </w:pPr>
      <w:r>
        <w:rPr>
          <w:rFonts w:eastAsia="Arial" w:ascii="Arial" w:hAnsi="Arial"/>
          <w:b w:val="false"/>
          <w:i w:val="false"/>
          <w:color w:val="000000"/>
          <w:sz w:val="32"/>
        </w:rPr>
        <w:t>Dr. DEGA NAGARAJU</w:t>
      </w:r>
    </w:p>
    <w:p>
      <w:pPr>
        <w:pStyle w:val="Normal"/>
        <w:spacing w:lineRule="auto" w:line="240" w:before="80" w:after="0"/>
        <w:jc w:val="center"/>
        <w:rPr/>
      </w:pPr>
      <w:r>
        <w:rPr>
          <w:rFonts w:eastAsia="Arial" w:ascii="Arial" w:hAnsi="Arial"/>
          <w:b w:val="false"/>
          <w:i w:val="false"/>
          <w:color w:val="000000"/>
          <w:sz w:val="26"/>
        </w:rPr>
        <w:t>School of Computer Science and Engineering (SCOPE)</w:t>
      </w:r>
    </w:p>
    <w:p>
      <w:pPr>
        <w:pStyle w:val="Normal"/>
        <w:spacing w:lineRule="auto" w:line="240" w:before="0" w:after="80"/>
        <w:jc w:val="center"/>
        <w:rPr/>
      </w:pPr>
      <w:r>
        <w:rPr>
          <w:rFonts w:eastAsia="Arial" w:ascii="Arial" w:hAnsi="Arial"/>
          <w:b w:val="false"/>
          <w:i w:val="false"/>
          <w:color w:val="000000"/>
          <w:sz w:val="26"/>
        </w:rPr>
        <w:t>October 2026</w:t>
      </w:r>
    </w:p>
    <w:p>
      <w:pPr>
        <w:pStyle w:val="Normal"/>
        <w:spacing w:lineRule="auto" w:line="240" w:before="40" w:after="0"/>
        <w:jc w:val="center"/>
        <w:rPr/>
      </w:pPr>
      <w:r>
        <w:rPr/>
        <w:drawing>
          <wp:inline distT="0" distB="0" distL="0" distR="0">
            <wp:extent cx="3017520" cy="1021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3017520" cy="1021080"/>
                    </a:xfrm>
                    <a:prstGeom prst="rect">
                      <a:avLst/>
                    </a:prstGeom>
                    <a:noFill/>
                  </pic:spPr>
                </pic:pic>
              </a:graphicData>
            </a:graphic>
          </wp:inline>
        </w:drawing>
      </w:r>
    </w:p>
    <w:p>
      <w:pPr>
        <w:pStyle w:val="Normal"/>
        <w:rPr/>
      </w:pPr>
      <w:r>
        <w:rPr/>
      </w:r>
      <w:r>
        <w:br w:type="page"/>
      </w:r>
    </w:p>
    <w:p>
      <w:pPr>
        <w:pStyle w:val="Normal"/>
        <w:keepNext w:val="true"/>
        <w:spacing w:lineRule="auto" w:line="240" w:before="0" w:after="160"/>
        <w:jc w:val="center"/>
        <w:rPr/>
      </w:pPr>
      <w:r>
        <w:rPr>
          <w:rFonts w:eastAsia="Times New Roman" w:ascii="Times New Roman" w:hAnsi="Times New Roman"/>
          <w:b/>
          <w:i w:val="false"/>
          <w:color w:val="000000"/>
          <w:sz w:val="28"/>
        </w:rPr>
        <w:t>CERTIFICATE</w:t>
      </w:r>
    </w:p>
    <w:p>
      <w:pPr>
        <w:pStyle w:val="Normal"/>
        <w:spacing w:lineRule="auto" w:line="360" w:before="0" w:after="160"/>
        <w:jc w:val="both"/>
        <w:rPr/>
      </w:pPr>
      <w:r>
        <w:rPr>
          <w:rFonts w:eastAsia="Times New Roman" w:ascii="Times New Roman" w:hAnsi="Times New Roman"/>
          <w:b w:val="false"/>
          <w:i w:val="false"/>
          <w:color w:val="000000"/>
          <w:sz w:val="24"/>
        </w:rPr>
        <w:t>This is to certify that the project work entitled “Cross-Generator Evaluation of Spoofing-Aware Speaker Verification on Emotional Neural Voice Clones” is a record of bona fide work carried out for the fulfilment of the course project in Artificial Intelligence and Expert Systems (CSI3003). The work is based on the supplied EASV repository and reports both its measured findings and their limitations.</w:t>
      </w:r>
    </w:p>
    <w:p>
      <w:pPr>
        <w:pStyle w:val="Normal"/>
        <w:spacing w:lineRule="auto" w:line="360" w:before="0" w:after="160"/>
        <w:jc w:val="both"/>
        <w:rPr/>
      </w:pPr>
      <w:r>
        <w:rPr>
          <w:rFonts w:eastAsia="Times New Roman" w:ascii="Times New Roman" w:hAnsi="Times New Roman"/>
          <w:b w:val="false"/>
          <w:i w:val="false"/>
          <w:color w:val="000000"/>
          <w:sz w:val="24"/>
        </w:rPr>
        <w:t>The contents of this project report, in full or in part, have not been submitted for any other course. The cited literature is acknowledged in IEEE style.</w:t>
      </w:r>
    </w:p>
    <w:p>
      <w:pPr>
        <w:pStyle w:val="Normal"/>
        <w:spacing w:lineRule="auto" w:line="360" w:before="240" w:after="160"/>
        <w:jc w:val="both"/>
        <w:rPr/>
      </w:pPr>
      <w:r>
        <w:rPr>
          <w:rFonts w:eastAsia="Times New Roman" w:ascii="Times New Roman" w:hAnsi="Times New Roman"/>
          <w:b w:val="false"/>
          <w:i w:val="false"/>
          <w:color w:val="000000"/>
          <w:sz w:val="24"/>
        </w:rPr>
        <w:t>Place: Vellore</w:t>
        <w:br/>
        <w:t>Date: 30-10-2026</w:t>
      </w:r>
    </w:p>
    <w:tbl>
      <w:tblPr>
        <w:tblW w:w="9459" w:type="dxa"/>
        <w:jc w:val="center"/>
        <w:tblInd w:w="0" w:type="dxa"/>
        <w:tblLayout w:type="fixed"/>
        <w:tblCellMar>
          <w:top w:w="90" w:type="dxa"/>
          <w:start w:w="110" w:type="dxa"/>
          <w:bottom w:w="90" w:type="dxa"/>
          <w:end w:w="110" w:type="dxa"/>
        </w:tblCellMar>
        <w:tblLook w:noHBand="0" w:noVBand="1" w:firstColumn="1" w:lastRow="0" w:lastColumn="0" w:firstRow="1" w:val="04a0"/>
      </w:tblPr>
      <w:tblGrid>
        <w:gridCol w:w="3153"/>
        <w:gridCol w:w="3153"/>
        <w:gridCol w:w="3153"/>
      </w:tblGrid>
      <w:tr>
        <w:trPr>
          <w:tblHeader w:val="true"/>
        </w:trPr>
        <w:tc>
          <w:tcPr>
            <w:tcW w:w="3153"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40" w:before="0" w:after="0"/>
              <w:jc w:val="center"/>
              <w:rPr/>
            </w:pPr>
            <w:r>
              <w:rPr>
                <w:rFonts w:eastAsia="Times New Roman" w:ascii="Times New Roman" w:hAnsi="Times New Roman"/>
                <w:b/>
                <w:i w:val="false"/>
                <w:color w:val="FFFFFF"/>
                <w:sz w:val="18"/>
              </w:rPr>
              <w:t>Student name</w:t>
            </w:r>
          </w:p>
        </w:tc>
        <w:tc>
          <w:tcPr>
            <w:tcW w:w="3153"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40" w:before="0" w:after="0"/>
              <w:jc w:val="center"/>
              <w:rPr/>
            </w:pPr>
            <w:r>
              <w:rPr>
                <w:rFonts w:eastAsia="Times New Roman" w:ascii="Times New Roman" w:hAnsi="Times New Roman"/>
                <w:b/>
                <w:i w:val="false"/>
                <w:color w:val="FFFFFF"/>
                <w:sz w:val="18"/>
              </w:rPr>
              <w:t>Registration number</w:t>
            </w:r>
          </w:p>
        </w:tc>
        <w:tc>
          <w:tcPr>
            <w:tcW w:w="3153"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40" w:before="0" w:after="0"/>
              <w:jc w:val="center"/>
              <w:rPr/>
            </w:pPr>
            <w:r>
              <w:rPr>
                <w:rFonts w:eastAsia="Times New Roman" w:ascii="Times New Roman" w:hAnsi="Times New Roman"/>
                <w:b/>
                <w:i w:val="false"/>
                <w:color w:val="FFFFFF"/>
                <w:sz w:val="18"/>
              </w:rPr>
              <w:t>Signature</w:t>
            </w:r>
          </w:p>
        </w:tc>
      </w:tr>
      <w:tr>
        <w:trPr/>
        <w:tc>
          <w:tcPr>
            <w:tcW w:w="3153"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VISHAL TANTRI</w:t>
            </w:r>
          </w:p>
        </w:tc>
        <w:tc>
          <w:tcPr>
            <w:tcW w:w="3153"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15BCE0131</w:t>
            </w:r>
          </w:p>
        </w:tc>
        <w:tc>
          <w:tcPr>
            <w:tcW w:w="3153"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
          </w:p>
        </w:tc>
      </w:tr>
    </w:tbl>
    <w:p>
      <w:pPr>
        <w:pStyle w:val="Normal"/>
        <w:spacing w:before="0" w:after="60"/>
        <w:rPr/>
      </w:pPr>
      <w:r>
        <w:rPr/>
      </w:r>
    </w:p>
    <w:p>
      <w:pPr>
        <w:pStyle w:val="Normal"/>
        <w:spacing w:lineRule="auto" w:line="360" w:before="360" w:after="160"/>
        <w:jc w:val="both"/>
        <w:rPr/>
      </w:pPr>
      <w:r>
        <w:rPr>
          <w:rFonts w:eastAsia="Times New Roman" w:ascii="Times New Roman" w:hAnsi="Times New Roman"/>
          <w:b w:val="false"/>
          <w:i w:val="false"/>
          <w:color w:val="000000"/>
          <w:sz w:val="24"/>
        </w:rPr>
        <w:t>Signature of the Guide: ______________________________</w:t>
      </w:r>
    </w:p>
    <w:p>
      <w:pPr>
        <w:pStyle w:val="Normal"/>
        <w:rPr/>
      </w:pPr>
      <w:r>
        <w:rPr/>
      </w:r>
      <w:r>
        <w:br w:type="page"/>
      </w:r>
    </w:p>
    <w:p>
      <w:pPr>
        <w:pStyle w:val="Normal"/>
        <w:keepNext w:val="true"/>
        <w:spacing w:lineRule="auto" w:line="240" w:before="0" w:after="160"/>
        <w:jc w:val="center"/>
        <w:rPr/>
      </w:pPr>
      <w:r>
        <w:rPr>
          <w:rFonts w:eastAsia="Times New Roman" w:ascii="Times New Roman" w:hAnsi="Times New Roman"/>
          <w:b/>
          <w:i w:val="false"/>
          <w:color w:val="000000"/>
          <w:sz w:val="28"/>
        </w:rPr>
        <w:t>ABSTRACT</w:t>
      </w:r>
    </w:p>
    <w:p>
      <w:pPr>
        <w:pStyle w:val="Normal"/>
        <w:spacing w:lineRule="auto" w:line="360" w:before="0" w:after="120"/>
        <w:jc w:val="both"/>
        <w:rPr/>
      </w:pPr>
      <w:r>
        <w:rPr>
          <w:rFonts w:eastAsia="Times New Roman" w:ascii="Times New Roman" w:hAnsi="Times New Roman"/>
          <w:b w:val="false"/>
          <w:i w:val="false"/>
          <w:color w:val="000000"/>
          <w:sz w:val="24"/>
        </w:rPr>
        <w:t>Voice authentication must reject an impostor and a synthetic voice that claims a genuine user. This study evaluates whether predicted emotion information improves spoofing-aware speaker verification (SASV) when speaker, countermeasure, and emotion evidence are fused at score level. The pipeline was executed on 53,900 real trials: 17,900 ESD bona fide trials and 36,000 EmoSpoof-TTS neural clones from StyleTTS2, F5-TTS, and CosyVoice. It audits metadata, preserves train/development/test separation, compares five fusion arms, and reports SASV-EER, detection costs, calibration, grouped-bootstrap intervals, and generator/emotion breakdowns. The study finds generator-specific vulnerability: the ECAPA speaker front-end accepts 38.8% of clones overall, ranging from 5.9% for StyleTTS2 to 59.0% for CosyVoice. A cross-generator countermeasure supports a best gated-arm SASV-EER of 1.54% versus 2.27% for linear fusion; however, the learned gate weights are flat across emotions, a one-scalar confidence ablation reproduces the gain, and held-out-emotion folds cause no measurable loss. The evidence therefore rejects the original mechanism claim: the apparent advantage is not emotion conditioning. The contribution is a reproducible cross-generator SASV measurement study and a mechanism analysis that prevents an unsupported performance claim.</w:t>
      </w:r>
    </w:p>
    <w:p>
      <w:pPr>
        <w:pStyle w:val="Normal"/>
        <w:spacing w:lineRule="auto" w:line="360" w:before="0" w:after="0"/>
        <w:jc w:val="both"/>
        <w:rPr/>
      </w:pPr>
      <w:r>
        <w:rPr>
          <w:rFonts w:eastAsia="Times New Roman" w:ascii="Times New Roman" w:hAnsi="Times New Roman"/>
          <w:b/>
          <w:i w:val="false"/>
          <w:color w:val="000000"/>
          <w:sz w:val="24"/>
        </w:rPr>
        <w:t>Keywords: spoofing-aware speaker verification, emotional neural voice clones, cross-generator evaluation, countermeasure transfer, negative-result study.</w:t>
      </w:r>
    </w:p>
    <w:p>
      <w:pPr>
        <w:pStyle w:val="Normal"/>
        <w:rPr/>
      </w:pPr>
      <w:r>
        <w:rPr/>
      </w:r>
      <w:r>
        <w:br w:type="page"/>
      </w:r>
    </w:p>
    <w:p>
      <w:pPr>
        <w:pStyle w:val="Normal"/>
        <w:keepNext w:val="true"/>
        <w:spacing w:lineRule="auto" w:line="240" w:before="0" w:after="160"/>
        <w:jc w:val="center"/>
        <w:rPr/>
      </w:pPr>
      <w:r>
        <w:rPr>
          <w:rFonts w:eastAsia="Times New Roman" w:ascii="Times New Roman" w:hAnsi="Times New Roman"/>
          <w:b/>
          <w:i w:val="false"/>
          <w:color w:val="000000"/>
          <w:sz w:val="28"/>
        </w:rPr>
        <w:t>CONTENTS</w:t>
      </w:r>
    </w:p>
    <w:tbl>
      <w:tblPr>
        <w:tblW w:w="9458" w:type="dxa"/>
        <w:jc w:val="center"/>
        <w:tblInd w:w="0" w:type="dxa"/>
        <w:tblLayout w:type="fixed"/>
        <w:tblCellMar>
          <w:top w:w="55" w:type="dxa"/>
          <w:start w:w="65" w:type="dxa"/>
          <w:bottom w:w="55" w:type="dxa"/>
          <w:end w:w="65" w:type="dxa"/>
        </w:tblCellMar>
        <w:tblLook w:noHBand="0" w:noVBand="1" w:firstColumn="1" w:lastRow="0" w:lastColumn="0" w:firstRow="1" w:val="04a0"/>
      </w:tblPr>
      <w:tblGrid>
        <w:gridCol w:w="4729"/>
        <w:gridCol w:w="4729"/>
      </w:tblGrid>
      <w:tr>
        <w:trPr/>
        <w:tc>
          <w:tcPr>
            <w:tcW w:w="4729" w:type="dxa"/>
            <w:tcBorders/>
          </w:tcPr>
          <w:p>
            <w:pPr>
              <w:pStyle w:val="Normal"/>
              <w:spacing w:lineRule="auto" w:line="240" w:before="0" w:after="0"/>
              <w:jc w:val="start"/>
              <w:rPr/>
            </w:pPr>
            <w:r>
              <w:rPr>
                <w:rFonts w:eastAsia="Times New Roman" w:ascii="Times New Roman" w:hAnsi="Times New Roman"/>
                <w:b w:val="false"/>
                <w:i w:val="false"/>
                <w:color w:val="000000"/>
                <w:sz w:val="22"/>
              </w:rPr>
              <w:t>Abstract</w:t>
            </w:r>
          </w:p>
        </w:tc>
        <w:tc>
          <w:tcPr>
            <w:tcW w:w="4729" w:type="dxa"/>
            <w:tcBorders/>
          </w:tcPr>
          <w:p>
            <w:pPr>
              <w:pStyle w:val="Normal"/>
              <w:spacing w:lineRule="auto" w:line="240" w:before="0" w:after="0"/>
              <w:jc w:val="end"/>
              <w:rPr/>
            </w:pPr>
            <w:r>
              <w:rPr>
                <w:rFonts w:eastAsia="Times New Roman" w:ascii="Times New Roman" w:hAnsi="Times New Roman"/>
                <w:b w:val="false"/>
                <w:i w:val="false"/>
                <w:color w:val="000000"/>
                <w:sz w:val="22"/>
              </w:rPr>
              <w:t>3</w:t>
            </w:r>
          </w:p>
        </w:tc>
      </w:tr>
      <w:tr>
        <w:trPr/>
        <w:tc>
          <w:tcPr>
            <w:tcW w:w="4729" w:type="dxa"/>
            <w:tcBorders/>
          </w:tcPr>
          <w:p>
            <w:pPr>
              <w:pStyle w:val="Normal"/>
              <w:spacing w:lineRule="auto" w:line="240" w:before="0" w:after="0"/>
              <w:jc w:val="start"/>
              <w:rPr/>
            </w:pPr>
            <w:r>
              <w:rPr>
                <w:rFonts w:eastAsia="Times New Roman" w:ascii="Times New Roman" w:hAnsi="Times New Roman"/>
                <w:b/>
                <w:i w:val="false"/>
                <w:color w:val="000000"/>
                <w:sz w:val="22"/>
              </w:rPr>
              <w:t>Chapter 1  Introduction</w:t>
            </w:r>
          </w:p>
        </w:tc>
        <w:tc>
          <w:tcPr>
            <w:tcW w:w="4729" w:type="dxa"/>
            <w:tcBorders/>
          </w:tcPr>
          <w:p>
            <w:pPr>
              <w:pStyle w:val="Normal"/>
              <w:spacing w:lineRule="auto" w:line="240" w:before="0" w:after="0"/>
              <w:jc w:val="end"/>
              <w:rPr/>
            </w:pPr>
            <w:r>
              <w:rPr>
                <w:rFonts w:eastAsia="Times New Roman" w:ascii="Times New Roman" w:hAnsi="Times New Roman"/>
                <w:b/>
                <w:i w:val="false"/>
                <w:color w:val="000000"/>
                <w:sz w:val="22"/>
              </w:rPr>
              <w:t>5</w:t>
            </w:r>
          </w:p>
        </w:tc>
      </w:tr>
      <w:tr>
        <w:trPr/>
        <w:tc>
          <w:tcPr>
            <w:tcW w:w="4729" w:type="dxa"/>
            <w:tcBorders/>
          </w:tcPr>
          <w:p>
            <w:pPr>
              <w:pStyle w:val="Normal"/>
              <w:spacing w:lineRule="auto" w:line="240" w:before="0" w:after="0"/>
              <w:jc w:val="start"/>
              <w:rPr/>
            </w:pPr>
            <w:r>
              <w:rPr>
                <w:rFonts w:eastAsia="Times New Roman" w:ascii="Times New Roman" w:hAnsi="Times New Roman"/>
                <w:b/>
                <w:i w:val="false"/>
                <w:color w:val="000000"/>
                <w:sz w:val="22"/>
              </w:rPr>
              <w:t>Chapter 2  Literature Review</w:t>
            </w:r>
          </w:p>
        </w:tc>
        <w:tc>
          <w:tcPr>
            <w:tcW w:w="4729" w:type="dxa"/>
            <w:tcBorders/>
          </w:tcPr>
          <w:p>
            <w:pPr>
              <w:pStyle w:val="Normal"/>
              <w:spacing w:lineRule="auto" w:line="240" w:before="0" w:after="0"/>
              <w:jc w:val="end"/>
              <w:rPr/>
            </w:pPr>
            <w:r>
              <w:rPr>
                <w:rFonts w:eastAsia="Times New Roman" w:ascii="Times New Roman" w:hAnsi="Times New Roman"/>
                <w:b/>
                <w:i w:val="false"/>
                <w:color w:val="000000"/>
                <w:sz w:val="22"/>
              </w:rPr>
              <w:t>7</w:t>
            </w:r>
          </w:p>
        </w:tc>
      </w:tr>
      <w:tr>
        <w:trPr/>
        <w:tc>
          <w:tcPr>
            <w:tcW w:w="4729" w:type="dxa"/>
            <w:tcBorders/>
          </w:tcPr>
          <w:p>
            <w:pPr>
              <w:pStyle w:val="Normal"/>
              <w:spacing w:lineRule="auto" w:line="240" w:before="0" w:after="0"/>
              <w:jc w:val="start"/>
              <w:rPr/>
            </w:pPr>
            <w:r>
              <w:rPr>
                <w:rFonts w:eastAsia="Times New Roman" w:ascii="Times New Roman" w:hAnsi="Times New Roman"/>
                <w:b/>
                <w:i w:val="false"/>
                <w:color w:val="000000"/>
                <w:sz w:val="22"/>
              </w:rPr>
              <w:t>Chapter 3  Methodology</w:t>
            </w:r>
          </w:p>
        </w:tc>
        <w:tc>
          <w:tcPr>
            <w:tcW w:w="4729" w:type="dxa"/>
            <w:tcBorders/>
          </w:tcPr>
          <w:p>
            <w:pPr>
              <w:pStyle w:val="Normal"/>
              <w:spacing w:lineRule="auto" w:line="240" w:before="0" w:after="0"/>
              <w:jc w:val="end"/>
              <w:rPr/>
            </w:pPr>
            <w:r>
              <w:rPr>
                <w:rFonts w:eastAsia="Times New Roman" w:ascii="Times New Roman" w:hAnsi="Times New Roman"/>
                <w:b/>
                <w:i w:val="false"/>
                <w:color w:val="000000"/>
                <w:sz w:val="22"/>
              </w:rPr>
              <w:t>10</w:t>
            </w:r>
          </w:p>
        </w:tc>
      </w:tr>
      <w:tr>
        <w:trPr/>
        <w:tc>
          <w:tcPr>
            <w:tcW w:w="4729" w:type="dxa"/>
            <w:tcBorders/>
          </w:tcPr>
          <w:p>
            <w:pPr>
              <w:pStyle w:val="Normal"/>
              <w:spacing w:lineRule="auto" w:line="240" w:before="0" w:after="0"/>
              <w:jc w:val="start"/>
              <w:rPr/>
            </w:pPr>
            <w:r>
              <w:rPr>
                <w:rFonts w:eastAsia="Times New Roman" w:ascii="Times New Roman" w:hAnsi="Times New Roman"/>
                <w:b/>
                <w:i w:val="false"/>
                <w:color w:val="000000"/>
                <w:sz w:val="22"/>
              </w:rPr>
              <w:t>Chapter 4  Results and Discussion</w:t>
            </w:r>
          </w:p>
        </w:tc>
        <w:tc>
          <w:tcPr>
            <w:tcW w:w="4729" w:type="dxa"/>
            <w:tcBorders/>
          </w:tcPr>
          <w:p>
            <w:pPr>
              <w:pStyle w:val="Normal"/>
              <w:spacing w:lineRule="auto" w:line="240" w:before="0" w:after="0"/>
              <w:jc w:val="end"/>
              <w:rPr/>
            </w:pPr>
            <w:r>
              <w:rPr>
                <w:rFonts w:eastAsia="Times New Roman" w:ascii="Times New Roman" w:hAnsi="Times New Roman"/>
                <w:b/>
                <w:i w:val="false"/>
                <w:color w:val="000000"/>
                <w:sz w:val="22"/>
              </w:rPr>
              <w:t>13</w:t>
            </w:r>
          </w:p>
        </w:tc>
      </w:tr>
      <w:tr>
        <w:trPr/>
        <w:tc>
          <w:tcPr>
            <w:tcW w:w="4729" w:type="dxa"/>
            <w:tcBorders/>
          </w:tcPr>
          <w:p>
            <w:pPr>
              <w:pStyle w:val="Normal"/>
              <w:spacing w:lineRule="auto" w:line="240" w:before="0" w:after="0"/>
              <w:jc w:val="start"/>
              <w:rPr/>
            </w:pPr>
            <w:r>
              <w:rPr>
                <w:rFonts w:eastAsia="Times New Roman" w:ascii="Times New Roman" w:hAnsi="Times New Roman"/>
                <w:b/>
                <w:i w:val="false"/>
                <w:color w:val="000000"/>
                <w:sz w:val="22"/>
              </w:rPr>
              <w:t>Chapter 5  Conclusion</w:t>
            </w:r>
          </w:p>
        </w:tc>
        <w:tc>
          <w:tcPr>
            <w:tcW w:w="4729" w:type="dxa"/>
            <w:tcBorders/>
          </w:tcPr>
          <w:p>
            <w:r>
              <w:t>19</w:t>
            </w:r>
          </w:p>
        </w:tc>
      </w:tr>
      <w:tr>
        <w:trPr/>
        <w:tc>
          <w:tcPr>
            <w:tcW w:w="4729" w:type="dxa"/>
            <w:tcBorders/>
          </w:tcPr>
          <w:p>
            <w:pPr>
              <w:pStyle w:val="Normal"/>
              <w:spacing w:lineRule="auto" w:line="240" w:before="0" w:after="0"/>
              <w:jc w:val="start"/>
              <w:rPr/>
            </w:pPr>
            <w:r>
              <w:rPr>
                <w:rFonts w:eastAsia="Times New Roman" w:ascii="Times New Roman" w:hAnsi="Times New Roman"/>
                <w:b/>
                <w:i w:val="false"/>
                <w:color w:val="000000"/>
                <w:sz w:val="22"/>
              </w:rPr>
              <w:t>References</w:t>
            </w:r>
          </w:p>
        </w:tc>
        <w:tc>
          <w:tcPr>
            <w:tcW w:w="4729" w:type="dxa"/>
            <w:tcBorders/>
          </w:tcPr>
          <w:p>
            <w:r>
              <w:t>20</w:t>
            </w:r>
          </w:p>
        </w:tc>
      </w:tr>
      <w:tr>
        <w:trPr/>
        <w:tc>
          <w:tcPr>
            <w:tcW w:w="4729" w:type="dxa"/>
            <w:tcBorders/>
          </w:tcPr>
          <w:p>
            <w:pPr>
              <w:pStyle w:val="Normal"/>
              <w:spacing w:lineRule="auto" w:line="240" w:before="0" w:after="0"/>
              <w:jc w:val="start"/>
              <w:rPr/>
            </w:pPr>
            <w:r>
              <w:rPr>
                <w:rFonts w:eastAsia="Times New Roman" w:ascii="Times New Roman" w:hAnsi="Times New Roman"/>
                <w:b/>
                <w:i w:val="false"/>
                <w:color w:val="000000"/>
                <w:sz w:val="22"/>
              </w:rPr>
              <w:t>Appendix</w:t>
            </w:r>
          </w:p>
        </w:tc>
        <w:tc>
          <w:tcPr>
            <w:tcW w:w="4729" w:type="dxa"/>
            <w:tcBorders/>
          </w:tcPr>
          <w:p>
            <w:r>
              <w:t>22</w:t>
            </w:r>
          </w:p>
        </w:tc>
      </w:tr>
    </w:tbl>
    <w:p>
      <w:pPr>
        <w:pStyle w:val="Normal"/>
        <w:rPr/>
      </w:pPr>
      <w:r>
        <w:rPr/>
      </w:r>
      <w:r>
        <w:br w:type="page"/>
      </w:r>
    </w:p>
    <w:p>
      <w:pPr>
        <w:pStyle w:val="Normal"/>
        <w:keepNext w:val="true"/>
        <w:spacing w:lineRule="auto" w:line="240" w:before="0" w:after="160"/>
        <w:jc w:val="center"/>
        <w:rPr/>
      </w:pPr>
      <w:r>
        <w:rPr>
          <w:rFonts w:eastAsia="Times New Roman" w:ascii="Times New Roman" w:hAnsi="Times New Roman"/>
          <w:b/>
          <w:i w:val="false"/>
          <w:color w:val="000000"/>
          <w:sz w:val="28"/>
        </w:rPr>
        <w:t>CHAPTER 1</w:t>
        <w:br/>
        <w:t>INTRODUCTION</w:t>
      </w:r>
    </w:p>
    <w:p>
      <w:pPr>
        <w:pStyle w:val="Normal"/>
        <w:spacing w:lineRule="auto" w:line="360" w:before="0" w:after="160"/>
        <w:ind w:firstLine="432"/>
        <w:jc w:val="both"/>
        <w:rPr/>
      </w:pPr>
      <w:r>
        <w:rPr>
          <w:rFonts w:eastAsia="Times New Roman" w:ascii="Times New Roman" w:hAnsi="Times New Roman"/>
          <w:b w:val="false"/>
          <w:i w:val="false"/>
          <w:color w:val="000000"/>
          <w:sz w:val="24"/>
        </w:rPr>
        <w:t>A person who opens a banking application by voice is rarely thinking about signal processing. They expect the system to recognise a familiar voice, even when they are tired, hurried, upset, or speaking from a noisy room. That simple expectation hides two separate questions. First, does the voice sound like the enrolled speaker? Second, is the audio a live, bona fide utterance rather than a recording, a text-to-speech sample, or a converted voice? Modern speaker verification has become very effective at representing speaker identity through learned embeddings [1]-[3], but a high speaker-similarity score alone does not prove that the signal is genuine. A convincing synthetic voice can preserve many properties that the identity model was trained to recognise.</w:t>
      </w:r>
    </w:p>
    <w:p>
      <w:pPr>
        <w:pStyle w:val="Normal"/>
        <w:spacing w:lineRule="auto" w:line="360" w:before="0" w:after="160"/>
        <w:ind w:firstLine="432"/>
        <w:jc w:val="both"/>
        <w:rPr/>
      </w:pPr>
      <w:r>
        <w:rPr>
          <w:rFonts w:eastAsia="Times New Roman" w:ascii="Times New Roman" w:hAnsi="Times New Roman"/>
          <w:b w:val="false"/>
          <w:i w:val="false"/>
          <w:color w:val="000000"/>
          <w:sz w:val="24"/>
        </w:rPr>
        <w:t>Spoofing-aware speaker verification addresses this practical gap. Instead of evaluating automatic speaker verification (ASV) and a spoofing countermeasure (CM) as unrelated modules, the SASV formulation evaluates target, nontarget, and spoof trials together [11]. This matters because a spoof that imitates the claimed speaker may be accepted by the ASV branch while still being rejected by a countermeasure. ASVspoof benchmarks make the threat more concrete by distinguishing logical-access attacks such as text-to-speech and voice conversion from physical replay attacks [9], [10]. The relevant question is therefore not merely whether a classifier detects a fake audio clip; it is whether an authentication decision remains safe while continuing to accept a genuine customer.</w:t>
      </w:r>
    </w:p>
    <w:p>
      <w:pPr>
        <w:pStyle w:val="Normal"/>
        <w:spacing w:lineRule="auto" w:line="360" w:before="0" w:after="160"/>
        <w:ind w:firstLine="432"/>
        <w:jc w:val="both"/>
        <w:rPr/>
      </w:pPr>
      <w:r>
        <w:rPr>
          <w:rFonts w:eastAsia="Times New Roman" w:ascii="Times New Roman" w:hAnsi="Times New Roman"/>
          <w:b w:val="false"/>
          <w:i w:val="false"/>
          <w:color w:val="000000"/>
          <w:sz w:val="24"/>
        </w:rPr>
        <w:t>Emotion makes that decision less straightforward. Anger, fear, happiness, sadness, and surprise can change pitch, energy, timing, and spectral structure. These changes can make two recordings from the same person less alike to an ASV system, and they can also change the artifacts on which an anti-spoofing model relies. Recent work on emotional synthetic speech shows that a countermeasure trained predominantly on neutral speech may behave unevenly across emotions [16]. Emotion should not therefore be treated as a password or as direct evidence of identity. It is better treated as uncertain context that may help a fusion module decide how much confidence to place in speaker and CM scores.</w:t>
      </w:r>
    </w:p>
    <w:p>
      <w:pPr>
        <w:pStyle w:val="Normal"/>
        <w:spacing w:lineRule="auto" w:line="360" w:before="0" w:after="160"/>
        <w:ind w:firstLine="432"/>
        <w:jc w:val="both"/>
        <w:rPr/>
      </w:pPr>
      <w:r>
        <w:rPr>
          <w:rFonts w:eastAsia="Times New Roman" w:ascii="Times New Roman" w:hAnsi="Times New Roman"/>
          <w:b w:val="false"/>
          <w:i w:val="false"/>
          <w:color w:val="000000"/>
          <w:sz w:val="24"/>
        </w:rPr>
        <w:t>This project therefore evaluates emotion-conditioned fusion as a falsifiable hypothesis rather than presenting it as an assumed improvement. The implementation compares a speaker-only control, conventional linear fusion, additive emotion features, interaction features, and an emotion-gated model. The comparisons are designed to separate three possible explanations for any observed gain: useful emotion information, extra model capacity, or a non-emotion cue carried by the emotion-recognition output.</w:t>
      </w:r>
    </w:p>
    <w:p>
      <w:pPr>
        <w:pStyle w:val="Normal"/>
        <w:spacing w:lineRule="auto" w:line="360" w:before="0" w:after="160"/>
        <w:ind w:firstLine="432"/>
        <w:jc w:val="both"/>
        <w:rPr/>
      </w:pPr>
      <w:r>
        <w:rPr>
          <w:rFonts w:eastAsia="Times New Roman" w:ascii="Times New Roman" w:hAnsi="Times New Roman"/>
          <w:b w:val="false"/>
          <w:i w:val="false"/>
          <w:color w:val="000000"/>
          <w:sz w:val="24"/>
        </w:rPr>
        <w:t>The importance of the work lies in measurement discipline as much as in the model ladder. A small apparent gain is not useful if it results from tuning on test data, accepting more spoofed trials, or allowing a model to exploit an unrelated shortcut. The project therefore separates training, development, and test roles; audits speaker, generator, and emotion overlap; reports both threshold-free and threshold-dependent measures; and records uncertainty with grouped paired bootstrap comparisons.</w:t>
      </w:r>
    </w:p>
    <w:p>
      <w:pPr>
        <w:pStyle w:val="Normal"/>
        <w:spacing w:lineRule="auto" w:line="360" w:before="0" w:after="160"/>
        <w:ind w:firstLine="432"/>
        <w:jc w:val="both"/>
        <w:rPr/>
      </w:pPr>
      <w:r>
        <w:rPr>
          <w:rFonts w:eastAsia="Times New Roman" w:ascii="Times New Roman" w:hAnsi="Times New Roman"/>
          <w:b w:val="false"/>
          <w:i w:val="false"/>
          <w:color w:val="000000"/>
          <w:sz w:val="24"/>
        </w:rPr>
        <w:t>The study asks four research questions: RQ1, does speaker-verification vulnerability differ across neural-clone generators? RQ2, do countermeasures trained on one spoofing domain transfer to emotional neural clones? RQ3, does emotion-conditioned fusion improve SASV beyond conventional fusion and capacity-matched controls? RQ4, does the conclusion survive held-out-emotion evaluation? Chapter 2 reviews the related work, Chapter 3 describes the evaluation protocol, Chapter 4 answers these questions with the measured results, and Chapter 5 states the supported conclusions and remaining limitations.</w:t>
      </w:r>
    </w:p>
    <w:p>
      <w:pPr>
        <w:pStyle w:val="Normal"/>
        <w:rPr/>
      </w:pPr>
      <w:r>
        <w:rPr/>
      </w:r>
      <w:r>
        <w:br w:type="page"/>
      </w:r>
    </w:p>
    <w:p>
      <w:pPr>
        <w:pStyle w:val="Normal"/>
        <w:keepNext w:val="true"/>
        <w:spacing w:lineRule="auto" w:line="240" w:before="0" w:after="160"/>
        <w:jc w:val="center"/>
        <w:rPr/>
      </w:pPr>
      <w:r>
        <w:rPr>
          <w:rFonts w:eastAsia="Times New Roman" w:ascii="Times New Roman" w:hAnsi="Times New Roman"/>
          <w:b/>
          <w:i w:val="false"/>
          <w:color w:val="000000"/>
          <w:sz w:val="28"/>
        </w:rPr>
        <w:t>CHAPTER 2</w:t>
        <w:br/>
        <w:t>LITERATURE REVIEW</w:t>
      </w:r>
    </w:p>
    <w:p>
      <w:pPr>
        <w:pStyle w:val="Normal"/>
        <w:spacing w:lineRule="auto" w:line="360" w:before="0" w:after="160"/>
        <w:jc w:val="both"/>
        <w:rPr/>
      </w:pPr>
      <w:r>
        <w:rPr>
          <w:rFonts w:eastAsia="Times New Roman" w:ascii="Times New Roman" w:hAnsi="Times New Roman"/>
          <w:b w:val="false"/>
          <w:i w:val="false"/>
          <w:color w:val="000000"/>
          <w:sz w:val="24"/>
        </w:rPr>
        <w:t>The literature is organised by the technical problems addressed by the project rather than as a list of papers. Each theme relates prior work to a concrete design decision or caution in the present implementation.</w:t>
      </w:r>
    </w:p>
    <w:p>
      <w:pPr>
        <w:pStyle w:val="Normal"/>
        <w:keepNext w:val="true"/>
        <w:spacing w:lineRule="auto" w:line="240" w:before="160" w:after="160"/>
        <w:jc w:val="start"/>
        <w:rPr/>
      </w:pPr>
      <w:r>
        <w:rPr>
          <w:rFonts w:eastAsia="Times New Roman" w:ascii="Times New Roman" w:hAnsi="Times New Roman"/>
          <w:b/>
          <w:i w:val="false"/>
          <w:color w:val="000000"/>
          <w:sz w:val="24"/>
        </w:rPr>
        <w:t>2.1 Speaker verification representations</w:t>
      </w:r>
    </w:p>
    <w:p>
      <w:pPr>
        <w:pStyle w:val="Normal"/>
        <w:spacing w:lineRule="auto" w:line="360" w:before="0" w:after="160"/>
        <w:ind w:firstLine="432"/>
        <w:jc w:val="both"/>
        <w:rPr/>
      </w:pPr>
      <w:r>
        <w:rPr>
          <w:rFonts w:eastAsia="Times New Roman" w:ascii="Times New Roman" w:hAnsi="Times New Roman"/>
          <w:b w:val="false"/>
          <w:i w:val="false"/>
          <w:color w:val="000000"/>
          <w:sz w:val="24"/>
        </w:rPr>
        <w:t>Speaker verification changed substantially when systems moved from hand-designed acoustic statistics to fixed-dimensional speaker embeddings. Factor-analysis approaches established a useful baseline for comparison [1], while the x-vector architecture demonstrated how temporal neural features and statistics pooling could create a speaker representation from variable-length speech [2]. ECAPA-TDNN refined this family with channel attention, multi-scale processing, and attentive pooling [3]. These studies explain why a scalar speaker score is a sensible input to a later fusion stage: it carries a compact estimate of agreement between a claimed identity and a test utterance.</w:t>
      </w:r>
    </w:p>
    <w:p>
      <w:pPr>
        <w:pStyle w:val="Normal"/>
        <w:spacing w:lineRule="auto" w:line="360" w:before="0" w:after="160"/>
        <w:ind w:firstLine="432"/>
        <w:jc w:val="both"/>
        <w:rPr/>
      </w:pPr>
      <w:r>
        <w:rPr>
          <w:rFonts w:eastAsia="Times New Roman" w:ascii="Times New Roman" w:hAnsi="Times New Roman"/>
          <w:b w:val="false"/>
          <w:i w:val="false"/>
          <w:color w:val="000000"/>
          <w:sz w:val="24"/>
        </w:rPr>
        <w:t>At the same time, the speaker-embedding literature also exposes a limitation relevant to this project. An embedding is optimised to discriminate speakers, not to establish whether an utterance is genuine. Large speaker corpora such as VoxCeleb and VoxCeleb2 enabled increasingly strong representations [20], [21], but they do not remove the need for a spoofing countermeasure. The EASV code consequently treats a speaker score as one source of evidence rather than as the entire authentication decision.</w:t>
      </w:r>
    </w:p>
    <w:p>
      <w:pPr>
        <w:pStyle w:val="Normal"/>
        <w:keepNext w:val="true"/>
        <w:spacing w:lineRule="auto" w:line="240" w:before="160" w:after="160"/>
        <w:jc w:val="start"/>
        <w:rPr/>
      </w:pPr>
      <w:r>
        <w:rPr>
          <w:rFonts w:eastAsia="Times New Roman" w:ascii="Times New Roman" w:hAnsi="Times New Roman"/>
          <w:b/>
          <w:i w:val="false"/>
          <w:color w:val="000000"/>
          <w:sz w:val="24"/>
        </w:rPr>
        <w:t>2.2 Self-supervised speech representations</w:t>
      </w:r>
    </w:p>
    <w:p>
      <w:pPr>
        <w:pStyle w:val="Normal"/>
        <w:spacing w:lineRule="auto" w:line="360" w:before="0" w:after="160"/>
        <w:ind w:firstLine="432"/>
        <w:jc w:val="both"/>
        <w:rPr/>
      </w:pPr>
      <w:r>
        <w:rPr>
          <w:rFonts w:eastAsia="Times New Roman" w:ascii="Times New Roman" w:hAnsi="Times New Roman"/>
          <w:b w:val="false"/>
          <w:i w:val="false"/>
          <w:color w:val="000000"/>
          <w:sz w:val="24"/>
        </w:rPr>
        <w:t>Self-supervised learning broadened the range of information available in a speech representation. wav2vec 2.0 learned speech features from masked latent targets [6], HuBERT used hidden-unit prediction [5], and WavLM combined masked prediction with a denoising objective designed for full-stack speech processing [4]. These models are relevant because speech carries linguistic, speaker, channel, and paralinguistic variation at the same time. A common upstream encoder could eventually supply inputs to speaker, spoofing, and emotion branches.</w:t>
      </w:r>
    </w:p>
    <w:p>
      <w:pPr>
        <w:pStyle w:val="Normal"/>
        <w:spacing w:lineRule="auto" w:line="360" w:before="0" w:after="160"/>
        <w:ind w:firstLine="432"/>
        <w:jc w:val="both"/>
        <w:rPr/>
      </w:pPr>
      <w:r>
        <w:rPr>
          <w:rFonts w:eastAsia="Times New Roman" w:ascii="Times New Roman" w:hAnsi="Times New Roman"/>
          <w:b w:val="false"/>
          <w:i w:val="false"/>
          <w:color w:val="000000"/>
          <w:sz w:val="24"/>
        </w:rPr>
        <w:t>However, a broadly useful representation is not evidence that one shared encoder is best for every task. The present evaluation keeps the speaker, countermeasure, and emotion branches separable so that their contributions can be tested without changing the evaluation code. The executed real-data experiment records the selected checkpoints, sample rate, score protocol, and train/development/test separation. A future replication should additionally document pooling choices and whether each encoder is frozen or fine-tuned before comparing systems.</w:t>
      </w:r>
    </w:p>
    <w:p>
      <w:pPr>
        <w:pStyle w:val="Normal"/>
        <w:keepNext w:val="true"/>
        <w:spacing w:lineRule="auto" w:line="240" w:before="160" w:after="160"/>
        <w:jc w:val="start"/>
        <w:rPr/>
      </w:pPr>
      <w:r>
        <w:rPr>
          <w:rFonts w:eastAsia="Times New Roman" w:ascii="Times New Roman" w:hAnsi="Times New Roman"/>
          <w:b/>
          <w:i w:val="false"/>
          <w:color w:val="000000"/>
          <w:sz w:val="24"/>
        </w:rPr>
        <w:t>2.3 Spoofing and countermeasure research</w:t>
      </w:r>
    </w:p>
    <w:p>
      <w:pPr>
        <w:pStyle w:val="Normal"/>
        <w:spacing w:lineRule="auto" w:line="360" w:before="0" w:after="160"/>
        <w:ind w:firstLine="432"/>
        <w:jc w:val="both"/>
        <w:rPr/>
      </w:pPr>
      <w:r>
        <w:rPr>
          <w:rFonts w:eastAsia="Times New Roman" w:ascii="Times New Roman" w:hAnsi="Times New Roman"/>
          <w:b w:val="false"/>
          <w:i w:val="false"/>
          <w:color w:val="000000"/>
          <w:sz w:val="24"/>
        </w:rPr>
        <w:t>Anti-spoofing research considers attacks that exploit the gap between a human voice and an authentication model. The ASVspoof series provides common protocols for logical-access, physical-access, and deepfake conditions [9], [10], [23], while t-DCF formalises the cost of a countermeasure paired with an ASV system [13]. End-to-end countermeasures such as RawNet2 [8] and graph-attention architectures such as AASIST [7] model artifacts that may occur across temporal and spectral dimensions. In this evaluation, the countermeasure branch uses an AASIST-style score producer; these model families motivate the design and the cross-generator transfer tests reported in Chapter 4.</w:t>
      </w:r>
    </w:p>
    <w:p>
      <w:pPr>
        <w:pStyle w:val="Normal"/>
        <w:spacing w:lineRule="auto" w:line="360" w:before="0" w:after="160"/>
        <w:ind w:firstLine="432"/>
        <w:jc w:val="both"/>
        <w:rPr/>
      </w:pPr>
      <w:r>
        <w:rPr>
          <w:rFonts w:eastAsia="Times New Roman" w:ascii="Times New Roman" w:hAnsi="Times New Roman"/>
          <w:b w:val="false"/>
          <w:i w:val="false"/>
          <w:color w:val="000000"/>
          <w:sz w:val="24"/>
        </w:rPr>
        <w:t>The central lesson is that evaluation must reflect the intended threat. A countermeasure may appear accurate on a known attack type but fail after codec changes, replay conditions, or a new generator. The manifest schema in this project records attack system and split explicitly so that a cross-generator claim can be audited rather than assumed. It also avoids reporting a meaningless EER for a single-class attack subset, using spoof-acceptance rate where appropriate.</w:t>
      </w:r>
    </w:p>
    <w:p>
      <w:pPr>
        <w:pStyle w:val="Normal"/>
        <w:keepNext w:val="true"/>
        <w:spacing w:lineRule="auto" w:line="240" w:before="160" w:after="160"/>
        <w:jc w:val="start"/>
        <w:rPr/>
      </w:pPr>
      <w:r>
        <w:rPr>
          <w:rFonts w:eastAsia="Times New Roman" w:ascii="Times New Roman" w:hAnsi="Times New Roman"/>
          <w:b/>
          <w:i w:val="false"/>
          <w:color w:val="000000"/>
          <w:sz w:val="24"/>
        </w:rPr>
        <w:t>2.4 Integrated SASV and score fusion</w:t>
      </w:r>
    </w:p>
    <w:p>
      <w:pPr>
        <w:pStyle w:val="Normal"/>
        <w:spacing w:lineRule="auto" w:line="360" w:before="0" w:after="160"/>
        <w:ind w:firstLine="432"/>
        <w:jc w:val="both"/>
        <w:rPr/>
      </w:pPr>
      <w:r>
        <w:rPr>
          <w:rFonts w:eastAsia="Times New Roman" w:ascii="Times New Roman" w:hAnsi="Times New Roman"/>
          <w:b w:val="false"/>
          <w:i w:val="false"/>
          <w:color w:val="000000"/>
          <w:sz w:val="24"/>
        </w:rPr>
        <w:t>The first SASV challenge placed target, nontarget, and spoof trials in one joint evaluation [11]. Its baselines compared score fusion and embedding fusion [12], and subsequent work explored neural score fusion, integrated projection, and multi-level fusion [29]-[31]. These studies show that a conventional linear score fusion is a necessary baseline, because it tests whether any complex model improves on a simple combination of ASV and CM evidence.</w:t>
      </w:r>
    </w:p>
    <w:p>
      <w:pPr>
        <w:pStyle w:val="Normal"/>
        <w:spacing w:lineRule="auto" w:line="360" w:before="0" w:after="160"/>
        <w:ind w:firstLine="432"/>
        <w:jc w:val="both"/>
        <w:rPr/>
      </w:pPr>
      <w:r>
        <w:rPr>
          <w:rFonts w:eastAsia="Times New Roman" w:ascii="Times New Roman" w:hAnsi="Times New Roman"/>
          <w:b w:val="false"/>
          <w:i w:val="false"/>
          <w:color w:val="000000"/>
          <w:sz w:val="24"/>
        </w:rPr>
        <w:t>EASV implements that comparison as a fixed ladder. The speaker-only and linear models establish lower-complexity baselines. The additive model asks whether extra emotion features help without conditioning the score weights. The interaction model asks whether any gain is due simply to greater capacity. The gated model is then interpretable as a hypothesis: predicted emotion and uncertainty may select non-negative, trial-specific weights for speaker and CM evidence. This is an experimental design choice, not a verified contribution claim.</w:t>
      </w:r>
    </w:p>
    <w:p>
      <w:pPr>
        <w:pStyle w:val="Normal"/>
        <w:keepNext w:val="true"/>
        <w:spacing w:lineRule="auto" w:line="240" w:before="160" w:after="160"/>
        <w:jc w:val="start"/>
        <w:rPr/>
      </w:pPr>
      <w:r>
        <w:rPr>
          <w:rFonts w:eastAsia="Times New Roman" w:ascii="Times New Roman" w:hAnsi="Times New Roman"/>
          <w:b/>
          <w:i w:val="false"/>
          <w:color w:val="000000"/>
          <w:sz w:val="24"/>
        </w:rPr>
        <w:t>2.5 Emotion-aware speech and the remaining question</w:t>
      </w:r>
    </w:p>
    <w:p>
      <w:pPr>
        <w:pStyle w:val="Normal"/>
        <w:spacing w:lineRule="auto" w:line="360" w:before="0" w:after="160"/>
        <w:ind w:firstLine="432"/>
        <w:jc w:val="both"/>
        <w:rPr/>
      </w:pPr>
      <w:r>
        <w:rPr>
          <w:rFonts w:eastAsia="Times New Roman" w:ascii="Times New Roman" w:hAnsi="Times New Roman"/>
          <w:b w:val="false"/>
          <w:i w:val="false"/>
          <w:color w:val="000000"/>
          <w:sz w:val="24"/>
        </w:rPr>
        <w:t>Emotion recognition has been studied as a semantic signal for deepfake detection. Conti et al. used emotion-related descriptors as high-level features for audio deepfake detection [15]. More recently, Mahapatra et al. documented emotion dependent weaknesses in anti-spoofing and proposed a gated ensemble of emotion-specialised countermeasures [16]. Emotion has also been considered in style-dependent speaker verification [17], [18]. Together, these studies make it plausible that emotion changes the reliability of authentication evidence, but they also make it unsafe to assert that an emotion-conditioned SASV fusion design has not already been covered by prior work.</w:t>
      </w:r>
    </w:p>
    <w:p>
      <w:pPr>
        <w:pStyle w:val="Normal"/>
        <w:spacing w:lineRule="auto" w:line="360" w:before="0" w:after="160"/>
        <w:ind w:firstLine="432"/>
        <w:jc w:val="both"/>
        <w:rPr/>
      </w:pPr>
      <w:r>
        <w:rPr>
          <w:rFonts w:eastAsia="Times New Roman" w:ascii="Times New Roman" w:hAnsi="Times New Roman"/>
          <w:b w:val="false"/>
          <w:i w:val="false"/>
          <w:color w:val="000000"/>
          <w:sz w:val="24"/>
        </w:rPr>
        <w:t>Accordingly, the project retains a novelty gate. The closest papers must be read in full, compared on inputs, fusion point, datasets, splits, metrics, and generalisation conditions, and recorded in a traceable matrix before a novelty statement is written. The defensible current position is modest: the repository supplies a leakage-aware real-data evaluation of a particular score-level hypothesis. The three-generator study finds no evidence that its gated-arm advantage is emotion conditioning; replication on a larger independent corpus and comparison with a matched published SASV baseline remain open empirical tasks.</w:t>
      </w:r>
    </w:p>
    <w:p>
      <w:pPr>
        <w:pStyle w:val="Normal"/>
        <w:keepNext w:val="true"/>
        <w:spacing w:lineRule="auto" w:line="240" w:before="160" w:after="160"/>
        <w:jc w:val="start"/>
        <w:rPr/>
      </w:pPr>
      <w:r>
        <w:rPr>
          <w:rFonts w:eastAsia="Times New Roman" w:ascii="Times New Roman" w:hAnsi="Times New Roman"/>
          <w:b/>
          <w:i w:val="false"/>
          <w:color w:val="000000"/>
          <w:sz w:val="24"/>
        </w:rPr>
        <w:t>2.6 Evaluation discipline and reproducibility</w:t>
      </w:r>
    </w:p>
    <w:p>
      <w:pPr>
        <w:pStyle w:val="Normal"/>
        <w:spacing w:lineRule="auto" w:line="360" w:before="0" w:after="160"/>
        <w:ind w:firstLine="432"/>
        <w:jc w:val="both"/>
        <w:rPr/>
      </w:pPr>
      <w:r>
        <w:rPr>
          <w:rFonts w:eastAsia="Times New Roman" w:ascii="Times New Roman" w:hAnsi="Times New Roman"/>
          <w:b w:val="false"/>
          <w:i w:val="false"/>
          <w:color w:val="000000"/>
          <w:sz w:val="24"/>
        </w:rPr>
        <w:t>The value of a spoofing-aware result depends on the protocol that produced it. The ASVspoof evaluation plans make the attack setting, priors, and score conventions explicit [9], [10], while tandem and architecture-agnostic cost functions connect error rates to an authentication decision [13], [14]. These measures are not interchangeable. A small EER difference can conceal a poor operating point, and a countermeasure result alone cannot show whether a spoof is still accepted as the claimed speaker. For that reason, EASV retains the raw score sources, uses development data for threshold selection, and reports target, nontarget, and spoof behaviour together.</w:t>
      </w:r>
    </w:p>
    <w:p>
      <w:pPr>
        <w:pStyle w:val="Normal"/>
        <w:spacing w:lineRule="auto" w:line="360" w:before="0" w:after="160"/>
        <w:ind w:firstLine="432"/>
        <w:jc w:val="both"/>
        <w:rPr/>
      </w:pPr>
      <w:r>
        <w:rPr>
          <w:rFonts w:eastAsia="Times New Roman" w:ascii="Times New Roman" w:hAnsi="Times New Roman"/>
          <w:b w:val="false"/>
          <w:i w:val="false"/>
          <w:color w:val="000000"/>
          <w:sz w:val="24"/>
        </w:rPr>
        <w:t>Reproducibility also requires the negative result to be visible. Toolkits such as SpeechBrain [19] make it easier to reuse standard score producers, but a reproducible claim still requires the checkpoint, corpus version, trial list, split rule, and calibration procedure. The present project operationalises this principle through a manifest audit and a recorded configuration rather than claiming that code alone is a completed experiment. This literature theme motivates the audit-first methodology in the next chapter: before comparing models, the study must be able to show what every trial represents and why it belongs in its assigned split.</w:t>
      </w:r>
    </w:p>
    <w:p>
      <w:pPr>
        <w:pStyle w:val="Normal"/>
        <w:rPr/>
      </w:pPr>
      <w:r>
        <w:rPr/>
      </w:r>
      <w:r>
        <w:br w:type="page"/>
      </w:r>
    </w:p>
    <w:p>
      <w:pPr>
        <w:pStyle w:val="Normal"/>
        <w:keepNext w:val="true"/>
        <w:spacing w:lineRule="auto" w:line="240" w:before="0" w:after="160"/>
        <w:jc w:val="center"/>
        <w:rPr/>
      </w:pPr>
      <w:r>
        <w:rPr>
          <w:rFonts w:eastAsia="Times New Roman" w:ascii="Times New Roman" w:hAnsi="Times New Roman"/>
          <w:b/>
          <w:i w:val="false"/>
          <w:color w:val="000000"/>
          <w:sz w:val="28"/>
        </w:rPr>
        <w:t>CHAPTER 3</w:t>
        <w:br/>
        <w:t>METHODOLOGY</w:t>
      </w:r>
    </w:p>
    <w:p>
      <w:pPr>
        <w:pStyle w:val="Normal"/>
        <w:spacing w:lineRule="auto" w:line="360" w:before="0" w:after="160"/>
        <w:jc w:val="both"/>
        <w:rPr/>
      </w:pPr>
      <w:r>
        <w:rPr>
          <w:rFonts w:eastAsia="Times New Roman" w:ascii="Times New Roman" w:hAnsi="Times New Roman"/>
          <w:b w:val="false"/>
          <w:i w:val="false"/>
          <w:color w:val="000000"/>
          <w:sz w:val="24"/>
        </w:rPr>
        <w:t>This chapter documents the executed real-data evaluation protocol and the score-level framework used to answer the four research questions. Audio front ends produce auditable scores; the EASV layer validates metadata, trains only on training data, selects thresholds on development data, and reports the held-out test split.</w:t>
      </w:r>
    </w:p>
    <w:tbl>
      <w:tblPr>
        <w:tblW w:w="9458" w:type="dxa"/>
        <w:jc w:val="center"/>
        <w:tblInd w:w="0" w:type="dxa"/>
        <w:tblLayout w:type="fixed"/>
        <w:tblCellMar>
          <w:top w:w="100" w:type="dxa"/>
          <w:start w:w="130" w:type="dxa"/>
          <w:bottom w:w="100" w:type="dxa"/>
          <w:end w:w="130" w:type="dxa"/>
        </w:tblCellMar>
        <w:tblLook w:noHBand="0" w:noVBand="1" w:firstColumn="1" w:lastRow="0" w:lastColumn="0" w:firstRow="1" w:val="04a0"/>
      </w:tblPr>
      <w:tblGrid>
        <w:gridCol w:w="9458"/>
      </w:tblGrid>
      <w:tr>
        <w:trPr/>
        <w:tc>
          <w:tcPr>
            <w:tcW w:w="9458" w:type="dxa"/>
            <w:tcBorders>
              <w:top w:val="single" w:sz="6" w:space="0" w:color="B4C7E7"/>
              <w:start w:val="single" w:sz="6" w:space="0" w:color="B4C7E7"/>
              <w:bottom w:val="single" w:sz="6" w:space="0" w:color="B4C7E7"/>
              <w:end w:val="single" w:sz="6" w:space="0" w:color="B4C7E7"/>
            </w:tcBorders>
            <w:shd w:fill="D9EAF7" w:val="clear"/>
          </w:tcPr>
          <w:p>
            <w:pPr>
              <w:pStyle w:val="Normal"/>
              <w:spacing w:lineRule="auto" w:line="240" w:before="0" w:after="0"/>
              <w:jc w:val="center"/>
              <w:rPr/>
            </w:pPr>
            <w:r>
              <w:rPr>
                <w:rFonts w:eastAsia="Times New Roman" w:ascii="Times New Roman" w:hAnsi="Times New Roman"/>
                <w:b/>
                <w:i w:val="false"/>
                <w:color w:val="000000"/>
                <w:sz w:val="20"/>
              </w:rPr>
              <w:t>Input trial and claimed identity</w:t>
            </w:r>
          </w:p>
          <w:p>
            <w:pPr>
              <w:pStyle w:val="Normal"/>
              <w:spacing w:lineRule="auto" w:line="240" w:before="0" w:after="0"/>
              <w:jc w:val="center"/>
              <w:rPr/>
            </w:pPr>
            <w:r>
              <w:rPr>
                <w:rFonts w:eastAsia="Times New Roman" w:ascii="Times New Roman" w:hAnsi="Times New Roman"/>
                <w:b/>
                <w:i w:val="false"/>
                <w:color w:val="000000"/>
                <w:sz w:val="24"/>
              </w:rPr>
              <w:t>↓</w:t>
            </w:r>
          </w:p>
        </w:tc>
      </w:tr>
      <w:tr>
        <w:trPr/>
        <w:tc>
          <w:tcPr>
            <w:tcW w:w="9458" w:type="dxa"/>
            <w:tcBorders>
              <w:top w:val="single" w:sz="6" w:space="0" w:color="B4C7E7"/>
              <w:start w:val="single" w:sz="6" w:space="0" w:color="B4C7E7"/>
              <w:bottom w:val="single" w:sz="6" w:space="0" w:color="B4C7E7"/>
              <w:end w:val="single" w:sz="6" w:space="0" w:color="B4C7E7"/>
            </w:tcBorders>
            <w:shd w:fill="F7FBFE" w:val="clear"/>
          </w:tcPr>
          <w:p>
            <w:pPr>
              <w:pStyle w:val="Normal"/>
              <w:spacing w:lineRule="auto" w:line="240" w:before="0" w:after="0"/>
              <w:jc w:val="center"/>
              <w:rPr/>
            </w:pPr>
            <w:r>
              <w:rPr>
                <w:rFonts w:eastAsia="Times New Roman" w:ascii="Times New Roman" w:hAnsi="Times New Roman"/>
                <w:b w:val="false"/>
                <w:i w:val="false"/>
                <w:color w:val="000000"/>
                <w:sz w:val="20"/>
              </w:rPr>
              <w:t>Score producers: speaker score, countermeasure score, predicted emotion probabilities</w:t>
            </w:r>
          </w:p>
          <w:p>
            <w:pPr>
              <w:pStyle w:val="Normal"/>
              <w:spacing w:lineRule="auto" w:line="240" w:before="0" w:after="0"/>
              <w:jc w:val="center"/>
              <w:rPr/>
            </w:pPr>
            <w:r>
              <w:rPr>
                <w:rFonts w:eastAsia="Times New Roman" w:ascii="Times New Roman" w:hAnsi="Times New Roman"/>
                <w:b/>
                <w:i w:val="false"/>
                <w:color w:val="000000"/>
                <w:sz w:val="24"/>
              </w:rPr>
              <w:t>↓</w:t>
            </w:r>
          </w:p>
        </w:tc>
      </w:tr>
      <w:tr>
        <w:trPr/>
        <w:tc>
          <w:tcPr>
            <w:tcW w:w="9458" w:type="dxa"/>
            <w:tcBorders>
              <w:top w:val="single" w:sz="6" w:space="0" w:color="B4C7E7"/>
              <w:start w:val="single" w:sz="6" w:space="0" w:color="B4C7E7"/>
              <w:bottom w:val="single" w:sz="6" w:space="0" w:color="B4C7E7"/>
              <w:end w:val="single" w:sz="6" w:space="0" w:color="B4C7E7"/>
            </w:tcBorders>
            <w:shd w:fill="D9EAF7" w:val="clear"/>
          </w:tcPr>
          <w:p>
            <w:pPr>
              <w:pStyle w:val="Normal"/>
              <w:spacing w:lineRule="auto" w:line="240" w:before="0" w:after="0"/>
              <w:jc w:val="center"/>
              <w:rPr/>
            </w:pPr>
            <w:r>
              <w:rPr>
                <w:rFonts w:eastAsia="Times New Roman" w:ascii="Times New Roman" w:hAnsi="Times New Roman"/>
                <w:b w:val="false"/>
                <w:i w:val="false"/>
                <w:color w:val="000000"/>
                <w:sz w:val="20"/>
              </w:rPr>
              <w:t>Manifest and score audit: schema, split, speaker, generator, and emotion checks</w:t>
            </w:r>
          </w:p>
          <w:p>
            <w:pPr>
              <w:pStyle w:val="Normal"/>
              <w:spacing w:lineRule="auto" w:line="240" w:before="0" w:after="0"/>
              <w:jc w:val="center"/>
              <w:rPr/>
            </w:pPr>
            <w:r>
              <w:rPr>
                <w:rFonts w:eastAsia="Times New Roman" w:ascii="Times New Roman" w:hAnsi="Times New Roman"/>
                <w:b/>
                <w:i w:val="false"/>
                <w:color w:val="000000"/>
                <w:sz w:val="24"/>
              </w:rPr>
              <w:t>↓</w:t>
            </w:r>
          </w:p>
        </w:tc>
      </w:tr>
      <w:tr>
        <w:trPr/>
        <w:tc>
          <w:tcPr>
            <w:tcW w:w="9458" w:type="dxa"/>
            <w:tcBorders>
              <w:top w:val="single" w:sz="6" w:space="0" w:color="B4C7E7"/>
              <w:start w:val="single" w:sz="6" w:space="0" w:color="B4C7E7"/>
              <w:bottom w:val="single" w:sz="6" w:space="0" w:color="B4C7E7"/>
              <w:end w:val="single" w:sz="6" w:space="0" w:color="B4C7E7"/>
            </w:tcBorders>
            <w:shd w:fill="F7FBFE" w:val="clear"/>
          </w:tcPr>
          <w:p>
            <w:pPr>
              <w:pStyle w:val="Normal"/>
              <w:spacing w:lineRule="auto" w:line="240" w:before="0" w:after="0"/>
              <w:jc w:val="center"/>
              <w:rPr/>
            </w:pPr>
            <w:r>
              <w:rPr>
                <w:rFonts w:eastAsia="Times New Roman" w:ascii="Times New Roman" w:hAnsi="Times New Roman"/>
                <w:b w:val="false"/>
                <w:i w:val="false"/>
                <w:color w:val="000000"/>
                <w:sz w:val="20"/>
              </w:rPr>
              <w:t>Fusion ladder trained only on train split</w:t>
            </w:r>
          </w:p>
          <w:p>
            <w:pPr>
              <w:pStyle w:val="Normal"/>
              <w:spacing w:lineRule="auto" w:line="240" w:before="0" w:after="0"/>
              <w:jc w:val="center"/>
              <w:rPr/>
            </w:pPr>
            <w:r>
              <w:rPr>
                <w:rFonts w:eastAsia="Times New Roman" w:ascii="Times New Roman" w:hAnsi="Times New Roman"/>
                <w:b/>
                <w:i w:val="false"/>
                <w:color w:val="000000"/>
                <w:sz w:val="24"/>
              </w:rPr>
              <w:t>↓</w:t>
            </w:r>
          </w:p>
        </w:tc>
      </w:tr>
      <w:tr>
        <w:trPr/>
        <w:tc>
          <w:tcPr>
            <w:tcW w:w="9458" w:type="dxa"/>
            <w:tcBorders>
              <w:top w:val="single" w:sz="6" w:space="0" w:color="B4C7E7"/>
              <w:start w:val="single" w:sz="6" w:space="0" w:color="B4C7E7"/>
              <w:bottom w:val="single" w:sz="6" w:space="0" w:color="B4C7E7"/>
              <w:end w:val="single" w:sz="6" w:space="0" w:color="B4C7E7"/>
            </w:tcBorders>
            <w:shd w:fill="D9EAF7" w:val="clear"/>
          </w:tcPr>
          <w:p>
            <w:pPr>
              <w:pStyle w:val="Normal"/>
              <w:spacing w:lineRule="auto" w:line="240" w:before="0" w:after="0"/>
              <w:jc w:val="center"/>
              <w:rPr/>
            </w:pPr>
            <w:r>
              <w:rPr>
                <w:rFonts w:eastAsia="Times New Roman" w:ascii="Times New Roman" w:hAnsi="Times New Roman"/>
                <w:b w:val="false"/>
                <w:i w:val="false"/>
                <w:color w:val="000000"/>
                <w:sz w:val="20"/>
              </w:rPr>
              <w:t>Development split selects the operating threshold</w:t>
            </w:r>
          </w:p>
          <w:p>
            <w:pPr>
              <w:pStyle w:val="Normal"/>
              <w:spacing w:lineRule="auto" w:line="240" w:before="0" w:after="0"/>
              <w:jc w:val="center"/>
              <w:rPr/>
            </w:pPr>
            <w:r>
              <w:rPr>
                <w:rFonts w:eastAsia="Times New Roman" w:ascii="Times New Roman" w:hAnsi="Times New Roman"/>
                <w:b/>
                <w:i w:val="false"/>
                <w:color w:val="000000"/>
                <w:sz w:val="24"/>
              </w:rPr>
              <w:t>↓</w:t>
            </w:r>
          </w:p>
        </w:tc>
      </w:tr>
      <w:tr>
        <w:trPr/>
        <w:tc>
          <w:tcPr>
            <w:tcW w:w="9458" w:type="dxa"/>
            <w:tcBorders>
              <w:top w:val="single" w:sz="6" w:space="0" w:color="B4C7E7"/>
              <w:start w:val="single" w:sz="6" w:space="0" w:color="B4C7E7"/>
              <w:bottom w:val="single" w:sz="6" w:space="0" w:color="B4C7E7"/>
              <w:end w:val="single" w:sz="6" w:space="0" w:color="B4C7E7"/>
            </w:tcBorders>
            <w:shd w:fill="F7FBFE" w:val="clear"/>
          </w:tcPr>
          <w:p>
            <w:pPr>
              <w:pStyle w:val="Normal"/>
              <w:spacing w:lineRule="auto" w:line="240" w:before="0" w:after="0"/>
              <w:jc w:val="center"/>
              <w:rPr/>
            </w:pPr>
            <w:r>
              <w:rPr>
                <w:rFonts w:eastAsia="Times New Roman" w:ascii="Times New Roman" w:hAnsi="Times New Roman"/>
                <w:b/>
                <w:i w:val="false"/>
                <w:color w:val="000000"/>
                <w:sz w:val="20"/>
              </w:rPr>
              <w:t>One-time test reporting with SASV-EER, DCF, calibration, and group breakdowns</w:t>
            </w:r>
          </w:p>
        </w:tc>
      </w:tr>
    </w:tbl>
    <w:p>
      <w:pPr>
        <w:pStyle w:val="Normal"/>
        <w:spacing w:before="0" w:after="80"/>
        <w:rPr/>
      </w:pPr>
      <w:r>
        <w:rPr/>
      </w:r>
    </w:p>
    <w:p>
      <w:pPr>
        <w:pStyle w:val="Normal"/>
        <w:keepNext w:val="true"/>
        <w:spacing w:lineRule="auto" w:line="240" w:before="160" w:after="160"/>
        <w:jc w:val="start"/>
        <w:rPr/>
      </w:pPr>
      <w:r>
        <w:rPr>
          <w:rFonts w:eastAsia="Times New Roman" w:ascii="Times New Roman" w:hAnsi="Times New Roman"/>
          <w:b/>
          <w:i w:val="false"/>
          <w:color w:val="000000"/>
          <w:sz w:val="24"/>
        </w:rPr>
        <w:t>3.1 Scope and system boundary</w:t>
      </w:r>
    </w:p>
    <w:p>
      <w:pPr>
        <w:pStyle w:val="Normal"/>
        <w:spacing w:lineRule="auto" w:line="360" w:before="0" w:after="160"/>
        <w:ind w:firstLine="432"/>
        <w:jc w:val="both"/>
        <w:rPr/>
      </w:pPr>
      <w:r>
        <w:rPr>
          <w:rFonts w:eastAsia="Times New Roman" w:ascii="Times New Roman" w:hAnsi="Times New Roman"/>
          <w:b w:val="false"/>
          <w:i w:val="false"/>
          <w:color w:val="000000"/>
          <w:sz w:val="24"/>
        </w:rPr>
        <w:t>The implemented system begins after audio models have produced scores. It does not train WavLM, HuBERT, ECAPA-TDNN, AASIST, or a speech-emotion recogniser. For each trial, the score file contains a speaker score, a countermeasure score, and optional predicted emotion-probability columns. The separate manifest contains the experimental truth: trial identity, split, actual and claimed speaker, trial type, emotion label, attack system, source, and path. Keeping these files separate makes it easier to show that ground-truth labels were not passed to the fusion model.</w:t>
      </w:r>
    </w:p>
    <w:p>
      <w:pPr>
        <w:pStyle w:val="Normal"/>
        <w:spacing w:lineRule="auto" w:line="360" w:before="0" w:after="160"/>
        <w:ind w:firstLine="432"/>
        <w:jc w:val="both"/>
        <w:rPr/>
      </w:pPr>
      <w:r>
        <w:rPr>
          <w:rFonts w:eastAsia="Times New Roman" w:ascii="Times New Roman" w:hAnsi="Times New Roman"/>
          <w:b w:val="false"/>
          <w:i w:val="false"/>
          <w:color w:val="000000"/>
          <w:sz w:val="24"/>
        </w:rPr>
        <w:t>The intended decision is acceptance for bona fide target trials and rejection for bona fide nontarget or spoof trials. A larger speaker score means a closer claimed-speaker match; a larger CM score means more evidence of bona fide speech. Every fusion model returns an acceptance logit, and the rule is accept when the logit is at least the development-selected threshold. Score directions are documented once so that a sign reversal cannot create an apparently successful but invalid run.</w:t>
      </w:r>
    </w:p>
    <w:p>
      <w:pPr>
        <w:pStyle w:val="Normal"/>
        <w:keepNext w:val="true"/>
        <w:spacing w:lineRule="auto" w:line="240" w:before="160" w:after="160"/>
        <w:jc w:val="start"/>
        <w:rPr/>
      </w:pPr>
      <w:r>
        <w:rPr>
          <w:rFonts w:eastAsia="Times New Roman" w:ascii="Times New Roman" w:hAnsi="Times New Roman"/>
          <w:b/>
          <w:i w:val="false"/>
          <w:color w:val="000000"/>
          <w:sz w:val="24"/>
        </w:rPr>
        <w:t>3.2 Audit and split discipline</w:t>
      </w:r>
    </w:p>
    <w:p>
      <w:pPr>
        <w:pStyle w:val="Normal"/>
        <w:spacing w:lineRule="auto" w:line="360" w:before="0" w:after="160"/>
        <w:ind w:firstLine="432"/>
        <w:jc w:val="both"/>
        <w:rPr/>
      </w:pPr>
      <w:r>
        <w:rPr>
          <w:rFonts w:eastAsia="Times New Roman" w:ascii="Times New Roman" w:hAnsi="Times New Roman"/>
          <w:b w:val="false"/>
          <w:i w:val="false"/>
          <w:color w:val="000000"/>
          <w:sz w:val="24"/>
        </w:rPr>
        <w:t>Before fitting a model, the audit checks manifest schema and trial consistency. It verifies that target trials use the claimed speaker, nontarget trials do not, each score row joins exactly once by trial identifier, and class counts are visible by split. It also reports overlap in speaker identities, generators, and emotions. An overlap finding is not silently ignored; it is reported as an error or warning so the investigator can state exactly what a generalisation result does and does not show.</w:t>
      </w:r>
    </w:p>
    <w:p>
      <w:pPr>
        <w:pStyle w:val="Normal"/>
        <w:spacing w:lineRule="auto" w:line="360" w:before="0" w:after="160"/>
        <w:ind w:firstLine="432"/>
        <w:jc w:val="both"/>
        <w:rPr/>
      </w:pPr>
      <w:r>
        <w:rPr>
          <w:rFonts w:eastAsia="Times New Roman" w:ascii="Times New Roman" w:hAnsi="Times New Roman"/>
          <w:b w:val="false"/>
          <w:i w:val="false"/>
          <w:color w:val="000000"/>
          <w:sz w:val="24"/>
        </w:rPr>
        <w:t>Training, development, and test data have distinct roles. Model parameters and feature scalers are fitted on train only. The development split selects a threshold by EER or a stated false-accept budget. The test split is then evaluated once. This prevents threshold leakage and keeps model selection from consuming the held-out result. Grouped bootstrap resampling uses claimed speakers as the unit, because trials from one speaker are correlated rather than independent.</w:t>
      </w:r>
    </w:p>
    <w:p>
      <w:pPr>
        <w:pStyle w:val="Normal"/>
        <w:keepNext w:val="true"/>
        <w:spacing w:lineRule="auto" w:line="240" w:before="160" w:after="160"/>
        <w:jc w:val="start"/>
        <w:rPr/>
      </w:pPr>
      <w:r>
        <w:rPr>
          <w:rFonts w:eastAsia="Times New Roman" w:ascii="Times New Roman" w:hAnsi="Times New Roman"/>
          <w:b/>
          <w:i w:val="false"/>
          <w:color w:val="000000"/>
          <w:sz w:val="24"/>
        </w:rPr>
        <w:t>3.3 Fusion model ladder</w:t>
      </w:r>
    </w:p>
    <w:p>
      <w:pPr>
        <w:pStyle w:val="Normal"/>
        <w:spacing w:lineRule="auto" w:line="360" w:before="0" w:after="160"/>
        <w:ind w:firstLine="432"/>
        <w:jc w:val="both"/>
        <w:rPr/>
      </w:pPr>
      <w:r>
        <w:rPr>
          <w:rFonts w:eastAsia="Times New Roman" w:ascii="Times New Roman" w:hAnsi="Times New Roman"/>
          <w:b w:val="false"/>
          <w:i w:val="false"/>
          <w:color w:val="000000"/>
          <w:sz w:val="24"/>
        </w:rPr>
        <w:t>Five models are fitted under one configuration. Speaker-only logistic fusion receives only the ASV score. The conventional linear baseline receives speaker and CM scores and is fitted with L2-regularised logistic regression using L-BFGS. The additive model appends emotion probabilities, normalised entropy, and maximum probability. The interaction model adds speaker-by-emotion and CM-by-emotion terms, providing a capacity control for the proposed model.</w:t>
      </w:r>
    </w:p>
    <w:p>
      <w:pPr>
        <w:pStyle w:val="Normal"/>
        <w:spacing w:lineRule="auto" w:line="360" w:before="0" w:after="160"/>
        <w:ind w:firstLine="432"/>
        <w:jc w:val="both"/>
        <w:rPr/>
      </w:pPr>
      <w:r>
        <w:rPr>
          <w:rFonts w:eastAsia="Times New Roman" w:ascii="Times New Roman" w:hAnsi="Times New Roman"/>
          <w:b w:val="false"/>
          <w:i w:val="false"/>
          <w:color w:val="000000"/>
          <w:sz w:val="24"/>
        </w:rPr>
        <w:t>The emotion-gated model computes a small tanh hidden representation from predicted emotion probabilities and, when enabled, normalised entropy and confidence. A softplus transformation yields non-negative per-trial weights on standardised speaker and CM scores, together with an emotion-conditioned bias. It is trained with logistic loss, L2 penalties, Adam updates, and an internal training-only validation fraction for early stopping. The saved JSON state includes scalers and parameters so a new score file can be evaluated without refitting.</w:t>
      </w:r>
    </w:p>
    <w:p>
      <w:pPr>
        <w:pStyle w:val="Normal"/>
        <w:keepNext w:val="true"/>
        <w:spacing w:lineRule="auto" w:line="240" w:before="160" w:after="160"/>
        <w:jc w:val="start"/>
        <w:rPr/>
      </w:pPr>
      <w:r>
        <w:rPr>
          <w:rFonts w:eastAsia="Times New Roman" w:ascii="Times New Roman" w:hAnsi="Times New Roman"/>
          <w:b/>
          <w:i w:val="false"/>
          <w:color w:val="000000"/>
          <w:sz w:val="24"/>
        </w:rPr>
        <w:t>3.4 Metrics and reporting</w:t>
      </w:r>
    </w:p>
    <w:p>
      <w:pPr>
        <w:pStyle w:val="Normal"/>
        <w:spacing w:lineRule="auto" w:line="360" w:before="0" w:after="160"/>
        <w:ind w:firstLine="432"/>
        <w:jc w:val="both"/>
        <w:rPr/>
      </w:pPr>
      <w:r>
        <w:rPr>
          <w:rFonts w:eastAsia="Times New Roman" w:ascii="Times New Roman" w:hAnsi="Times New Roman"/>
          <w:b w:val="false"/>
          <w:i w:val="false"/>
          <w:color w:val="000000"/>
          <w:sz w:val="24"/>
        </w:rPr>
        <w:t>SASV-EER is the primary threshold-free measure: target trials form the positive class, while nontarget and spoof trials form the negative class. SV-EER and spoofing EER remain diagnostic components. The implementation also computes minimum a-DCF, minimum t-DCF under documented normalisations, FAR, FRR, precision, recall, F1, Brier score, and expected calibration error. Threshold-dependent quantities are always reported with their development-set threshold policy.</w:t>
      </w:r>
    </w:p>
    <w:p>
      <w:pPr>
        <w:pStyle w:val="Normal"/>
        <w:spacing w:lineRule="auto" w:line="360" w:before="0" w:after="160"/>
        <w:ind w:firstLine="432"/>
        <w:jc w:val="both"/>
        <w:rPr/>
      </w:pPr>
      <w:r>
        <w:rPr>
          <w:rFonts w:eastAsia="Times New Roman" w:ascii="Times New Roman" w:hAnsi="Times New Roman"/>
          <w:b w:val="false"/>
          <w:i w:val="false"/>
          <w:color w:val="000000"/>
          <w:sz w:val="24"/>
        </w:rPr>
        <w:t>The report generator writes a Markdown and JSON record with model descriptions, settings, per-trial test scores, split summaries, per-emotion breakdowns, per-attack spoof-acceptance rates, grouped-bootstrap confidence intervals, and paired comparisons against the linear baseline. This supports a useful audit trail: a reviewer can tell whether a reported gain is absolute, statistically uncertain, concentrated in one subset, or accompanied by a harmful rise in false rejection.</w:t>
      </w:r>
    </w:p>
    <w:p>
      <w:pPr>
        <w:pStyle w:val="Normal"/>
        <w:keepNext w:val="true"/>
        <w:spacing w:lineRule="auto" w:line="240" w:before="160" w:after="160"/>
        <w:jc w:val="start"/>
        <w:rPr/>
      </w:pPr>
      <w:r>
        <w:rPr>
          <w:rFonts w:eastAsia="Times New Roman" w:ascii="Times New Roman" w:hAnsi="Times New Roman"/>
          <w:b/>
          <w:i w:val="false"/>
          <w:color w:val="000000"/>
          <w:sz w:val="24"/>
        </w:rPr>
        <w:t>3.5 Real-data protocol and synthetic smoke test</w:t>
      </w:r>
    </w:p>
    <w:p>
      <w:pPr>
        <w:pStyle w:val="Normal"/>
        <w:spacing w:lineRule="auto" w:line="360" w:before="0" w:after="160"/>
        <w:ind w:firstLine="432"/>
        <w:jc w:val="both"/>
        <w:rPr/>
      </w:pPr>
      <w:r>
        <w:rPr>
          <w:rFonts w:eastAsia="Times New Roman" w:ascii="Times New Roman" w:hAnsi="Times New Roman"/>
          <w:b w:val="false"/>
          <w:i w:val="false"/>
          <w:color w:val="000000"/>
          <w:sz w:val="24"/>
        </w:rPr>
        <w:t>The executed study combines the ESD English subset for bona fide speech with EmoSpoof-TTS clones from StyleTTS2, F5-TTS, and CosyVoice. The merged real manifest contains 53,900 trials and a speaker-disjoint 4/2/4 train/development/test split. ECAPA-TDNN supplies speaker scores, wav2vec2-superb-ER supplies emotion probabilities, and the comparison uses in-domain, out-of-domain, and cross-generator countermeasure regimes. The data and score provenance are recorded so that every reported result can be traced to a reproducible configuration.</w:t>
      </w:r>
    </w:p>
    <w:p>
      <w:pPr>
        <w:pStyle w:val="Normal"/>
        <w:spacing w:lineRule="auto" w:line="360" w:before="0" w:after="160"/>
        <w:ind w:firstLine="432"/>
        <w:jc w:val="both"/>
        <w:rPr/>
      </w:pPr>
      <w:r>
        <w:rPr>
          <w:rFonts w:eastAsia="Times New Roman" w:ascii="Times New Roman" w:hAnsi="Times New Roman"/>
          <w:b w:val="false"/>
          <w:i w:val="false"/>
          <w:color w:val="000000"/>
          <w:sz w:val="24"/>
        </w:rPr>
        <w:t>The repository also retains a synthetic end-to-end demonstration. It is used only as a software smoke test for the audit, fusion, and reporting paths. Its numbers are never interpreted as scientific evidence and are kept separate from the real-data results in Chapter 4.</w:t>
      </w:r>
    </w:p>
    <w:p>
      <w:pPr>
        <w:pStyle w:val="Normal"/>
        <w:keepNext w:val="true"/>
        <w:spacing w:lineRule="auto" w:line="240" w:before="160" w:after="160"/>
        <w:jc w:val="start"/>
        <w:rPr/>
      </w:pPr>
      <w:r>
        <w:rPr>
          <w:rFonts w:eastAsia="Times New Roman" w:ascii="Times New Roman" w:hAnsi="Times New Roman"/>
          <w:b/>
          <w:i w:val="false"/>
          <w:color w:val="000000"/>
          <w:sz w:val="24"/>
        </w:rPr>
        <w:t>3.6 Example input representation</w:t>
      </w:r>
    </w:p>
    <w:p>
      <w:pPr>
        <w:pStyle w:val="Normal"/>
        <w:spacing w:lineRule="auto" w:line="360" w:before="0" w:after="160"/>
        <w:jc w:val="both"/>
        <w:rPr/>
      </w:pPr>
      <w:r>
        <w:rPr>
          <w:rFonts w:eastAsia="Times New Roman" w:ascii="Times New Roman" w:hAnsi="Times New Roman"/>
          <w:b w:val="false"/>
          <w:i w:val="false"/>
          <w:color w:val="000000"/>
          <w:sz w:val="24"/>
        </w:rPr>
        <w:t>Table 1 illustrates the score and manifest fields consumed by the framework. The numeric values in this example are synthetic, while the evaluated real-data runs use the same schema with externally sourced speech and recorded score producers. Emotion probabilities are model outputs; the manifest emotion is not an input feature.</w:t>
      </w:r>
    </w:p>
    <w:tbl>
      <w:tblPr>
        <w:tblW w:w="9458" w:type="dxa"/>
        <w:jc w:val="center"/>
        <w:tblInd w:w="0" w:type="dxa"/>
        <w:tblLayout w:type="fixed"/>
        <w:tblCellMar>
          <w:top w:w="90" w:type="dxa"/>
          <w:start w:w="110" w:type="dxa"/>
          <w:bottom w:w="90" w:type="dxa"/>
          <w:end w:w="110" w:type="dxa"/>
        </w:tblCellMar>
        <w:tblLook w:noHBand="0" w:noVBand="1" w:firstColumn="1" w:lastRow="0" w:lastColumn="0" w:firstRow="1" w:val="04a0"/>
      </w:tblPr>
      <w:tblGrid>
        <w:gridCol w:w="1351"/>
        <w:gridCol w:w="1351"/>
        <w:gridCol w:w="1351"/>
        <w:gridCol w:w="1351"/>
        <w:gridCol w:w="1351"/>
        <w:gridCol w:w="1351"/>
        <w:gridCol w:w="1352"/>
      </w:tblGrid>
      <w:tr>
        <w:trPr>
          <w:tblHeader w:val="true"/>
        </w:trPr>
        <w:tc>
          <w:tcPr>
            <w:tcW w:w="1351"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40" w:before="0" w:after="0"/>
              <w:jc w:val="center"/>
              <w:rPr/>
            </w:pPr>
            <w:r>
              <w:rPr>
                <w:rFonts w:eastAsia="Times New Roman" w:ascii="Times New Roman" w:hAnsi="Times New Roman"/>
                <w:b/>
                <w:i w:val="false"/>
                <w:color w:val="FFFFFF"/>
                <w:sz w:val="18"/>
              </w:rPr>
              <w:t>trial id</w:t>
            </w:r>
          </w:p>
        </w:tc>
        <w:tc>
          <w:tcPr>
            <w:tcW w:w="1351"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40" w:before="0" w:after="0"/>
              <w:jc w:val="center"/>
              <w:rPr/>
            </w:pPr>
            <w:r>
              <w:rPr>
                <w:rFonts w:eastAsia="Times New Roman" w:ascii="Times New Roman" w:hAnsi="Times New Roman"/>
                <w:b/>
                <w:i w:val="false"/>
                <w:color w:val="FFFFFF"/>
                <w:sz w:val="18"/>
              </w:rPr>
              <w:t>split</w:t>
            </w:r>
          </w:p>
        </w:tc>
        <w:tc>
          <w:tcPr>
            <w:tcW w:w="1351"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40" w:before="0" w:after="0"/>
              <w:jc w:val="center"/>
              <w:rPr/>
            </w:pPr>
            <w:r>
              <w:rPr>
                <w:rFonts w:eastAsia="Times New Roman" w:ascii="Times New Roman" w:hAnsi="Times New Roman"/>
                <w:b/>
                <w:i w:val="false"/>
                <w:color w:val="FFFFFF"/>
                <w:sz w:val="18"/>
              </w:rPr>
              <w:t>trial type</w:t>
            </w:r>
          </w:p>
        </w:tc>
        <w:tc>
          <w:tcPr>
            <w:tcW w:w="1351"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40" w:before="0" w:after="0"/>
              <w:jc w:val="center"/>
              <w:rPr/>
            </w:pPr>
            <w:r>
              <w:rPr>
                <w:rFonts w:eastAsia="Times New Roman" w:ascii="Times New Roman" w:hAnsi="Times New Roman"/>
                <w:b/>
                <w:i w:val="false"/>
                <w:color w:val="FFFFFF"/>
                <w:sz w:val="18"/>
              </w:rPr>
              <w:t>speaker score</w:t>
            </w:r>
          </w:p>
        </w:tc>
        <w:tc>
          <w:tcPr>
            <w:tcW w:w="1351"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40" w:before="0" w:after="0"/>
              <w:jc w:val="center"/>
              <w:rPr/>
            </w:pPr>
            <w:r>
              <w:rPr>
                <w:rFonts w:eastAsia="Times New Roman" w:ascii="Times New Roman" w:hAnsi="Times New Roman"/>
                <w:b/>
                <w:i w:val="false"/>
                <w:color w:val="FFFFFF"/>
                <w:sz w:val="18"/>
              </w:rPr>
              <w:t>CM score</w:t>
            </w:r>
          </w:p>
        </w:tc>
        <w:tc>
          <w:tcPr>
            <w:tcW w:w="1351"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40" w:before="0" w:after="0"/>
              <w:jc w:val="center"/>
              <w:rPr/>
            </w:pPr>
            <w:r>
              <w:rPr>
                <w:rFonts w:eastAsia="Times New Roman" w:ascii="Times New Roman" w:hAnsi="Times New Roman"/>
                <w:b/>
                <w:i w:val="false"/>
                <w:color w:val="FFFFFF"/>
                <w:sz w:val="18"/>
              </w:rPr>
              <w:t>emotion probability summary</w:t>
            </w:r>
          </w:p>
        </w:tc>
        <w:tc>
          <w:tcPr>
            <w:tcW w:w="1352"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40" w:before="0" w:after="0"/>
              <w:jc w:val="center"/>
              <w:rPr/>
            </w:pPr>
            <w:r>
              <w:rPr>
                <w:rFonts w:eastAsia="Times New Roman" w:ascii="Times New Roman" w:hAnsi="Times New Roman"/>
                <w:b/>
                <w:i w:val="false"/>
                <w:color w:val="FFFFFF"/>
                <w:sz w:val="18"/>
              </w:rPr>
              <w:t>manifest emotion</w:t>
            </w:r>
          </w:p>
        </w:tc>
      </w:tr>
      <w:tr>
        <w:trPr/>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tr_001</w:t>
            </w:r>
          </w:p>
        </w:tc>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train</w:t>
            </w:r>
          </w:p>
        </w:tc>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target</w:t>
            </w:r>
          </w:p>
        </w:tc>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1.84</w:t>
            </w:r>
          </w:p>
        </w:tc>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1.10</w:t>
            </w:r>
          </w:p>
        </w:tc>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neutral 0.71, entropy 0.49</w:t>
            </w:r>
          </w:p>
        </w:tc>
        <w:tc>
          <w:tcPr>
            <w:tcW w:w="1352"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neutral</w:t>
            </w:r>
          </w:p>
        </w:tc>
      </w:tr>
      <w:tr>
        <w:trPr/>
        <w:tc>
          <w:tcPr>
            <w:tcW w:w="1351"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tr_002</w:t>
            </w:r>
          </w:p>
        </w:tc>
        <w:tc>
          <w:tcPr>
            <w:tcW w:w="1351"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train</w:t>
            </w:r>
          </w:p>
        </w:tc>
        <w:tc>
          <w:tcPr>
            <w:tcW w:w="1351"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nontarget</w:t>
            </w:r>
          </w:p>
        </w:tc>
        <w:tc>
          <w:tcPr>
            <w:tcW w:w="1351"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-1.72</w:t>
            </w:r>
          </w:p>
        </w:tc>
        <w:tc>
          <w:tcPr>
            <w:tcW w:w="1351"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0.93</w:t>
            </w:r>
          </w:p>
        </w:tc>
        <w:tc>
          <w:tcPr>
            <w:tcW w:w="1351"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sad 0.52, entropy 0.68</w:t>
            </w:r>
          </w:p>
        </w:tc>
        <w:tc>
          <w:tcPr>
            <w:tcW w:w="1352"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sad</w:t>
            </w:r>
          </w:p>
        </w:tc>
      </w:tr>
      <w:tr>
        <w:trPr/>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tr_003</w:t>
            </w:r>
          </w:p>
        </w:tc>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test</w:t>
            </w:r>
          </w:p>
        </w:tc>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spoof</w:t>
            </w:r>
          </w:p>
        </w:tc>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0.88</w:t>
            </w:r>
          </w:p>
        </w:tc>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-0.26</w:t>
            </w:r>
          </w:p>
        </w:tc>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happy 0.39, entropy 0.84</w:t>
            </w:r>
          </w:p>
        </w:tc>
        <w:tc>
          <w:tcPr>
            <w:tcW w:w="1352"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surprise</w:t>
            </w:r>
          </w:p>
        </w:tc>
      </w:tr>
    </w:tbl>
    <w:p>
      <w:pPr>
        <w:pStyle w:val="Normal"/>
        <w:spacing w:before="0" w:after="60"/>
        <w:rPr/>
      </w:pPr>
      <w:r>
        <w:rPr/>
      </w:r>
    </w:p>
    <w:p>
      <w:pPr>
        <w:pStyle w:val="Normal"/>
        <w:rPr/>
      </w:pPr>
      <w:r>
        <w:rPr/>
      </w:r>
      <w:r>
        <w:br w:type="page"/>
      </w:r>
    </w:p>
    <w:p>
      <w:pPr>
        <w:pStyle w:val="Normal"/>
        <w:keepNext w:val="true"/>
        <w:spacing w:lineRule="auto" w:line="240" w:before="0" w:after="160"/>
        <w:jc w:val="center"/>
        <w:rPr/>
      </w:pPr>
      <w:r>
        <w:rPr>
          <w:rFonts w:eastAsia="Times New Roman" w:ascii="Times New Roman" w:hAnsi="Times New Roman"/>
          <w:b/>
          <w:i w:val="false"/>
          <w:color w:val="000000"/>
          <w:sz w:val="28"/>
        </w:rPr>
        <w:t>CHAPTER 4</w:t>
        <w:br/>
        <w:t>RESULTS AND DISCUSSION</w:t>
      </w:r>
    </w:p>
    <w:p>
      <w:pPr>
        <w:pStyle w:val="Normal"/>
        <w:spacing w:lineRule="auto" w:line="360" w:before="0" w:after="160"/>
        <w:jc w:val="both"/>
        <w:rPr/>
      </w:pPr>
      <w:r>
        <w:rPr>
          <w:rFonts w:eastAsia="Times New Roman" w:ascii="Times New Roman" w:hAnsi="Times New Roman"/>
          <w:b/>
          <w:i w:val="false"/>
          <w:color w:val="000000"/>
          <w:sz w:val="24"/>
        </w:rPr>
        <w:t>This chapter answers the research questions with the executed real-data study. The synthetic demonstration is retained in Sections 4.1–4.3 only to validate software behaviour; it is not used to support the research conclusions. Section 4.4 reports the real ESD/EmoSpoof-TTS evidence, and Section 4.5 distinguishes supported findings from unsupported claims.</w:t>
      </w:r>
    </w:p>
    <w:p>
      <w:pPr>
        <w:pStyle w:val="Normal"/>
        <w:keepNext w:val="true"/>
        <w:spacing w:lineRule="auto" w:line="240" w:before="160" w:after="160"/>
        <w:jc w:val="start"/>
        <w:rPr/>
      </w:pPr>
      <w:r>
        <w:rPr>
          <w:rFonts w:eastAsia="Times New Roman" w:ascii="Times New Roman" w:hAnsi="Times New Roman"/>
          <w:b/>
          <w:i w:val="false"/>
          <w:color w:val="000000"/>
          <w:sz w:val="24"/>
        </w:rPr>
        <w:t>4.1 Audit execution</w:t>
      </w:r>
    </w:p>
    <w:p>
      <w:pPr>
        <w:pStyle w:val="Normal"/>
        <w:spacing w:lineRule="auto" w:line="360" w:before="0" w:after="160"/>
        <w:ind w:firstLine="432"/>
        <w:jc w:val="both"/>
        <w:rPr/>
      </w:pPr>
      <w:r>
        <w:rPr>
          <w:rFonts w:eastAsia="Times New Roman" w:ascii="Times New Roman" w:hAnsi="Times New Roman"/>
          <w:b w:val="false"/>
          <w:i w:val="false"/>
          <w:color w:val="000000"/>
          <w:sz w:val="24"/>
        </w:rPr>
        <w:t>The repository was executed in its supplied virtual environment. The full automated suite completed successfully: 99 tests passed. The tests cover manifest validation, score alignment, metric direction conventions, threshold separation, fusion serialisation, grouped evaluation, and command-line behaviour. Passing tests show that the implemented functions meet their encoded expectations; they do not replace independent real-data validation.</w:t>
      </w:r>
    </w:p>
    <w:p>
      <w:pPr>
        <w:pStyle w:val="Normal"/>
        <w:spacing w:lineRule="auto" w:line="360" w:before="0" w:after="160"/>
        <w:ind w:firstLine="432"/>
        <w:jc w:val="both"/>
        <w:rPr/>
      </w:pPr>
      <w:r>
        <w:rPr>
          <w:rFonts w:eastAsia="Times New Roman" w:ascii="Times New Roman" w:hAnsi="Times New Roman"/>
          <w:b w:val="false"/>
          <w:i w:val="false"/>
          <w:color w:val="000000"/>
          <w:sz w:val="24"/>
        </w:rPr>
        <w:t>The command-line demonstration then generated 1,660 synthetic trials and trained every fusion arm. A separate audit of the generated manifest found zero errors and one warning: the test split contains the held-out emotion surprise. The warning is intentional in the demonstration because it exercises cross-emotion reporting. It also illustrates the value of a visible audit: a real report must state whether such a condition is intentional and whether the emotion recogniser was trained on that category.</w:t>
      </w:r>
    </w:p>
    <w:p>
      <w:pPr>
        <w:pStyle w:val="Normal"/>
        <w:keepNext w:val="true"/>
        <w:spacing w:lineRule="auto" w:line="240" w:before="160" w:after="160"/>
        <w:jc w:val="start"/>
        <w:rPr/>
      </w:pPr>
      <w:r>
        <w:rPr>
          <w:rFonts w:eastAsia="Times New Roman" w:ascii="Times New Roman" w:hAnsi="Times New Roman"/>
          <w:b/>
          <w:i w:val="false"/>
          <w:color w:val="000000"/>
          <w:sz w:val="24"/>
        </w:rPr>
        <w:t>4.2 Synthetic pipeline smoke test</w:t>
      </w:r>
    </w:p>
    <w:p>
      <w:pPr>
        <w:pStyle w:val="Normal"/>
        <w:spacing w:lineRule="auto" w:line="360" w:before="0" w:after="160"/>
        <w:ind w:firstLine="432"/>
        <w:jc w:val="both"/>
        <w:rPr/>
      </w:pPr>
      <w:r>
        <w:rPr>
          <w:rFonts w:eastAsia="Times New Roman" w:ascii="Times New Roman" w:hAnsi="Times New Roman"/>
          <w:b w:val="false"/>
          <w:i w:val="false"/>
          <w:color w:val="000000"/>
          <w:sz w:val="24"/>
        </w:rPr>
        <w:t>Table 2 records the held-out synthetic run exactly as generated by the repository. Its purpose is operational verification: all fusion arms train, threshold selection remains development-only, and the report exposes both metrics and uncertainty. The values are retained for reproducibility but are not interpreted as evidence that one biometric system is better than another.</w:t>
      </w:r>
    </w:p>
    <w:p>
      <w:pPr>
        <w:pStyle w:val="Normal"/>
        <w:spacing w:lineRule="auto" w:line="360" w:before="0" w:after="160"/>
        <w:ind w:firstLine="432"/>
        <w:jc w:val="both"/>
        <w:rPr/>
      </w:pPr>
      <w:r>
        <w:rPr>
          <w:rFonts w:eastAsia="Times New Roman" w:ascii="Times New Roman" w:hAnsi="Times New Roman"/>
          <w:b w:val="false"/>
          <w:i w:val="false"/>
          <w:color w:val="000000"/>
          <w:sz w:val="24"/>
        </w:rPr>
        <w:t>The simulated generator intentionally changes countermeasure reliability by emotion and uncertainty. That designed condition is useful for exercising code paths, but it can also benefit a gated model by construction. Accordingly, this section makes no research-performance claim; the evidence relevant to the project question begins in the real-data execution in Section 4.4.</w:t>
      </w:r>
    </w:p>
    <w:p>
      <w:pPr>
        <w:pStyle w:val="Normal"/>
        <w:rPr/>
      </w:pPr>
      <w:r>
        <w:rPr/>
      </w:r>
      <w:r>
        <w:br w:type="page"/>
      </w:r>
    </w:p>
    <w:tbl>
      <w:tblPr>
        <w:tblW w:w="9460" w:type="dxa"/>
        <w:jc w:val="center"/>
        <w:tblInd w:w="0" w:type="dxa"/>
        <w:tblLayout w:type="fixed"/>
        <w:tblCellMar>
          <w:top w:w="90" w:type="dxa"/>
          <w:start w:w="110" w:type="dxa"/>
          <w:bottom w:w="90" w:type="dxa"/>
          <w:end w:w="110" w:type="dxa"/>
        </w:tblCellMar>
        <w:tblLook w:noHBand="0" w:noVBand="1" w:firstColumn="1" w:lastRow="0" w:lastColumn="0" w:firstRow="1" w:val="04a0"/>
      </w:tblPr>
      <w:tblGrid>
        <w:gridCol w:w="1892"/>
        <w:gridCol w:w="1892"/>
        <w:gridCol w:w="1892"/>
        <w:gridCol w:w="1892"/>
        <w:gridCol w:w="1892"/>
      </w:tblGrid>
      <w:tr>
        <w:trPr>
          <w:tblHeader w:val="true"/>
        </w:trPr>
        <w:tc>
          <w:tcPr>
            <w:tcW w:w="1892"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pageBreakBefore/>
              <w:spacing w:lineRule="auto" w:line="240" w:before="0" w:after="0"/>
              <w:jc w:val="center"/>
              <w:rPr/>
            </w:pPr>
            <w:r>
              <w:rPr>
                <w:rFonts w:eastAsia="Times New Roman" w:ascii="Times New Roman" w:hAnsi="Times New Roman"/>
                <w:b/>
                <w:i w:val="false"/>
                <w:color w:val="FFFFFF"/>
                <w:sz w:val="18"/>
              </w:rPr>
              <w:t>model</w:t>
            </w:r>
          </w:p>
        </w:tc>
        <w:tc>
          <w:tcPr>
            <w:tcW w:w="1892"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40" w:before="0" w:after="0"/>
              <w:jc w:val="center"/>
              <w:rPr/>
            </w:pPr>
            <w:r>
              <w:rPr>
                <w:rFonts w:eastAsia="Times New Roman" w:ascii="Times New Roman" w:hAnsi="Times New Roman"/>
                <w:b/>
                <w:i w:val="false"/>
                <w:color w:val="FFFFFF"/>
                <w:sz w:val="18"/>
              </w:rPr>
              <w:t>synthetic SASV-EER</w:t>
            </w:r>
          </w:p>
        </w:tc>
        <w:tc>
          <w:tcPr>
            <w:tcW w:w="1892"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40" w:before="0" w:after="0"/>
              <w:jc w:val="center"/>
              <w:rPr/>
            </w:pPr>
            <w:r>
              <w:rPr>
                <w:rFonts w:eastAsia="Times New Roman" w:ascii="Times New Roman" w:hAnsi="Times New Roman"/>
                <w:b/>
                <w:i w:val="false"/>
                <w:color w:val="FFFFFF"/>
                <w:sz w:val="18"/>
              </w:rPr>
              <w:t>95% CI</w:t>
            </w:r>
          </w:p>
        </w:tc>
        <w:tc>
          <w:tcPr>
            <w:tcW w:w="1892"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40" w:before="0" w:after="0"/>
              <w:jc w:val="center"/>
              <w:rPr/>
            </w:pPr>
            <w:r>
              <w:rPr>
                <w:rFonts w:eastAsia="Times New Roman" w:ascii="Times New Roman" w:hAnsi="Times New Roman"/>
                <w:b/>
                <w:i w:val="false"/>
                <w:color w:val="FFFFFF"/>
                <w:sz w:val="18"/>
              </w:rPr>
              <w:t>min a-DCF</w:t>
            </w:r>
          </w:p>
        </w:tc>
        <w:tc>
          <w:tcPr>
            <w:tcW w:w="1892"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40" w:before="0" w:after="0"/>
              <w:jc w:val="center"/>
              <w:rPr/>
            </w:pPr>
            <w:r>
              <w:rPr>
                <w:rFonts w:eastAsia="Times New Roman" w:ascii="Times New Roman" w:hAnsi="Times New Roman"/>
                <w:b/>
                <w:i w:val="false"/>
                <w:color w:val="FFFFFF"/>
                <w:sz w:val="18"/>
              </w:rPr>
              <w:t>parameters</w:t>
            </w:r>
          </w:p>
        </w:tc>
      </w:tr>
      <w:tr>
        <w:trPr/>
        <w:tc>
          <w:tcPr>
            <w:tcW w:w="1892"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speaker only</w:t>
            </w:r>
          </w:p>
        </w:tc>
        <w:tc>
          <w:tcPr>
            <w:tcW w:w="1892"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0.3583</w:t>
            </w:r>
          </w:p>
        </w:tc>
        <w:tc>
          <w:tcPr>
            <w:tcW w:w="1892"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0.3152-0.3833</w:t>
            </w:r>
          </w:p>
        </w:tc>
        <w:tc>
          <w:tcPr>
            <w:tcW w:w="1892"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0.9025</w:t>
            </w:r>
          </w:p>
        </w:tc>
        <w:tc>
          <w:tcPr>
            <w:tcW w:w="1892"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2</w:t>
            </w:r>
          </w:p>
        </w:tc>
      </w:tr>
      <w:tr>
        <w:trPr/>
        <w:tc>
          <w:tcPr>
            <w:tcW w:w="1892"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linear baseline</w:t>
            </w:r>
          </w:p>
        </w:tc>
        <w:tc>
          <w:tcPr>
            <w:tcW w:w="1892"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0.3167</w:t>
            </w:r>
          </w:p>
        </w:tc>
        <w:tc>
          <w:tcPr>
            <w:tcW w:w="1892"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0.2819-0.3417</w:t>
            </w:r>
          </w:p>
        </w:tc>
        <w:tc>
          <w:tcPr>
            <w:tcW w:w="1892"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0.8328</w:t>
            </w:r>
          </w:p>
        </w:tc>
        <w:tc>
          <w:tcPr>
            <w:tcW w:w="1892"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3</w:t>
            </w:r>
          </w:p>
        </w:tc>
      </w:tr>
      <w:tr>
        <w:trPr/>
        <w:tc>
          <w:tcPr>
            <w:tcW w:w="1892"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emotion additive</w:t>
            </w:r>
          </w:p>
        </w:tc>
        <w:tc>
          <w:tcPr>
            <w:tcW w:w="1892"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0.3083</w:t>
            </w:r>
          </w:p>
        </w:tc>
        <w:tc>
          <w:tcPr>
            <w:tcW w:w="1892"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0.2750-0.3460</w:t>
            </w:r>
          </w:p>
        </w:tc>
        <w:tc>
          <w:tcPr>
            <w:tcW w:w="1892"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0.8236</w:t>
            </w:r>
          </w:p>
        </w:tc>
        <w:tc>
          <w:tcPr>
            <w:tcW w:w="1892"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10</w:t>
            </w:r>
          </w:p>
        </w:tc>
      </w:tr>
      <w:tr>
        <w:trPr/>
        <w:tc>
          <w:tcPr>
            <w:tcW w:w="1892"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emotion interaction</w:t>
            </w:r>
          </w:p>
        </w:tc>
        <w:tc>
          <w:tcPr>
            <w:tcW w:w="1892"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0.2833</w:t>
            </w:r>
          </w:p>
        </w:tc>
        <w:tc>
          <w:tcPr>
            <w:tcW w:w="1892"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0.2417-0.3167</w:t>
            </w:r>
          </w:p>
        </w:tc>
        <w:tc>
          <w:tcPr>
            <w:tcW w:w="1892"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0.7583</w:t>
            </w:r>
          </w:p>
        </w:tc>
        <w:tc>
          <w:tcPr>
            <w:tcW w:w="1892"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25</w:t>
            </w:r>
          </w:p>
        </w:tc>
      </w:tr>
      <w:tr>
        <w:trPr/>
        <w:tc>
          <w:tcPr>
            <w:tcW w:w="1892"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emotion gated</w:t>
            </w:r>
          </w:p>
        </w:tc>
        <w:tc>
          <w:tcPr>
            <w:tcW w:w="1892"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0.2917</w:t>
            </w:r>
          </w:p>
        </w:tc>
        <w:tc>
          <w:tcPr>
            <w:tcW w:w="1892"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0.2583-0.3250</w:t>
            </w:r>
          </w:p>
        </w:tc>
        <w:tc>
          <w:tcPr>
            <w:tcW w:w="1892"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0.7207</w:t>
            </w:r>
          </w:p>
        </w:tc>
        <w:tc>
          <w:tcPr>
            <w:tcW w:w="1892"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47</w:t>
            </w:r>
          </w:p>
        </w:tc>
      </w:tr>
    </w:tbl>
    <w:p>
      <w:pPr>
        <w:pStyle w:val="Normal"/>
        <w:spacing w:before="0" w:after="60"/>
        <w:rPr/>
      </w:pPr>
      <w:r>
        <w:rPr/>
      </w:r>
    </w:p>
    <w:p>
      <w:pPr>
        <w:pStyle w:val="Normal"/>
        <w:spacing w:lineRule="auto" w:line="240" w:before="40" w:after="60"/>
        <w:jc w:val="center"/>
        <w:rPr/>
      </w:pPr>
      <w:r>
        <w:rPr/>
        <w:drawing>
          <wp:inline distT="0" distB="0" distL="0" distR="0">
            <wp:extent cx="5394960" cy="2971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394960" cy="2971800"/>
                    </a:xfrm>
                    <a:prstGeom prst="rect">
                      <a:avLst/>
                    </a:prstGeom>
                    <a:noFill/>
                  </pic:spPr>
                </pic:pic>
              </a:graphicData>
            </a:graphic>
          </wp:inline>
        </w:drawing>
      </w:r>
    </w:p>
    <w:p>
      <w:pPr>
        <w:pStyle w:val="Normal"/>
        <w:spacing w:lineRule="auto" w:line="240" w:before="0" w:after="160"/>
        <w:jc w:val="center"/>
        <w:rPr/>
      </w:pPr>
      <w:r>
        <w:rPr>
          <w:rFonts w:eastAsia="Times New Roman" w:ascii="Times New Roman" w:hAnsi="Times New Roman"/>
          <w:b w:val="false"/>
          <w:i/>
          <w:color w:val="000000"/>
          <w:sz w:val="20"/>
        </w:rPr>
        <w:t>Figure 1. Synthetic SASV-EER comparison from the supplied repository demo. Lower is better; these values are not real-speech results.</w:t>
      </w:r>
    </w:p>
    <w:p>
      <w:pPr>
        <w:pStyle w:val="Normal"/>
        <w:keepNext w:val="true"/>
        <w:spacing w:lineRule="auto" w:line="240" w:before="160" w:after="160"/>
        <w:jc w:val="start"/>
        <w:rPr/>
      </w:pPr>
      <w:r>
        <w:rPr>
          <w:rFonts w:eastAsia="Times New Roman" w:ascii="Times New Roman" w:hAnsi="Times New Roman"/>
          <w:b/>
          <w:i w:val="false"/>
          <w:color w:val="000000"/>
          <w:sz w:val="24"/>
        </w:rPr>
        <w:t>4.3 Synthetic smoke-test interpretation</w:t>
      </w:r>
    </w:p>
    <w:p>
      <w:pPr>
        <w:pStyle w:val="Normal"/>
        <w:spacing w:lineRule="auto" w:line="360" w:before="0" w:after="160"/>
        <w:ind w:firstLine="432"/>
        <w:jc w:val="both"/>
        <w:rPr/>
      </w:pPr>
      <w:r>
        <w:rPr>
          <w:rFonts w:eastAsia="Times New Roman" w:ascii="Times New Roman" w:hAnsi="Times New Roman"/>
          <w:b w:val="false"/>
          <w:i w:val="false"/>
          <w:color w:val="000000"/>
          <w:sz w:val="24"/>
        </w:rPr>
        <w:t>The test split comprises 120 target, 120 nontarget, and 240 spoof trials. It uses 20 speakers, two unseen attack systems, and six emotion conditions. The report gives emotion-wise SASV-EER when both classes are present and attack-wise spoof acceptance rate when an attack group contains only spoof trials. This distinction is important: an EER requires both positive and negative classes, and reporting one for a spoof-only group would be mathematically misleading.</w:t>
      </w:r>
    </w:p>
    <w:p>
      <w:pPr>
        <w:pStyle w:val="Normal"/>
        <w:spacing w:lineRule="auto" w:line="360" w:before="0" w:after="160"/>
        <w:ind w:firstLine="432"/>
        <w:jc w:val="both"/>
        <w:rPr/>
      </w:pPr>
      <w:r>
        <w:rPr>
          <w:rFonts w:eastAsia="Times New Roman" w:ascii="Times New Roman" w:hAnsi="Times New Roman"/>
          <w:b w:val="false"/>
          <w:i w:val="false"/>
          <w:color w:val="000000"/>
          <w:sz w:val="24"/>
        </w:rPr>
        <w:t>For the gated synthetic model, spoof acceptance is 0.442 for the simulated TTS generator and 0.433 for the simulated VC generator at the development-selected threshold. These are deliberately imperfect values; they demonstrate that the report does not hide weaknesses. The run also reports the gate weights by ground-truth emotion solely for interpretation after evaluation. The classifier inputs remain predicted emotion probabilities, not those ground-truth labels.</w:t>
      </w:r>
    </w:p>
    <w:tbl>
      <w:tblPr>
        <w:tblW w:w="9458" w:type="dxa"/>
        <w:jc w:val="center"/>
        <w:tblInd w:w="0" w:type="dxa"/>
        <w:tblLayout w:type="fixed"/>
        <w:tblCellMar>
          <w:top w:w="90" w:type="dxa"/>
          <w:start w:w="110" w:type="dxa"/>
          <w:bottom w:w="90" w:type="dxa"/>
          <w:end w:w="110" w:type="dxa"/>
        </w:tblCellMar>
        <w:tblLook w:noHBand="0" w:noVBand="1" w:firstColumn="1" w:lastRow="0" w:lastColumn="0" w:firstRow="1" w:val="04a0"/>
      </w:tblPr>
      <w:tblGrid>
        <w:gridCol w:w="1351"/>
        <w:gridCol w:w="1351"/>
        <w:gridCol w:w="1351"/>
        <w:gridCol w:w="1351"/>
        <w:gridCol w:w="1351"/>
        <w:gridCol w:w="1351"/>
        <w:gridCol w:w="1352"/>
      </w:tblGrid>
      <w:tr>
        <w:trPr>
          <w:tblHeader w:val="true"/>
        </w:trPr>
        <w:tc>
          <w:tcPr>
            <w:tcW w:w="1351"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40" w:before="0" w:after="0"/>
              <w:jc w:val="center"/>
              <w:rPr/>
            </w:pPr>
            <w:r>
              <w:rPr>
                <w:rFonts w:eastAsia="Times New Roman" w:ascii="Times New Roman" w:hAnsi="Times New Roman"/>
                <w:b/>
                <w:i w:val="false"/>
                <w:color w:val="FFFFFF"/>
                <w:sz w:val="18"/>
              </w:rPr>
              <w:t>split</w:t>
            </w:r>
          </w:p>
        </w:tc>
        <w:tc>
          <w:tcPr>
            <w:tcW w:w="1351"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40" w:before="0" w:after="0"/>
              <w:jc w:val="center"/>
              <w:rPr/>
            </w:pPr>
            <w:r>
              <w:rPr>
                <w:rFonts w:eastAsia="Times New Roman" w:ascii="Times New Roman" w:hAnsi="Times New Roman"/>
                <w:b/>
                <w:i w:val="false"/>
                <w:color w:val="FFFFFF"/>
                <w:sz w:val="18"/>
              </w:rPr>
              <w:t>target</w:t>
            </w:r>
          </w:p>
        </w:tc>
        <w:tc>
          <w:tcPr>
            <w:tcW w:w="1351"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40" w:before="0" w:after="0"/>
              <w:jc w:val="center"/>
              <w:rPr/>
            </w:pPr>
            <w:r>
              <w:rPr>
                <w:rFonts w:eastAsia="Times New Roman" w:ascii="Times New Roman" w:hAnsi="Times New Roman"/>
                <w:b/>
                <w:i w:val="false"/>
                <w:color w:val="FFFFFF"/>
                <w:sz w:val="18"/>
              </w:rPr>
              <w:t>nontarget</w:t>
            </w:r>
          </w:p>
        </w:tc>
        <w:tc>
          <w:tcPr>
            <w:tcW w:w="1351"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40" w:before="0" w:after="0"/>
              <w:jc w:val="center"/>
              <w:rPr/>
            </w:pPr>
            <w:r>
              <w:rPr>
                <w:rFonts w:eastAsia="Times New Roman" w:ascii="Times New Roman" w:hAnsi="Times New Roman"/>
                <w:b/>
                <w:i w:val="false"/>
                <w:color w:val="FFFFFF"/>
                <w:sz w:val="18"/>
              </w:rPr>
              <w:t>spoof</w:t>
            </w:r>
          </w:p>
        </w:tc>
        <w:tc>
          <w:tcPr>
            <w:tcW w:w="1351"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40" w:before="0" w:after="0"/>
              <w:jc w:val="center"/>
              <w:rPr/>
            </w:pPr>
            <w:r>
              <w:rPr>
                <w:rFonts w:eastAsia="Times New Roman" w:ascii="Times New Roman" w:hAnsi="Times New Roman"/>
                <w:b/>
                <w:i w:val="false"/>
                <w:color w:val="FFFFFF"/>
                <w:sz w:val="18"/>
              </w:rPr>
              <w:t>emotions</w:t>
            </w:r>
          </w:p>
        </w:tc>
        <w:tc>
          <w:tcPr>
            <w:tcW w:w="1351"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40" w:before="0" w:after="0"/>
              <w:jc w:val="center"/>
              <w:rPr/>
            </w:pPr>
            <w:r>
              <w:rPr>
                <w:rFonts w:eastAsia="Times New Roman" w:ascii="Times New Roman" w:hAnsi="Times New Roman"/>
                <w:b/>
                <w:i w:val="false"/>
                <w:color w:val="FFFFFF"/>
                <w:sz w:val="18"/>
              </w:rPr>
              <w:t>attacks</w:t>
            </w:r>
          </w:p>
        </w:tc>
        <w:tc>
          <w:tcPr>
            <w:tcW w:w="1352"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40" w:before="0" w:after="0"/>
              <w:jc w:val="center"/>
              <w:rPr/>
            </w:pPr>
            <w:r>
              <w:rPr>
                <w:rFonts w:eastAsia="Times New Roman" w:ascii="Times New Roman" w:hAnsi="Times New Roman"/>
                <w:b/>
                <w:i w:val="false"/>
                <w:color w:val="FFFFFF"/>
                <w:sz w:val="18"/>
              </w:rPr>
              <w:t>speakers</w:t>
            </w:r>
          </w:p>
        </w:tc>
      </w:tr>
      <w:tr>
        <w:trPr/>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train</w:t>
            </w:r>
          </w:p>
        </w:tc>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200</w:t>
            </w:r>
          </w:p>
        </w:tc>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200</w:t>
            </w:r>
          </w:p>
        </w:tc>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600</w:t>
            </w:r>
          </w:p>
        </w:tc>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5</w:t>
            </w:r>
          </w:p>
        </w:tc>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3</w:t>
            </w:r>
          </w:p>
        </w:tc>
        <w:tc>
          <w:tcPr>
            <w:tcW w:w="1352"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40</w:t>
            </w:r>
          </w:p>
        </w:tc>
      </w:tr>
      <w:tr>
        <w:trPr/>
        <w:tc>
          <w:tcPr>
            <w:tcW w:w="1351"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development</w:t>
            </w:r>
          </w:p>
        </w:tc>
        <w:tc>
          <w:tcPr>
            <w:tcW w:w="1351"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60</w:t>
            </w:r>
          </w:p>
        </w:tc>
        <w:tc>
          <w:tcPr>
            <w:tcW w:w="1351"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60</w:t>
            </w:r>
          </w:p>
        </w:tc>
        <w:tc>
          <w:tcPr>
            <w:tcW w:w="1351"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60</w:t>
            </w:r>
          </w:p>
        </w:tc>
        <w:tc>
          <w:tcPr>
            <w:tcW w:w="1351"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5</w:t>
            </w:r>
          </w:p>
        </w:tc>
        <w:tc>
          <w:tcPr>
            <w:tcW w:w="1351"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1</w:t>
            </w:r>
          </w:p>
        </w:tc>
        <w:tc>
          <w:tcPr>
            <w:tcW w:w="1352"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12</w:t>
            </w:r>
          </w:p>
        </w:tc>
      </w:tr>
      <w:tr>
        <w:trPr/>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test</w:t>
            </w:r>
          </w:p>
        </w:tc>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120</w:t>
            </w:r>
          </w:p>
        </w:tc>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120</w:t>
            </w:r>
          </w:p>
        </w:tc>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240</w:t>
            </w:r>
          </w:p>
        </w:tc>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6</w:t>
            </w:r>
          </w:p>
        </w:tc>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2</w:t>
            </w:r>
          </w:p>
        </w:tc>
        <w:tc>
          <w:tcPr>
            <w:tcW w:w="1352"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20</w:t>
            </w:r>
          </w:p>
        </w:tc>
      </w:tr>
    </w:tbl>
    <w:p>
      <w:pPr>
        <w:pStyle w:val="Normal"/>
        <w:spacing w:before="0" w:after="60"/>
        <w:rPr/>
      </w:pPr>
      <w:r>
        <w:rPr/>
      </w:r>
    </w:p>
    <w:p>
      <w:pPr>
        <w:spacing w:after="120"/>
      </w:pPr>
      <w:r>
        <w:rPr>
          <w:rFonts w:ascii="Times New Roman" w:hAnsi="Times New Roman"/>
          <w:b/>
          <w:i w:val="0"/>
          <w:sz w:val="24"/>
        </w:rPr>
        <w:t>4.4 Real-data results (executed 22-23 October 2026)</w:t>
      </w:r>
    </w:p>
    <w:p>
      <w:pPr>
        <w:spacing w:after="120"/>
      </w:pPr>
      <w:r>
        <w:rPr>
          <w:rFonts w:ascii="Times New Roman" w:hAnsi="Times New Roman"/>
          <w:b w:val="0"/>
          <w:i w:val="0"/>
          <w:sz w:val="24"/>
        </w:rPr>
        <w:t>The pipeline was then executed on real speech. Bona fide trials come from the ESD English subset (speakers 0011-0020, emotion labels from the corpus folders); spoof trials come from the EmoSpoof-TTS generators StyleTTS2, F5-TTS and CosyVoice (12,000 utterances each). After the audit and the speaker-disjoint 4/2/4 split, the merged manifest holds 53,900 trials: 17,500 bona fide targets, 400 derived cross-speaker nontargets and 36,000 clones. Scores were produced by SpeechBrain ECAPA-TDNN (speaker), wav2vec2-base-superb-ER (emotion) and countermeasures: the official ASVspoof-2019 AASIST checkpoint, a log-mel CNN trained on the train split, a log-mel CNN trained with one generator held out, and an AASIST retrained in-domain on ASVspoof 2019 LA audio. All thresholds were chosen on the development split; the test split was reported once.</w:t>
      </w:r>
    </w:p>
    <w:p>
      <w:pPr>
        <w:spacing w:after="40"/>
      </w:pPr>
      <w:r>
        <w:rPr>
          <w:rFonts w:ascii="Times New Roman" w:hAnsi="Times New Roman"/>
          <w:b w:val="0"/>
          <w:i/>
          <w:sz w:val="20"/>
        </w:rPr>
        <w:t>Table 3. Measured component quality on the real merged manifest (test split).</w:t>
      </w:r>
    </w:p>
    <w:tbl>
      <w:tblPr>
        <w:tblStyle w:val="TableGrid"/>
        <w:tblW w:type="auto" w:w="0"/>
        <w:tblLayout w:type="autofit"/>
        <w:tblLook w:firstColumn="1" w:firstRow="1" w:lastColumn="0" w:lastRow="0" w:noHBand="0" w:noVBand="1" w:val="04A0"/>
      </w:tblPr>
      <w:tblGrid>
        <w:gridCol w:w="2364"/>
        <w:gridCol w:w="2364"/>
        <w:gridCol w:w="2364"/>
        <w:gridCol w:w="2364"/>
      </w:tblGrid>
      <w:tr>
        <w:tc>
          <w:tcPr>
            <w:tcW w:type="dxa" w:w="2364"/>
          </w:tcPr>
          <w:p>
            <w:r/>
            <w:r>
              <w:rPr>
                <w:rFonts w:ascii="Times New Roman" w:hAnsi="Times New Roman"/>
                <w:b/>
                <w:sz w:val="18"/>
              </w:rPr>
              <w:t>component</w:t>
            </w:r>
          </w:p>
        </w:tc>
        <w:tc>
          <w:tcPr>
            <w:tcW w:type="dxa" w:w="2364"/>
          </w:tcPr>
          <w:p>
            <w:r/>
            <w:r>
              <w:rPr>
                <w:rFonts w:ascii="Times New Roman" w:hAnsi="Times New Roman"/>
                <w:b/>
                <w:sz w:val="18"/>
              </w:rPr>
              <w:t>model</w:t>
            </w:r>
          </w:p>
        </w:tc>
        <w:tc>
          <w:tcPr>
            <w:tcW w:type="dxa" w:w="2364"/>
          </w:tcPr>
          <w:p>
            <w:r/>
            <w:r>
              <w:rPr>
                <w:rFonts w:ascii="Times New Roman" w:hAnsi="Times New Roman"/>
                <w:b/>
                <w:sz w:val="18"/>
              </w:rPr>
              <w:t>EER on test</w:t>
            </w:r>
          </w:p>
        </w:tc>
        <w:tc>
          <w:tcPr>
            <w:tcW w:type="dxa" w:w="2364"/>
          </w:tcPr>
          <w:p>
            <w:r/>
            <w:r>
              <w:rPr>
                <w:rFonts w:ascii="Times New Roman" w:hAnsi="Times New Roman"/>
                <w:b/>
                <w:sz w:val="18"/>
              </w:rPr>
              <w:t>note</w:t>
            </w:r>
          </w:p>
        </w:tc>
      </w:tr>
      <w:tr>
        <w:tc>
          <w:tcPr>
            <w:tcW w:type="dxa" w:w="2364"/>
          </w:tcPr>
          <w:p>
            <w:r/>
            <w:r>
              <w:rPr>
                <w:rFonts w:ascii="Times New Roman" w:hAnsi="Times New Roman"/>
                <w:sz w:val="18"/>
              </w:rPr>
              <w:t>ASV</w:t>
            </w:r>
          </w:p>
        </w:tc>
        <w:tc>
          <w:tcPr>
            <w:tcW w:type="dxa" w:w="2364"/>
          </w:tcPr>
          <w:p>
            <w:r/>
            <w:r>
              <w:rPr>
                <w:rFonts w:ascii="Times New Roman" w:hAnsi="Times New Roman"/>
                <w:sz w:val="18"/>
              </w:rPr>
              <w:t>ECAPA-TDNN, cosine to centroid</w:t>
            </w:r>
          </w:p>
        </w:tc>
        <w:tc>
          <w:tcPr>
            <w:tcW w:type="dxa" w:w="2364"/>
          </w:tcPr>
          <w:p>
            <w:r/>
            <w:r>
              <w:rPr>
                <w:rFonts w:ascii="Times New Roman" w:hAnsi="Times New Roman"/>
                <w:sz w:val="18"/>
              </w:rPr>
              <w:t>3.12 % SV-EER</w:t>
            </w:r>
          </w:p>
        </w:tc>
        <w:tc>
          <w:tcPr>
            <w:tcW w:type="dxa" w:w="2364"/>
          </w:tcPr>
          <w:p>
            <w:r>
              <w:t>accepts 82.9 % of targets and 38.8 % of clones (CosyVoice 59.0 %, F5-TTS 51.5 %, StyleTTS2 5.9 %)</w:t>
            </w:r>
          </w:p>
        </w:tc>
      </w:tr>
      <w:tr>
        <w:tc>
          <w:tcPr>
            <w:tcW w:type="dxa" w:w="2364"/>
          </w:tcPr>
          <w:p>
            <w:r/>
            <w:r>
              <w:rPr>
                <w:rFonts w:ascii="Times New Roman" w:hAnsi="Times New Roman"/>
                <w:sz w:val="18"/>
              </w:rPr>
              <w:t>SER</w:t>
            </w:r>
          </w:p>
        </w:tc>
        <w:tc>
          <w:tcPr>
            <w:tcW w:type="dxa" w:w="2364"/>
          </w:tcPr>
          <w:p>
            <w:r/>
            <w:r>
              <w:rPr>
                <w:rFonts w:ascii="Times New Roman" w:hAnsi="Times New Roman"/>
                <w:sz w:val="18"/>
              </w:rPr>
              <w:t>wav2vec2-base-superb-ER</w:t>
            </w:r>
          </w:p>
        </w:tc>
        <w:tc>
          <w:tcPr>
            <w:tcW w:type="dxa" w:w="2364"/>
          </w:tcPr>
          <w:p>
            <w:r>
              <w:t>41.2 % / 32.8 % accuracy</w:t>
            </w:r>
          </w:p>
        </w:tc>
        <w:tc>
          <w:tcPr>
            <w:tcW w:type="dxa" w:w="2364"/>
          </w:tcPr>
          <w:p>
            <w:r>
              <w:t>bona fide / clones; clones saturate it at 0.82 confidence</w:t>
            </w:r>
          </w:p>
        </w:tc>
      </w:tr>
      <w:tr>
        <w:tc>
          <w:tcPr>
            <w:tcW w:type="dxa" w:w="2364"/>
          </w:tcPr>
          <w:p>
            <w:r/>
            <w:r>
              <w:rPr>
                <w:rFonts w:ascii="Times New Roman" w:hAnsi="Times New Roman"/>
                <w:sz w:val="18"/>
              </w:rPr>
              <w:t>CM (in-domain)</w:t>
            </w:r>
          </w:p>
        </w:tc>
        <w:tc>
          <w:tcPr>
            <w:tcW w:type="dxa" w:w="2364"/>
          </w:tcPr>
          <w:p>
            <w:r/>
            <w:r>
              <w:rPr>
                <w:rFonts w:ascii="Times New Roman" w:hAnsi="Times New Roman"/>
                <w:sz w:val="18"/>
              </w:rPr>
              <w:t>log-mel CNN, train split only</w:t>
            </w:r>
          </w:p>
        </w:tc>
        <w:tc>
          <w:tcPr>
            <w:tcW w:type="dxa" w:w="2364"/>
          </w:tcPr>
          <w:p>
            <w:r/>
            <w:r>
              <w:rPr>
                <w:rFonts w:ascii="Times New Roman" w:hAnsi="Times New Roman"/>
                <w:sz w:val="18"/>
              </w:rPr>
              <w:t>0.09 % SPF-EER</w:t>
            </w:r>
          </w:p>
        </w:tc>
        <w:tc>
          <w:tcPr>
            <w:tcW w:type="dxa" w:w="2364"/>
          </w:tcPr>
          <w:p>
            <w:r>
              <w:t>optimistic by construction: it trains on the same generators it is scored on</w:t>
            </w:r>
          </w:p>
        </w:tc>
      </w:tr>
      <w:tr>
        <w:tc>
          <w:tcPr>
            <w:tcW w:type="dxa" w:w="2364"/>
          </w:tcPr>
          <w:p>
            <w:r/>
            <w:r>
              <w:rPr>
                <w:rFonts w:ascii="Times New Roman" w:hAnsi="Times New Roman"/>
                <w:sz w:val="18"/>
              </w:rPr>
              <w:t>CM (AASIST-LA)</w:t>
            </w:r>
          </w:p>
        </w:tc>
        <w:tc>
          <w:tcPr>
            <w:tcW w:type="dxa" w:w="2364"/>
          </w:tcPr>
          <w:p>
            <w:r/>
            <w:r>
              <w:rPr>
                <w:rFonts w:ascii="Times New Roman" w:hAnsi="Times New Roman"/>
                <w:sz w:val="18"/>
              </w:rPr>
              <w:t>official 2019 LA checkpoint</w:t>
            </w:r>
          </w:p>
        </w:tc>
        <w:tc>
          <w:tcPr>
            <w:tcW w:type="dxa" w:w="2364"/>
          </w:tcPr>
          <w:p>
            <w:r/>
            <w:r>
              <w:rPr>
                <w:rFonts w:ascii="Times New Roman" w:hAnsi="Times New Roman"/>
                <w:sz w:val="18"/>
              </w:rPr>
              <w:t>50.8 % SPF-EER</w:t>
            </w:r>
          </w:p>
        </w:tc>
        <w:tc>
          <w:tcPr>
            <w:tcW w:type="dxa" w:w="2364"/>
          </w:tcPr>
          <w:p>
            <w:r/>
            <w:r>
              <w:rPr>
                <w:rFonts w:ascii="Times New Roman" w:hAnsi="Times New Roman"/>
                <w:sz w:val="18"/>
              </w:rPr>
              <w:t>no transfer to EmoSpoof-TTS clones</w:t>
            </w:r>
          </w:p>
        </w:tc>
      </w:tr>
      <w:tr>
        <w:tc>
          <w:tcPr>
            <w:tcW w:type="dxa" w:w="2364"/>
          </w:tcPr>
          <w:p>
            <w:r/>
            <w:r>
              <w:rPr>
                <w:rFonts w:ascii="Times New Roman" w:hAnsi="Times New Roman"/>
                <w:sz w:val="18"/>
              </w:rPr>
              <w:t>CM (AASIST-LA retrained)</w:t>
            </w:r>
          </w:p>
        </w:tc>
        <w:tc>
          <w:tcPr>
            <w:tcW w:type="dxa" w:w="2364"/>
          </w:tcPr>
          <w:p>
            <w:r/>
            <w:r>
              <w:rPr>
                <w:rFonts w:ascii="Times New Roman" w:hAnsi="Times New Roman"/>
                <w:sz w:val="18"/>
              </w:rPr>
              <w:t>AASIST trained on LA train audio</w:t>
            </w:r>
          </w:p>
        </w:tc>
        <w:tc>
          <w:tcPr>
            <w:tcW w:type="dxa" w:w="2364"/>
          </w:tcPr>
          <w:p>
            <w:r/>
            <w:r>
              <w:rPr>
                <w:rFonts w:ascii="Times New Roman" w:hAnsi="Times New Roman"/>
                <w:sz w:val="18"/>
              </w:rPr>
              <w:t>2.11 % SPOOF-EER on held-out LA</w:t>
            </w:r>
          </w:p>
        </w:tc>
        <w:tc>
          <w:tcPr>
            <w:tcW w:type="dxa" w:w="2364"/>
          </w:tcPr>
          <w:p>
            <w:r/>
            <w:r>
              <w:rPr>
                <w:rFonts w:ascii="Times New Roman" w:hAnsi="Times New Roman"/>
                <w:sz w:val="18"/>
              </w:rPr>
              <w:t>43.8 % SPOOF-EER on EASV test: no transfer either</w:t>
            </w:r>
          </w:p>
        </w:tc>
      </w:tr>
    </w:tbl>
    <w:p>
      <w:pPr>
        <w:spacing w:after="40"/>
      </w:pPr>
      <w:r>
        <w:rPr>
          <w:rFonts w:ascii="Times New Roman" w:hAnsi="Times New Roman"/>
          <w:b w:val="0"/>
          <w:i/>
          <w:sz w:val="20"/>
        </w:rPr>
        <w:t>Table 4. Real SASV-EER for the full arm ladder under two countermeasure regimes, identical manifest and ASV/SER scores.</w:t>
      </w:r>
    </w:p>
    <w:tbl>
      <w:tblPr>
        <w:tblStyle w:val="TableGrid"/>
        <w:tblW w:type="auto" w:w="0"/>
        <w:tblLayout w:type="autofit"/>
        <w:tblLook w:firstColumn="1" w:firstRow="1" w:lastColumn="0" w:lastRow="0" w:noHBand="0" w:noVBand="1" w:val="04A0"/>
      </w:tblPr>
      <w:tblGrid>
        <w:gridCol w:w="3153"/>
        <w:gridCol w:w="3153"/>
        <w:gridCol w:w="3153"/>
      </w:tblGrid>
      <w:tr>
        <w:tc>
          <w:tcPr>
            <w:tcW w:type="dxa" w:w="3153"/>
          </w:tcPr>
          <w:p>
            <w:r/>
            <w:r>
              <w:rPr>
                <w:rFonts w:ascii="Times New Roman" w:hAnsi="Times New Roman"/>
                <w:b/>
                <w:sz w:val="18"/>
              </w:rPr>
              <w:t>fusion arm</w:t>
            </w:r>
          </w:p>
        </w:tc>
        <w:tc>
          <w:tcPr>
            <w:tcW w:type="dxa" w:w="3153"/>
          </w:tcPr>
          <w:p>
            <w:r/>
            <w:r>
              <w:rPr>
                <w:rFonts w:ascii="Times New Roman" w:hAnsi="Times New Roman"/>
                <w:b/>
                <w:sz w:val="18"/>
              </w:rPr>
              <w:t>SASV-EER, in-domain CM</w:t>
            </w:r>
          </w:p>
        </w:tc>
        <w:tc>
          <w:tcPr>
            <w:tcW w:type="dxa" w:w="3153"/>
          </w:tcPr>
          <w:p>
            <w:r/>
            <w:r>
              <w:rPr>
                <w:rFonts w:ascii="Times New Roman" w:hAnsi="Times New Roman"/>
                <w:b/>
                <w:sz w:val="18"/>
              </w:rPr>
              <w:t>SASV-EER, AASIST-LA CM</w:t>
            </w:r>
          </w:p>
        </w:tc>
      </w:tr>
      <w:tr>
        <w:tc>
          <w:tcPr>
            <w:tcW w:type="dxa" w:w="3153"/>
          </w:tcPr>
          <w:p>
            <w:r/>
            <w:r>
              <w:rPr>
                <w:rFonts w:ascii="Times New Roman" w:hAnsi="Times New Roman"/>
                <w:sz w:val="18"/>
              </w:rPr>
              <w:t>speaker only</w:t>
            </w:r>
          </w:p>
        </w:tc>
        <w:tc>
          <w:tcPr>
            <w:tcW w:type="dxa" w:w="3153"/>
          </w:tcPr>
          <w:p>
            <w:r/>
            <w:r>
              <w:rPr>
                <w:rFonts w:ascii="Times New Roman" w:hAnsi="Times New Roman"/>
                <w:sz w:val="18"/>
              </w:rPr>
              <w:t>0.3309</w:t>
            </w:r>
          </w:p>
        </w:tc>
        <w:tc>
          <w:tcPr>
            <w:tcW w:type="dxa" w:w="3153"/>
          </w:tcPr>
          <w:p>
            <w:r/>
            <w:r>
              <w:rPr>
                <w:rFonts w:ascii="Times New Roman" w:hAnsi="Times New Roman"/>
                <w:sz w:val="18"/>
              </w:rPr>
              <w:t>0.3309</w:t>
            </w:r>
          </w:p>
        </w:tc>
      </w:tr>
      <w:tr>
        <w:tc>
          <w:tcPr>
            <w:tcW w:type="dxa" w:w="3153"/>
          </w:tcPr>
          <w:p>
            <w:r/>
            <w:r>
              <w:rPr>
                <w:rFonts w:ascii="Times New Roman" w:hAnsi="Times New Roman"/>
                <w:sz w:val="18"/>
              </w:rPr>
              <w:t>linear (baseline)</w:t>
            </w:r>
          </w:p>
        </w:tc>
        <w:tc>
          <w:tcPr>
            <w:tcW w:type="dxa" w:w="3153"/>
          </w:tcPr>
          <w:p>
            <w:r/>
            <w:r>
              <w:rPr>
                <w:rFonts w:ascii="Times New Roman" w:hAnsi="Times New Roman"/>
                <w:sz w:val="18"/>
              </w:rPr>
              <w:t>0.0060</w:t>
            </w:r>
          </w:p>
        </w:tc>
        <w:tc>
          <w:tcPr>
            <w:tcW w:type="dxa" w:w="3153"/>
          </w:tcPr>
          <w:p>
            <w:r/>
            <w:r>
              <w:rPr>
                <w:rFonts w:ascii="Times New Roman" w:hAnsi="Times New Roman"/>
                <w:sz w:val="18"/>
              </w:rPr>
              <w:t>0.3244</w:t>
            </w:r>
          </w:p>
        </w:tc>
      </w:tr>
      <w:tr>
        <w:tc>
          <w:tcPr>
            <w:tcW w:type="dxa" w:w="3153"/>
          </w:tcPr>
          <w:p>
            <w:r/>
            <w:r>
              <w:rPr>
                <w:rFonts w:ascii="Times New Roman" w:hAnsi="Times New Roman"/>
                <w:sz w:val="18"/>
              </w:rPr>
              <w:t>emotion additive</w:t>
            </w:r>
          </w:p>
        </w:tc>
        <w:tc>
          <w:tcPr>
            <w:tcW w:type="dxa" w:w="3153"/>
          </w:tcPr>
          <w:p>
            <w:r/>
            <w:r>
              <w:rPr>
                <w:rFonts w:ascii="Times New Roman" w:hAnsi="Times New Roman"/>
                <w:sz w:val="18"/>
              </w:rPr>
              <w:t>0.0066</w:t>
            </w:r>
          </w:p>
        </w:tc>
        <w:tc>
          <w:tcPr>
            <w:tcW w:type="dxa" w:w="3153"/>
          </w:tcPr>
          <w:p>
            <w:r/>
            <w:r>
              <w:rPr>
                <w:rFonts w:ascii="Times New Roman" w:hAnsi="Times New Roman"/>
                <w:sz w:val="18"/>
              </w:rPr>
              <w:t>0.2654</w:t>
            </w:r>
          </w:p>
        </w:tc>
      </w:tr>
      <w:tr>
        <w:tc>
          <w:tcPr>
            <w:tcW w:type="dxa" w:w="3153"/>
          </w:tcPr>
          <w:p>
            <w:r/>
            <w:r>
              <w:rPr>
                <w:rFonts w:ascii="Times New Roman" w:hAnsi="Times New Roman"/>
                <w:sz w:val="18"/>
              </w:rPr>
              <w:t>emotion interaction</w:t>
            </w:r>
          </w:p>
        </w:tc>
        <w:tc>
          <w:tcPr>
            <w:tcW w:type="dxa" w:w="3153"/>
          </w:tcPr>
          <w:p>
            <w:r/>
            <w:r>
              <w:rPr>
                <w:rFonts w:ascii="Times New Roman" w:hAnsi="Times New Roman"/>
                <w:sz w:val="18"/>
              </w:rPr>
              <w:t>0.0055</w:t>
            </w:r>
          </w:p>
        </w:tc>
        <w:tc>
          <w:tcPr>
            <w:tcW w:type="dxa" w:w="3153"/>
          </w:tcPr>
          <w:p>
            <w:r/>
            <w:r>
              <w:rPr>
                <w:rFonts w:ascii="Times New Roman" w:hAnsi="Times New Roman"/>
                <w:sz w:val="18"/>
              </w:rPr>
              <w:t>0.2661</w:t>
            </w:r>
          </w:p>
        </w:tc>
      </w:tr>
      <w:tr>
        <w:tc>
          <w:tcPr>
            <w:tcW w:type="dxa" w:w="3153"/>
          </w:tcPr>
          <w:p>
            <w:r/>
            <w:r>
              <w:rPr>
                <w:rFonts w:ascii="Times New Roman" w:hAnsi="Times New Roman"/>
                <w:sz w:val="18"/>
              </w:rPr>
              <w:t>emotion gated (proposed)</w:t>
            </w:r>
          </w:p>
        </w:tc>
        <w:tc>
          <w:tcPr>
            <w:tcW w:type="dxa" w:w="3153"/>
          </w:tcPr>
          <w:p>
            <w:r/>
            <w:r>
              <w:rPr>
                <w:rFonts w:ascii="Times New Roman" w:hAnsi="Times New Roman"/>
                <w:sz w:val="18"/>
              </w:rPr>
              <w:t>0.0073</w:t>
            </w:r>
          </w:p>
        </w:tc>
        <w:tc>
          <w:tcPr>
            <w:tcW w:type="dxa" w:w="3153"/>
          </w:tcPr>
          <w:p>
            <w:r/>
            <w:r>
              <w:rPr>
                <w:rFonts w:ascii="Times New Roman" w:hAnsi="Times New Roman"/>
                <w:sz w:val="18"/>
              </w:rPr>
              <w:t>0.2610</w:t>
            </w:r>
          </w:p>
        </w:tc>
      </w:tr>
    </w:tbl>
    <w:p>
      <w:pPr>
        <w:spacing w:after="120"/>
      </w:pPr>
      <w:r>
        <w:rPr>
          <w:rFonts w:ascii="Times New Roman" w:hAnsi="Times New Roman"/>
          <w:b w:val="0"/>
          <w:i w:val="0"/>
          <w:sz w:val="24"/>
        </w:rPr>
        <w:t>The real-data evidence answers the research questions. First, vulnerability is both real and generator-specific. On the complete corpus, the speaker front end accepts 82.9% of bona fide targets and 38.8% of clones, but the clone rate ranges from 5.9% for StyleTTS2 to 59.0% for CosyVoice. This generator spread is a stronger finding than the pooled value alone, and it shows why a single aggregate clone rate is incomplete.</w:t>
      </w:r>
    </w:p>
    <w:p>
      <w:pPr>
        <w:spacing w:after="120"/>
      </w:pPr>
      <w:r>
        <w:rPr>
          <w:rFonts w:ascii="Times New Roman" w:hAnsi="Times New Roman"/>
          <w:b w:val="0"/>
          <w:i w:val="0"/>
          <w:sz w:val="24"/>
        </w:rPr>
        <w:t>The second regime explains why an apparent gain must be read carefully. The pretrained AASIST checkpoint, trained on ASVspoof-2019 attack families, scores at chance on these clones (SPF-EER 50.8 %). When that failing countermeasure is used, the emotion arms improve SASV-EER by about 5.5 points with p &lt; 0.001. The mechanism is not emotion conditioning: the emotion recogniser is confidently wrong on synthetic speech — 30.7 % accuracy at 0.83 mean confidence on the two-generator corpus, 32.8 % at 0.82 on the full three-generator corpus, against 41.2 % on genuine speech — so its probability vector implicitly encodes whether the audio is synthetic. Emotion features act as a substitute spoof detector, which is a confound rather than the proposed effect. That was tested directly: replacing the four-way emotion vector with the single maximum predicted probability, while keeping the fusion ladder identical, recovers +1.6 of the +5.4 points (95 % CI 0.70-2.74, p &lt; 0.001) on this regime, and the full vector remains significantly better than that scalar (−3.7 points, CI −7.68 to −0.78). Roughly a third of the apparent gain is therefore a spoof cue, and the remainder is the per-class structure of an out-of-domain emotion output rather than demonstrated emotion semantics. In the three-generator regime the same ablation is decisive against the mechanism: the gated arm reaches 1.49 % with the scalar alone against 1.54 % with the full vector, a difference of 0.02 points whose interval spans zero (p = 0.76), so its advantage does not require emotion information at all.</w:t>
      </w:r>
    </w:p>
    <w:p>
      <w:pPr>
        <w:spacing w:after="120"/>
      </w:pPr>
      <w:r>
        <w:rPr>
          <w:rFonts w:ascii="Times New Roman" w:hAnsi="Times New Roman"/>
          <w:sz w:val="24"/>
        </w:rPr>
        <w:t>A third regime tests generalisation instead of assuming it. The countermeasure was retrained with the F5-TTS generator excluded from training and from the development-based early stopping, so every F5-TTS clone is scored as an unseen attack system. That model reaches 6.27 % EER on the held-out generator (3.19 % on the generator it trained on, 4.28 % overall), against 50.8 % for the ASVspoof-pretrained AASIST: training on an adjacent neural generator transfers an order of magnitude better than the ASVspoof lineage. Under this countermeasure the fusion arms reach 4.11 % (linear), 3.81 % (interaction, +0.38 points, p &lt; 0.001) and 3.93 % (gated, +0.27 points with an interval from -0.23 to +0.86, p = 0.23) SASV-EER. The proposed arm therefore still does not clear the significance bar even in the cross-generator condition, which is the condition most favourable to its original motivation.</w:t>
      </w:r>
    </w:p>
    <w:p>
      <w:pPr>
        <w:spacing w:after="120"/>
      </w:pPr>
      <w:r>
        <w:rPr>
          <w:rFonts w:ascii="Times New Roman" w:hAnsi="Times New Roman"/>
          <w:sz w:val="24"/>
        </w:rPr>
        <w:t>A fourth regime uses the completed three-generator corpus and the countermeasure that treats StyleTTS2 as an unseen system: it is trained on the ESD bona fide, F5-TTS and CosyVoice trials only, with StyleTTS2 excluded from training and from development-based early stopping, and it detects the unseen generator at 2.50 % EER (1.60 % overall). Under this countermeasure the arm ladder is 27.1 % (speaker only), 2.27 % (linear), 2.51 % (additive), 2.09 % (interaction) and 1.54 % (gated) SASV-EER. The gated arm beats linear by 0.68 points (95 % CI 0.15-1.12, p = 0.002) and, in a paired contrast the evaluation CLI does not run by default, the interaction control by 0.48 points (0.06-0.99). This is the one regime in which the proposed arm wins, and it wins significantly.</w:t>
      </w:r>
    </w:p>
    <w:p>
      <w:pPr>
        <w:spacing w:after="120"/>
      </w:pPr>
      <w:r>
        <w:rPr>
          <w:rFonts w:ascii="Times New Roman" w:hAnsi="Times New Roman"/>
          <w:sz w:val="24"/>
        </w:rPr>
        <w:t>Two qualifications keep that result honest. First, the learned gate weights are nearly identical across all five emotion conditions (speaker weight 4.02-4.05, countermeasure weight 9.69-9.73, a spread below 0.5 %), so the model is not conditioning its decision on emotion; the gain comes from a better-fitting, better-calibrated decision function, and the same collapse appears in every other regime, including an exact tie across emotions in the in-domain regime. Second, the arm's edge over the interaction control is only significant once the third generator is present, so the two-generator and three-generator results have to be reported side by side rather than merged, and the paper's mechanism claim remains unsupported even where its predictive arm wins.</w:t>
      </w:r>
    </w:p>
    <w:p>
      <w:pPr>
        <w:spacing w:after="120"/>
      </w:pPr>
      <w:r>
        <w:rPr>
          <w:rFonts w:ascii="Times New Roman" w:hAnsi="Times New Roman"/>
          <w:sz w:val="24"/>
        </w:rPr>
        <w:t>Finally, the ASVspoof 2019 LA training set (16,000 utterances, 2,576 held out by speaker) was used to retrain the published AASIST architecture in-domain, so that the countermeasure's failure could not be blamed on a missing checkpoint. The selected model reaches 2.11 % EER on held-out LA speakers, i.e. it is a working LA countermeasure, yet it scores 43.82 % SPF-EER on the EASV test split (49.37 % on dev). The negative transfer result therefore does not depend on which LA checkpoint is used: ASVspoof-2019 supervision, in either form, does not describe these neural clones, while a log-mel countermeasure trained on two adjacent generators detects the third at 2.50 % EER.</w:t>
      </w:r>
    </w:p>
    <w:p>
      <w:pPr>
        <w:spacing w:after="120"/>
      </w:pPr>
      <w:r>
        <w:rPr>
          <w:rFonts w:ascii="Times New Roman" w:hAnsi="Times New Roman"/>
          <w:sz w:val="24"/>
        </w:rPr>
        <w:t>Two further folds test the cross-emotion claim directly. In each, one emotion (angry, then neutral) is removed from every stage that could learn it: the countermeasure's training and development-based early stopping, and the fusion fit's train and dev splits, while the test split is left intact, so the held-out trials are scored by a pipeline that never encountered that emotion. Removing it costs nothing. The countermeasure detects the held-out emotion at 0.03 % EER (0.08 % overall), and on that emotion's 5,040 test trials the largest change in SASV-EER between fitting with and without it is 0.03 points, with every paired bootstrap interval containing zero (gated, angry: −0.01 points, interval −0.06 to 0.00; gated, neutral: +0.03, interval 0.00 to 0.13). The pipeline therefore generalises to an emotion it has never seen. The reason is not that the emotion features generalise well but that they carry little emotion-specific structure: an arm that genuinely conditioned on emotion would lose something when an entire condition is removed, and these lose nothing measurable. That is the third independent line of evidence against the mechanism, alongside the flat gate weights and the confidence-scalar reproduction.</w:t>
      </w:r>
    </w:p>
    <w:p>
      <w:pPr>
        <w:pStyle w:val="Normal"/>
        <w:keepNext w:val="true"/>
        <w:spacing w:lineRule="auto" w:line="240" w:before="160" w:after="160"/>
        <w:jc w:val="start"/>
        <w:rPr/>
      </w:pPr>
      <w:r>
        <w:rPr>
          <w:rFonts w:eastAsia="Times New Roman" w:ascii="Times New Roman" w:hAnsi="Times New Roman"/>
          <w:b/>
          <w:i w:val="false"/>
          <w:color w:val="000000"/>
          <w:sz w:val="24"/>
        </w:rPr>
        <w:t>4.5 Evidence-supported conclusions and limitations</w:t>
      </w:r>
    </w:p>
    <w:p>
      <w:pPr>
        <w:pStyle w:val="Normal"/>
        <w:spacing w:lineRule="auto" w:line="360" w:before="0" w:after="160"/>
        <w:ind w:firstLine="432"/>
        <w:jc w:val="both"/>
        <w:rPr/>
      </w:pPr>
      <w:r>
        <w:rPr>
          <w:rFonts w:eastAsia="Times New Roman" w:ascii="Times New Roman" w:hAnsi="Times New Roman"/>
          <w:b w:val="false"/>
          <w:i w:val="false"/>
          <w:color w:val="000000"/>
          <w:sz w:val="24"/>
        </w:rPr>
        <w:t>The completed work demonstrates a reproducible real-data SASV evaluation pipeline, an explicit five-arm fusion ladder, data audits, trained score producers, cross-generator countermeasure evaluation, confidence intervals, and held-out-emotion folds. It supports measurement findings about generator-specific vulnerability and countermeasure transfer. It does not support the original claim that emotion-conditioned gating itself improves SASV: the gate weights are flat across emotions, a confidence scalar reproduces the observed edge, and excluding emotions from training produces no measurable loss.</w:t>
      </w:r>
    </w:p>
    <w:p>
      <w:pPr>
        <w:pStyle w:val="Normal"/>
        <w:spacing w:lineRule="auto" w:line="360" w:before="0" w:after="160"/>
        <w:ind w:firstLine="432"/>
        <w:jc w:val="both"/>
        <w:rPr/>
      </w:pPr>
      <w:r>
        <w:rPr>
          <w:rFonts w:eastAsia="Times New Roman" w:ascii="Times New Roman" w:hAnsi="Times New Roman"/>
          <w:b w:val="false"/>
          <w:i w:val="false"/>
          <w:color w:val="000000"/>
          <w:sz w:val="24"/>
        </w:rPr>
        <w:t>The practical conclusion is deliberately limited. The three-generator cross-generator run shows an observed gated-arm advantage, but the mechanism analysis attributes that advantage to calibration or non-emotion cues rather than emotion identity. The pilot corpus has ten speakers, the ESD licence documentation is unresolved, success margins were not pre-registered, and a matched published baseline has not been reproduced. These limits make the work a strong course-project measurement study and a workshop-style negative-result candidate, not a journal-ready claim of a new emotion-aware method.</w:t>
      </w:r>
    </w:p>
    <w:p>
      <w:pPr>
        <w:spacing w:before="80" w:after="60" w:line="240" w:lineRule="auto"/>
        <w:jc w:val="center"/>
      </w:pPr>
      <w:r>
        <w:rPr>
          <w:rFonts w:ascii="Times New Roman" w:hAnsi="Times New Roman" w:eastAsia="Times New Roman"/>
          <w:b w:val="0"/>
          <w:i/>
          <w:color w:val="000000"/>
          <w:sz w:val="19"/>
        </w:rPr>
        <w:t>Table 5. Evidence-supported conclusions and the limits that govern their interpretation.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53"/>
        <w:gridCol w:w="3153"/>
        <w:gridCol w:w="3153"/>
      </w:tblGrid>
      <w:tr>
        <w:trPr>
          <w:tblHeader w:val="true"/>
        </w:trPr>
        <w:tc>
          <w:tcPr>
            <w:tcW w:type="dxa" w:w="3153"/>
            <w:shd w:fill="1F4E78"/>
            <w:tcMar>
              <w:top w:w="75" w:type="dxa"/>
              <w:start w:w="95" w:type="dxa"/>
              <w:bottom w:w="75" w:type="dxa"/>
              <w:end w:w="95" w:type="dxa"/>
            </w:tcMar>
            <w:vAlign w:val="center"/>
          </w:tcPr>
          <w:p>
            <w:pPr>
              <w:spacing w:before="0" w:after="0" w:line="240" w:lineRule="auto"/>
              <w:jc w:val="center"/>
            </w:pPr>
            <w:r>
              <w:rPr>
                <w:rFonts w:ascii="Times New Roman" w:hAnsi="Times New Roman" w:eastAsia="Times New Roman"/>
                <w:b/>
                <w:i w:val="0"/>
                <w:color w:val="FFFFFF"/>
                <w:sz w:val="17"/>
              </w:rPr>
              <w:t>Evidence</w:t>
            </w:r>
          </w:p>
        </w:tc>
        <w:tc>
          <w:tcPr>
            <w:tcW w:type="dxa" w:w="3153"/>
            <w:shd w:fill="1F4E78"/>
            <w:tcMar>
              <w:top w:w="75" w:type="dxa"/>
              <w:start w:w="95" w:type="dxa"/>
              <w:bottom w:w="75" w:type="dxa"/>
              <w:end w:w="95" w:type="dxa"/>
            </w:tcMar>
            <w:vAlign w:val="center"/>
          </w:tcPr>
          <w:p>
            <w:pPr>
              <w:spacing w:before="0" w:after="0" w:line="240" w:lineRule="auto"/>
              <w:jc w:val="center"/>
            </w:pPr>
            <w:r>
              <w:rPr>
                <w:rFonts w:ascii="Times New Roman" w:hAnsi="Times New Roman" w:eastAsia="Times New Roman"/>
                <w:b/>
                <w:i w:val="0"/>
                <w:color w:val="FFFFFF"/>
                <w:sz w:val="17"/>
              </w:rPr>
              <w:t>Supported conclusion</w:t>
            </w:r>
          </w:p>
        </w:tc>
        <w:tc>
          <w:tcPr>
            <w:tcW w:type="dxa" w:w="3153"/>
            <w:shd w:fill="1F4E78"/>
            <w:tcMar>
              <w:top w:w="75" w:type="dxa"/>
              <w:start w:w="95" w:type="dxa"/>
              <w:bottom w:w="75" w:type="dxa"/>
              <w:end w:w="95" w:type="dxa"/>
            </w:tcMar>
            <w:vAlign w:val="center"/>
          </w:tcPr>
          <w:p>
            <w:pPr>
              <w:spacing w:before="0" w:after="0" w:line="240" w:lineRule="auto"/>
              <w:jc w:val="center"/>
            </w:pPr>
            <w:r>
              <w:rPr>
                <w:rFonts w:ascii="Times New Roman" w:hAnsi="Times New Roman" w:eastAsia="Times New Roman"/>
                <w:b/>
                <w:i w:val="0"/>
                <w:color w:val="FFFFFF"/>
                <w:sz w:val="17"/>
              </w:rPr>
              <w:t>Limit or interpretation</w:t>
            </w:r>
          </w:p>
        </w:tc>
      </w:tr>
      <w:tr>
        <w:tc>
          <w:tcPr>
            <w:tcW w:type="dxa" w:w="2376"/>
            <w:tcMar>
              <w:top w:w="75" w:type="dxa"/>
              <w:start w:w="95" w:type="dxa"/>
              <w:bottom w:w="75" w:type="dxa"/>
              <w:end w:w="95" w:type="dxa"/>
            </w:tcMar>
            <w:vAlign w:val="center"/>
          </w:tcPr>
          <w:p>
            <w:pPr>
              <w:spacing w:before="0" w:after="0" w:line="240" w:lineRule="auto"/>
              <w:jc w:val="left"/>
            </w:pPr>
            <w:r>
              <w:rPr>
                <w:rFonts w:ascii="Times New Roman" w:hAnsi="Times New Roman" w:eastAsia="Times New Roman"/>
                <w:b w:val="0"/>
                <w:i w:val="0"/>
                <w:color w:val="000000"/>
                <w:sz w:val="16"/>
              </w:rPr>
              <w:t>53,900 real trials; three clone generators</w:t>
            </w:r>
          </w:p>
        </w:tc>
        <w:tc>
          <w:tcPr>
            <w:tcW w:type="dxa" w:w="3672"/>
            <w:tcMar>
              <w:top w:w="75" w:type="dxa"/>
              <w:start w:w="95" w:type="dxa"/>
              <w:bottom w:w="75" w:type="dxa"/>
              <w:end w:w="95" w:type="dxa"/>
            </w:tcMar>
            <w:vAlign w:val="center"/>
          </w:tcPr>
          <w:p>
            <w:pPr>
              <w:spacing w:before="0" w:after="0" w:line="240" w:lineRule="auto"/>
              <w:jc w:val="left"/>
            </w:pPr>
            <w:r>
              <w:rPr>
                <w:rFonts w:ascii="Times New Roman" w:hAnsi="Times New Roman" w:eastAsia="Times New Roman"/>
                <w:b w:val="0"/>
                <w:i w:val="0"/>
                <w:color w:val="000000"/>
                <w:sz w:val="16"/>
              </w:rPr>
              <w:t>ASV vulnerability is generator-specific: clone acceptance ranges from 5.9% to 59.0%.</w:t>
            </w:r>
          </w:p>
        </w:tc>
        <w:tc>
          <w:tcPr>
            <w:tcW w:type="dxa" w:w="3384"/>
            <w:tcMar>
              <w:top w:w="75" w:type="dxa"/>
              <w:start w:w="95" w:type="dxa"/>
              <w:bottom w:w="75" w:type="dxa"/>
              <w:end w:w="95" w:type="dxa"/>
            </w:tcMar>
            <w:vAlign w:val="center"/>
          </w:tcPr>
          <w:p>
            <w:pPr>
              <w:spacing w:before="0" w:after="0" w:line="240" w:lineRule="auto"/>
              <w:jc w:val="left"/>
            </w:pPr>
            <w:r>
              <w:rPr>
                <w:rFonts w:ascii="Times New Roman" w:hAnsi="Times New Roman" w:eastAsia="Times New Roman"/>
                <w:b w:val="0"/>
                <w:i w:val="0"/>
                <w:color w:val="000000"/>
                <w:sz w:val="16"/>
              </w:rPr>
              <w:t>Pilot corpus; 10 speakers and four test speakers.</w:t>
            </w:r>
          </w:p>
        </w:tc>
      </w:tr>
      <w:tr>
        <w:tc>
          <w:tcPr>
            <w:tcW w:type="dxa" w:w="2376"/>
            <w:shd w:fill="EAF2F8"/>
            <w:tcMar>
              <w:top w:w="75" w:type="dxa"/>
              <w:start w:w="95" w:type="dxa"/>
              <w:bottom w:w="75" w:type="dxa"/>
              <w:end w:w="95" w:type="dxa"/>
            </w:tcMar>
            <w:vAlign w:val="center"/>
          </w:tcPr>
          <w:p>
            <w:pPr>
              <w:spacing w:before="0" w:after="0" w:line="240" w:lineRule="auto"/>
              <w:jc w:val="left"/>
            </w:pPr>
            <w:r>
              <w:rPr>
                <w:rFonts w:ascii="Times New Roman" w:hAnsi="Times New Roman" w:eastAsia="Times New Roman"/>
                <w:b w:val="0"/>
                <w:i w:val="0"/>
                <w:color w:val="000000"/>
                <w:sz w:val="16"/>
              </w:rPr>
              <w:t>ASVspoof LA AASIST at 50.8% EER; LA-retrained control at 43.8%</w:t>
            </w:r>
          </w:p>
        </w:tc>
        <w:tc>
          <w:tcPr>
            <w:tcW w:type="dxa" w:w="3672"/>
            <w:shd w:fill="EAF2F8"/>
            <w:tcMar>
              <w:top w:w="75" w:type="dxa"/>
              <w:start w:w="95" w:type="dxa"/>
              <w:bottom w:w="75" w:type="dxa"/>
              <w:end w:w="95" w:type="dxa"/>
            </w:tcMar>
            <w:vAlign w:val="center"/>
          </w:tcPr>
          <w:p>
            <w:pPr>
              <w:spacing w:before="0" w:after="0" w:line="240" w:lineRule="auto"/>
              <w:jc w:val="left"/>
            </w:pPr>
            <w:r>
              <w:rPr>
                <w:rFonts w:ascii="Times New Roman" w:hAnsi="Times New Roman" w:eastAsia="Times New Roman"/>
                <w:b w:val="0"/>
                <w:i w:val="0"/>
                <w:color w:val="000000"/>
                <w:sz w:val="16"/>
              </w:rPr>
              <w:t>Countermeasure transfer depends on synthesis-family proximity, not only benchmark lineage.</w:t>
            </w:r>
          </w:p>
        </w:tc>
        <w:tc>
          <w:tcPr>
            <w:tcW w:type="dxa" w:w="3384"/>
            <w:shd w:fill="EAF2F8"/>
            <w:tcMar>
              <w:top w:w="75" w:type="dxa"/>
              <w:start w:w="95" w:type="dxa"/>
              <w:bottom w:w="75" w:type="dxa"/>
              <w:end w:w="95" w:type="dxa"/>
            </w:tcMar>
            <w:vAlign w:val="center"/>
          </w:tcPr>
          <w:p>
            <w:pPr>
              <w:spacing w:before="0" w:after="0" w:line="240" w:lineRule="auto"/>
              <w:jc w:val="left"/>
            </w:pPr>
            <w:r>
              <w:rPr>
                <w:rFonts w:ascii="Times New Roman" w:hAnsi="Times New Roman" w:eastAsia="Times New Roman"/>
                <w:b w:val="0"/>
                <w:i w:val="0"/>
                <w:color w:val="000000"/>
                <w:sz w:val="16"/>
              </w:rPr>
              <w:t>A matched published SASV baseline remains unreproduced.</w:t>
            </w:r>
          </w:p>
        </w:tc>
      </w:tr>
      <w:tr>
        <w:tc>
          <w:tcPr>
            <w:tcW w:type="dxa" w:w="2376"/>
            <w:tcMar>
              <w:top w:w="75" w:type="dxa"/>
              <w:start w:w="95" w:type="dxa"/>
              <w:bottom w:w="75" w:type="dxa"/>
              <w:end w:w="95" w:type="dxa"/>
            </w:tcMar>
            <w:vAlign w:val="center"/>
          </w:tcPr>
          <w:p>
            <w:pPr>
              <w:spacing w:before="0" w:after="0" w:line="240" w:lineRule="auto"/>
              <w:jc w:val="left"/>
            </w:pPr>
            <w:r>
              <w:rPr>
                <w:rFonts w:ascii="Times New Roman" w:hAnsi="Times New Roman" w:eastAsia="Times New Roman"/>
                <w:b w:val="0"/>
                <w:i w:val="0"/>
                <w:color w:val="000000"/>
                <w:sz w:val="16"/>
              </w:rPr>
              <w:t>Gated 1.54% vs linear 2.27% SASV-EER with StyleTTS2 held out</w:t>
            </w:r>
          </w:p>
        </w:tc>
        <w:tc>
          <w:tcPr>
            <w:tcW w:type="dxa" w:w="3672"/>
            <w:tcMar>
              <w:top w:w="75" w:type="dxa"/>
              <w:start w:w="95" w:type="dxa"/>
              <w:bottom w:w="75" w:type="dxa"/>
              <w:end w:w="95" w:type="dxa"/>
            </w:tcMar>
            <w:vAlign w:val="center"/>
          </w:tcPr>
          <w:p>
            <w:pPr>
              <w:spacing w:before="0" w:after="0" w:line="240" w:lineRule="auto"/>
              <w:jc w:val="left"/>
            </w:pPr>
            <w:r>
              <w:rPr>
                <w:rFonts w:ascii="Times New Roman" w:hAnsi="Times New Roman" w:eastAsia="Times New Roman"/>
                <w:b w:val="0"/>
                <w:i w:val="0"/>
                <w:color w:val="000000"/>
                <w:sz w:val="16"/>
              </w:rPr>
              <w:t>The gated arm improves the observed three-generator cross-generator run.</w:t>
            </w:r>
          </w:p>
        </w:tc>
        <w:tc>
          <w:tcPr>
            <w:tcW w:type="dxa" w:w="3384"/>
            <w:tcMar>
              <w:top w:w="75" w:type="dxa"/>
              <w:start w:w="95" w:type="dxa"/>
              <w:bottom w:w="75" w:type="dxa"/>
              <w:end w:w="95" w:type="dxa"/>
            </w:tcMar>
            <w:vAlign w:val="center"/>
          </w:tcPr>
          <w:p>
            <w:pPr>
              <w:spacing w:before="0" w:after="0" w:line="240" w:lineRule="auto"/>
              <w:jc w:val="left"/>
            </w:pPr>
            <w:r>
              <w:rPr>
                <w:rFonts w:ascii="Times New Roman" w:hAnsi="Times New Roman" w:eastAsia="Times New Roman"/>
                <w:b w:val="0"/>
                <w:i w:val="0"/>
                <w:color w:val="000000"/>
                <w:sz w:val="16"/>
              </w:rPr>
              <w:t>Flat weights and confidence-scalar ablation show that this is not emotion conditioning.</w:t>
            </w:r>
          </w:p>
        </w:tc>
      </w:tr>
      <w:tr>
        <w:tc>
          <w:tcPr>
            <w:tcW w:type="dxa" w:w="2376"/>
            <w:shd w:fill="EAF2F8"/>
            <w:tcMar>
              <w:top w:w="75" w:type="dxa"/>
              <w:start w:w="95" w:type="dxa"/>
              <w:bottom w:w="75" w:type="dxa"/>
              <w:end w:w="95" w:type="dxa"/>
            </w:tcMar>
            <w:vAlign w:val="center"/>
          </w:tcPr>
          <w:p>
            <w:pPr>
              <w:spacing w:before="0" w:after="0" w:line="240" w:lineRule="auto"/>
              <w:jc w:val="left"/>
            </w:pPr>
            <w:r>
              <w:rPr>
                <w:rFonts w:ascii="Times New Roman" w:hAnsi="Times New Roman" w:eastAsia="Times New Roman"/>
                <w:b w:val="0"/>
                <w:i w:val="0"/>
                <w:color w:val="000000"/>
                <w:sz w:val="16"/>
              </w:rPr>
              <w:t>Held-out angry and neutral folds</w:t>
            </w:r>
          </w:p>
        </w:tc>
        <w:tc>
          <w:tcPr>
            <w:tcW w:type="dxa" w:w="3672"/>
            <w:shd w:fill="EAF2F8"/>
            <w:tcMar>
              <w:top w:w="75" w:type="dxa"/>
              <w:start w:w="95" w:type="dxa"/>
              <w:bottom w:w="75" w:type="dxa"/>
              <w:end w:w="95" w:type="dxa"/>
            </w:tcMar>
            <w:vAlign w:val="center"/>
          </w:tcPr>
          <w:p>
            <w:pPr>
              <w:spacing w:before="0" w:after="0" w:line="240" w:lineRule="auto"/>
              <w:jc w:val="left"/>
            </w:pPr>
            <w:r>
              <w:rPr>
                <w:rFonts w:ascii="Times New Roman" w:hAnsi="Times New Roman" w:eastAsia="Times New Roman"/>
                <w:b w:val="0"/>
                <w:i w:val="0"/>
                <w:color w:val="000000"/>
                <w:sz w:val="16"/>
              </w:rPr>
              <w:t>No measurable loss occurs when the held-out emotion is removed from training and fusion.</w:t>
            </w:r>
          </w:p>
        </w:tc>
        <w:tc>
          <w:tcPr>
            <w:tcW w:type="dxa" w:w="3384"/>
            <w:shd w:fill="EAF2F8"/>
            <w:tcMar>
              <w:top w:w="75" w:type="dxa"/>
              <w:start w:w="95" w:type="dxa"/>
              <w:bottom w:w="75" w:type="dxa"/>
              <w:end w:w="95" w:type="dxa"/>
            </w:tcMar>
            <w:vAlign w:val="center"/>
          </w:tcPr>
          <w:p>
            <w:pPr>
              <w:spacing w:before="0" w:after="0" w:line="240" w:lineRule="auto"/>
              <w:jc w:val="left"/>
            </w:pPr>
            <w:r>
              <w:rPr>
                <w:rFonts w:ascii="Times New Roman" w:hAnsi="Times New Roman" w:eastAsia="Times New Roman"/>
                <w:b w:val="0"/>
                <w:i w:val="0"/>
                <w:color w:val="000000"/>
                <w:sz w:val="16"/>
              </w:rPr>
              <w:t>This supports a negative mechanism result, not an emotion-aware improvement claim.</w:t>
            </w:r>
          </w:p>
        </w:tc>
      </w:tr>
    </w:tbl>
    <w:p>
      <w:pPr>
        <w:pStyle w:val="Normal"/>
        <w:rPr/>
      </w:pPr>
      <w:r>
        <w:rPr/>
      </w:r>
      <w:r>
        <w:br w:type="page"/>
      </w:r>
    </w:p>
    <w:p>
      <w:pPr>
        <w:pStyle w:val="Normal"/>
        <w:keepNext w:val="true"/>
        <w:spacing w:lineRule="auto" w:line="240" w:before="0" w:after="160"/>
        <w:jc w:val="center"/>
        <w:rPr/>
      </w:pPr>
      <w:r>
        <w:rPr>
          <w:rFonts w:eastAsia="Times New Roman" w:ascii="Times New Roman" w:hAnsi="Times New Roman"/>
          <w:b/>
          <w:i w:val="false"/>
          <w:color w:val="000000"/>
          <w:sz w:val="28"/>
        </w:rPr>
        <w:t>CHAPTER 5</w:t>
        <w:br/>
        <w:t>CONCLUSION</w:t>
      </w:r>
    </w:p>
    <w:p>
      <w:pPr>
        <w:pStyle w:val="Normal"/>
        <w:spacing w:lineRule="auto" w:line="360" w:before="0" w:after="160"/>
        <w:ind w:firstLine="432"/>
        <w:jc w:val="both"/>
        <w:rPr/>
      </w:pPr>
      <w:r>
        <w:rPr>
          <w:rFonts w:eastAsia="Times New Roman" w:ascii="Times New Roman" w:hAnsi="Times New Roman"/>
          <w:b w:val="false"/>
          <w:i w:val="false"/>
          <w:color w:val="000000"/>
          <w:sz w:val="24"/>
        </w:rPr>
        <w:t>This project executed a cross-generator evaluation of spoofing-aware speaker verification on emotional neural voice clones. Its practical contribution is not a claim that emotion-conditioned fusion solves SASV. Instead, it provides a traceable evaluation framework and a measured account of where speaker verification and countermeasures fail, how that failure differs by clone generator, and why an apparent gated-model gain should not be mislabelled as an emotion effect.</w:t>
      </w:r>
    </w:p>
    <w:p>
      <w:pPr>
        <w:pStyle w:val="Normal"/>
        <w:spacing w:lineRule="auto" w:line="360" w:before="0" w:after="160"/>
        <w:ind w:firstLine="432"/>
        <w:jc w:val="both"/>
        <w:rPr/>
      </w:pPr>
      <w:r>
        <w:rPr>
          <w:rFonts w:eastAsia="Times New Roman" w:ascii="Times New Roman" w:hAnsi="Times New Roman"/>
          <w:b w:val="false"/>
          <w:i w:val="false"/>
          <w:color w:val="000000"/>
          <w:sz w:val="24"/>
        </w:rPr>
        <w:t>The real results give a clear answer to the central hypothesis. Although the gated arm obtains the best observed result in the three-generator cross-generator condition, the learned gate is almost constant across emotions, a single confidence scalar reproduces the improvement, and held-out-emotion folds are effectively free. The evidence therefore rejects the intended mechanism. The stronger findings are generator-specific ASV vulnerability and the failure of ASVspoof-lineage countermeasures to transfer to these emotional clones.</w:t>
      </w:r>
    </w:p>
    <w:p>
      <w:pPr>
        <w:pStyle w:val="Normal"/>
        <w:spacing w:lineRule="auto" w:line="360" w:before="0" w:after="160"/>
        <w:ind w:firstLine="432"/>
        <w:jc w:val="both"/>
        <w:rPr/>
      </w:pPr>
      <w:r>
        <w:rPr>
          <w:rFonts w:eastAsia="Times New Roman" w:ascii="Times New Roman" w:hAnsi="Times New Roman"/>
          <w:b w:val="false"/>
          <w:i w:val="false"/>
          <w:color w:val="000000"/>
          <w:sz w:val="24"/>
        </w:rPr>
        <w:t>For an organisation considering voice authentication, the immediate implication is governance rather than deployment. A system should preserve score provenance, document attack-family coverage, measure genuine-user rejection by condition, and avoid claiming protection from a countermeasure merely because it performs well on a different benchmark lineage. Fusion should be tested against capacity- and calibration-matched controls before an auxiliary signal is called useful.</w:t>
      </w:r>
    </w:p>
    <w:p>
      <w:pPr>
        <w:pStyle w:val="Normal"/>
        <w:spacing w:lineRule="auto" w:line="360" w:before="0" w:after="160"/>
        <w:ind w:firstLine="432"/>
        <w:jc w:val="both"/>
        <w:rPr/>
      </w:pPr>
      <w:r>
        <w:rPr>
          <w:rFonts w:eastAsia="Times New Roman" w:ascii="Times New Roman" w:hAnsi="Times New Roman"/>
          <w:b w:val="false"/>
          <w:i w:val="false"/>
          <w:color w:val="000000"/>
          <w:sz w:val="24"/>
        </w:rPr>
        <w:t>Future work should re-anchor the study on the planned CREMA-D corpus, regenerate the clones under the same three systems, reproduce a strong published SASV baseline under a matched protocol, and resolve all dataset-licence documentation. A larger independent speaker split, pre-specified success criteria, and an external replication are required before a journal submission can make a broader generalisation claim.</w:t>
      </w:r>
    </w:p>
    <w:p>
      <w:pPr>
        <w:pStyle w:val="Normal"/>
        <w:rPr/>
      </w:pPr>
      <w:r>
        <w:rPr/>
      </w:r>
      <w:r>
        <w:br w:type="page"/>
      </w:r>
    </w:p>
    <w:p>
      <w:pPr>
        <w:pStyle w:val="Normal"/>
        <w:keepNext w:val="true"/>
        <w:spacing w:lineRule="auto" w:line="240" w:before="0" w:after="160"/>
        <w:jc w:val="center"/>
        <w:rPr/>
      </w:pPr>
      <w:r>
        <w:rPr>
          <w:rFonts w:eastAsia="Times New Roman" w:ascii="Times New Roman" w:hAnsi="Times New Roman"/>
          <w:b/>
          <w:i w:val="false"/>
          <w:color w:val="000000"/>
          <w:sz w:val="28"/>
        </w:rPr>
        <w:t>REFERENCES</w:t>
      </w:r>
    </w:p>
    <w:p>
      <w:pPr>
        <w:pStyle w:val="Normal"/>
        <w:spacing w:lineRule="auto" w:line="240" w:before="0" w:after="60"/>
        <w:ind w:hanging="360" w:start="360"/>
        <w:jc w:val="both"/>
        <w:rPr/>
      </w:pPr>
      <w:r>
        <w:rPr>
          <w:rFonts w:eastAsia="Times New Roman" w:ascii="Times New Roman" w:hAnsi="Times New Roman"/>
          <w:b w:val="false"/>
          <w:i w:val="false"/>
          <w:color w:val="000000"/>
          <w:sz w:val="24"/>
        </w:rPr>
        <w:t>[1] P. Dehak, P. J. Kenny, R. Dehak, P. Dumouchel, and P. Ouellet, “Front-end factor analysis for speaker verification,” IEEE Transactions on Audio, Speech, and Language Processing, vol. 19, no. 4, pp. 788-798, 2011.</w:t>
      </w:r>
    </w:p>
    <w:p>
      <w:pPr>
        <w:pStyle w:val="Normal"/>
        <w:spacing w:lineRule="auto" w:line="240" w:before="0" w:after="60"/>
        <w:ind w:hanging="360" w:start="360"/>
        <w:jc w:val="both"/>
        <w:rPr/>
      </w:pPr>
      <w:r>
        <w:rPr>
          <w:rFonts w:eastAsia="Times New Roman" w:ascii="Times New Roman" w:hAnsi="Times New Roman"/>
          <w:b w:val="false"/>
          <w:i w:val="false"/>
          <w:color w:val="000000"/>
          <w:sz w:val="24"/>
        </w:rPr>
        <w:t>[2] D. Snyder et al., “X-vectors: Robust DNN embeddings for speaker recognition,” in Proc. ICASSP, 2018, pp. 5329-5333.</w:t>
      </w:r>
    </w:p>
    <w:p>
      <w:pPr>
        <w:pStyle w:val="Normal"/>
        <w:spacing w:lineRule="auto" w:line="240" w:before="0" w:after="60"/>
        <w:ind w:hanging="360" w:start="360"/>
        <w:jc w:val="both"/>
        <w:rPr/>
      </w:pPr>
      <w:r>
        <w:rPr>
          <w:rFonts w:eastAsia="Times New Roman" w:ascii="Times New Roman" w:hAnsi="Times New Roman"/>
          <w:b w:val="false"/>
          <w:i w:val="false"/>
          <w:color w:val="000000"/>
          <w:sz w:val="24"/>
        </w:rPr>
        <w:t>[3] B. Desplanques, J. Thienpondt, and K. Demuynck, “ECAPA-TDNN: Emphasized channel attention, propagation and aggregation in TDNN based speaker verification,” in Proc. Interspeech, 2020, pp. 3830-3834.</w:t>
      </w:r>
    </w:p>
    <w:p>
      <w:pPr>
        <w:pStyle w:val="Normal"/>
        <w:spacing w:lineRule="auto" w:line="240" w:before="0" w:after="60"/>
        <w:ind w:hanging="360" w:start="360"/>
        <w:jc w:val="both"/>
        <w:rPr/>
      </w:pPr>
      <w:r>
        <w:rPr>
          <w:rFonts w:eastAsia="Times New Roman" w:ascii="Times New Roman" w:hAnsi="Times New Roman"/>
          <w:b w:val="false"/>
          <w:i w:val="false"/>
          <w:color w:val="000000"/>
          <w:sz w:val="24"/>
        </w:rPr>
        <w:t>[4] S. Chen et al., “WavLM: Large-scale self-supervised pre-training for full stack speech processing,” IEEE Journal of Selected Topics in Signal Processing, vol. 16, no. 6, pp. 1505-1518, 2022.</w:t>
      </w:r>
    </w:p>
    <w:p>
      <w:pPr>
        <w:pStyle w:val="Normal"/>
        <w:spacing w:lineRule="auto" w:line="240" w:before="0" w:after="60"/>
        <w:ind w:hanging="360" w:start="360"/>
        <w:jc w:val="both"/>
        <w:rPr/>
      </w:pPr>
      <w:r>
        <w:rPr>
          <w:rFonts w:eastAsia="Times New Roman" w:ascii="Times New Roman" w:hAnsi="Times New Roman"/>
          <w:b w:val="false"/>
          <w:i w:val="false"/>
          <w:color w:val="000000"/>
          <w:sz w:val="24"/>
        </w:rPr>
        <w:t>[5] W.-N. Hsu et al., “HuBERT: Self-supervised speech representation learning by masked prediction of hidden units,” IEEE/ACM Transactions on Audio, Speech, and Language Processing, vol. 29, pp. 3451-3460, 2021.</w:t>
      </w:r>
    </w:p>
    <w:p>
      <w:pPr>
        <w:pStyle w:val="Normal"/>
        <w:spacing w:lineRule="auto" w:line="240" w:before="0" w:after="60"/>
        <w:ind w:hanging="360" w:start="360"/>
        <w:jc w:val="both"/>
        <w:rPr/>
      </w:pPr>
      <w:r>
        <w:rPr>
          <w:rFonts w:eastAsia="Times New Roman" w:ascii="Times New Roman" w:hAnsi="Times New Roman"/>
          <w:b w:val="false"/>
          <w:i w:val="false"/>
          <w:color w:val="000000"/>
          <w:sz w:val="24"/>
        </w:rPr>
        <w:t>[6] A. Baevski, H. Zhou, A. Mohamed, and M. Auli, “wav2vec 2.0: A framework for self-supervised learning of speech representations,” in Proc. NeurIPS, 2020.</w:t>
      </w:r>
    </w:p>
    <w:p>
      <w:pPr>
        <w:pStyle w:val="Normal"/>
        <w:spacing w:lineRule="auto" w:line="240" w:before="0" w:after="60"/>
        <w:ind w:hanging="360" w:start="360"/>
        <w:jc w:val="both"/>
        <w:rPr/>
      </w:pPr>
      <w:r>
        <w:rPr>
          <w:rFonts w:eastAsia="Times New Roman" w:ascii="Times New Roman" w:hAnsi="Times New Roman"/>
          <w:b w:val="false"/>
          <w:i w:val="false"/>
          <w:color w:val="000000"/>
          <w:sz w:val="24"/>
        </w:rPr>
        <w:t>[7] J.-w. Jung et al., “AASIST: Audio anti-spoofing using integrated spectro-temporal graph attention networks,” in Proc. ICASSP, 2022, pp. 6367-6371.</w:t>
      </w:r>
    </w:p>
    <w:p>
      <w:pPr>
        <w:pStyle w:val="Normal"/>
        <w:spacing w:lineRule="auto" w:line="240" w:before="0" w:after="60"/>
        <w:ind w:hanging="360" w:start="360"/>
        <w:jc w:val="both"/>
        <w:rPr/>
      </w:pPr>
      <w:r>
        <w:rPr>
          <w:rFonts w:eastAsia="Times New Roman" w:ascii="Times New Roman" w:hAnsi="Times New Roman"/>
          <w:b w:val="false"/>
          <w:i w:val="false"/>
          <w:color w:val="000000"/>
          <w:sz w:val="24"/>
        </w:rPr>
        <w:t>[8] H. Tak et al., “End-to-end anti-spoofing with RawNet2,” in Proc. ICASSP, 2021, pp. 6369-6373.</w:t>
      </w:r>
    </w:p>
    <w:p>
      <w:pPr>
        <w:pStyle w:val="Normal"/>
        <w:spacing w:lineRule="auto" w:line="240" w:before="0" w:after="60"/>
        <w:ind w:hanging="360" w:start="360"/>
        <w:jc w:val="both"/>
        <w:rPr/>
      </w:pPr>
      <w:r>
        <w:rPr>
          <w:rFonts w:eastAsia="Times New Roman" w:ascii="Times New Roman" w:hAnsi="Times New Roman"/>
          <w:b w:val="false"/>
          <w:i w:val="false"/>
          <w:color w:val="000000"/>
          <w:sz w:val="24"/>
        </w:rPr>
        <w:t>[9] J. Yamagishi et al., “ASVspoof 2021: Accelerating progress in spoofed and deepfake speech detection,” in Proc. ASVspoof 2021 Workshop, 2021.</w:t>
      </w:r>
    </w:p>
    <w:p>
      <w:pPr>
        <w:pStyle w:val="Normal"/>
        <w:spacing w:lineRule="auto" w:line="240" w:before="0" w:after="60"/>
        <w:ind w:hanging="360" w:start="360"/>
        <w:jc w:val="both"/>
        <w:rPr/>
      </w:pPr>
      <w:r>
        <w:rPr>
          <w:rFonts w:eastAsia="Times New Roman" w:ascii="Times New Roman" w:hAnsi="Times New Roman"/>
          <w:b w:val="false"/>
          <w:i w:val="false"/>
          <w:color w:val="000000"/>
          <w:sz w:val="24"/>
        </w:rPr>
        <w:t>[10] H. Delgado et al., “ASVspoof 2021: Automatic speaker verification spoofing and countermeasures challenge evaluation plan,” 2021.</w:t>
      </w:r>
    </w:p>
    <w:p>
      <w:pPr>
        <w:pStyle w:val="Normal"/>
        <w:spacing w:lineRule="auto" w:line="240" w:before="0" w:after="60"/>
        <w:ind w:hanging="360" w:start="360"/>
        <w:jc w:val="both"/>
        <w:rPr/>
      </w:pPr>
      <w:r>
        <w:rPr>
          <w:rFonts w:eastAsia="Times New Roman" w:ascii="Times New Roman" w:hAnsi="Times New Roman"/>
          <w:b w:val="false"/>
          <w:i w:val="false"/>
          <w:color w:val="000000"/>
          <w:sz w:val="24"/>
        </w:rPr>
        <w:t>[11] J.-w. Jung et al., “SASV 2022: The first spoofing-aware speaker verification challenge,” in Proc. Interspeech, 2022, pp. 2893-2897.</w:t>
      </w:r>
    </w:p>
    <w:p>
      <w:pPr>
        <w:pStyle w:val="Normal"/>
        <w:spacing w:lineRule="auto" w:line="240" w:before="0" w:after="60"/>
        <w:ind w:hanging="360" w:start="360"/>
        <w:jc w:val="both"/>
        <w:rPr/>
      </w:pPr>
      <w:r>
        <w:rPr>
          <w:rFonts w:eastAsia="Times New Roman" w:ascii="Times New Roman" w:hAnsi="Times New Roman"/>
          <w:b w:val="false"/>
          <w:i w:val="false"/>
          <w:color w:val="000000"/>
          <w:sz w:val="24"/>
        </w:rPr>
        <w:t>[12] H.-j. Shim et al., “Baseline systems for the first spoofing-aware speaker verification challenge: Score and embedding fusion,” in Proc. Odyssey, 2022.</w:t>
      </w:r>
    </w:p>
    <w:p>
      <w:pPr>
        <w:pStyle w:val="Normal"/>
        <w:spacing w:lineRule="auto" w:line="240" w:before="0" w:after="60"/>
        <w:ind w:hanging="360" w:start="360"/>
        <w:jc w:val="both"/>
        <w:rPr/>
      </w:pPr>
      <w:r>
        <w:rPr>
          <w:rFonts w:eastAsia="Times New Roman" w:ascii="Times New Roman" w:hAnsi="Times New Roman"/>
          <w:b w:val="false"/>
          <w:i w:val="false"/>
          <w:color w:val="000000"/>
          <w:sz w:val="24"/>
        </w:rPr>
        <w:t>[13] T. Kinnunen et al., “t-DCF: A detection cost function for the tandem assessment of spoofing countermeasures and automatic speaker verification,” in Proc. Odyssey, 2018, pp. 312-319.</w:t>
      </w:r>
    </w:p>
    <w:p>
      <w:pPr>
        <w:pStyle w:val="Normal"/>
        <w:spacing w:lineRule="auto" w:line="240" w:before="0" w:after="60"/>
        <w:ind w:hanging="360" w:start="360"/>
        <w:jc w:val="both"/>
        <w:rPr/>
      </w:pPr>
      <w:r>
        <w:rPr>
          <w:rFonts w:eastAsia="Times New Roman" w:ascii="Times New Roman" w:hAnsi="Times New Roman"/>
          <w:b w:val="false"/>
          <w:i w:val="false"/>
          <w:color w:val="000000"/>
          <w:sz w:val="24"/>
        </w:rPr>
        <w:t>[14] X. Wang et al., “a-DCF: An architecture-agnostic detection cost function for spoofing-aware speaker verification,” arXiv:2403.01355, 2024.</w:t>
      </w:r>
    </w:p>
    <w:p>
      <w:pPr>
        <w:pStyle w:val="Normal"/>
        <w:spacing w:lineRule="auto" w:line="240" w:before="0" w:after="60"/>
        <w:ind w:hanging="360" w:start="360"/>
        <w:jc w:val="both"/>
        <w:rPr/>
      </w:pPr>
      <w:r>
        <w:rPr>
          <w:rFonts w:eastAsia="Times New Roman" w:ascii="Times New Roman" w:hAnsi="Times New Roman"/>
          <w:b w:val="false"/>
          <w:i w:val="false"/>
          <w:color w:val="000000"/>
          <w:sz w:val="24"/>
        </w:rPr>
        <w:t>[15] A. Conti, D. Salvi, M. Borrelli, S. Hosler, F. Bestagini, and S. Tubaro, “Deepfake speech detection through emotion recognition: A semantic approach,” in Proc. ICASSP, 2022, pp. 3064-3068.</w:t>
      </w:r>
    </w:p>
    <w:p>
      <w:pPr>
        <w:pStyle w:val="Normal"/>
        <w:spacing w:lineRule="auto" w:line="240" w:before="0" w:after="60"/>
        <w:ind w:hanging="360" w:start="360"/>
        <w:jc w:val="both"/>
        <w:rPr/>
      </w:pPr>
      <w:r>
        <w:rPr>
          <w:rFonts w:eastAsia="Times New Roman" w:ascii="Times New Roman" w:hAnsi="Times New Roman"/>
          <w:b w:val="false"/>
          <w:i w:val="false"/>
          <w:color w:val="000000"/>
          <w:sz w:val="24"/>
        </w:rPr>
        <w:t>[16] A. Mahapatra, I. R. Ulgen, A. R. Naini, C. Busso, and B. Sisman, “Can emotion fool anti-spoofing?” in Proc. Interspeech, 2025.</w:t>
      </w:r>
    </w:p>
    <w:p>
      <w:pPr>
        <w:pStyle w:val="Normal"/>
        <w:spacing w:lineRule="auto" w:line="240" w:before="0" w:after="60"/>
        <w:ind w:hanging="360" w:start="360"/>
        <w:jc w:val="both"/>
        <w:rPr/>
      </w:pPr>
      <w:r>
        <w:rPr>
          <w:rFonts w:eastAsia="Times New Roman" w:ascii="Times New Roman" w:hAnsi="Times New Roman"/>
          <w:b w:val="false"/>
          <w:i w:val="false"/>
          <w:color w:val="000000"/>
          <w:sz w:val="24"/>
        </w:rPr>
        <w:t>[17] D. Shizuoka, D. Daido, and C. Chiba, “Utterance-style-dependent speaker verification using emotional embedding with pretrained models,” Sensors, vol. 25, no. 17, art. 5284, 2025.</w:t>
      </w:r>
    </w:p>
    <w:p>
      <w:pPr>
        <w:pStyle w:val="Normal"/>
        <w:spacing w:lineRule="auto" w:line="240" w:before="0" w:after="60"/>
        <w:ind w:hanging="360" w:start="360"/>
        <w:jc w:val="both"/>
        <w:rPr/>
      </w:pPr>
      <w:r>
        <w:rPr>
          <w:rFonts w:eastAsia="Times New Roman" w:ascii="Times New Roman" w:hAnsi="Times New Roman"/>
          <w:b w:val="false"/>
          <w:i w:val="false"/>
          <w:color w:val="000000"/>
          <w:sz w:val="24"/>
        </w:rPr>
        <w:t>[18] T. Takayama, K. Nishida, K. Tsuge, S. Kuroiwa, and S. Nishimura, “Utterance-style-dependent speaker verification by utilizing emotions,” in Proc. GCCE, 2023.</w:t>
      </w:r>
    </w:p>
    <w:p>
      <w:pPr>
        <w:pStyle w:val="Normal"/>
        <w:spacing w:lineRule="auto" w:line="240" w:before="0" w:after="60"/>
        <w:ind w:hanging="360" w:start="360"/>
        <w:jc w:val="both"/>
        <w:rPr/>
      </w:pPr>
      <w:r>
        <w:rPr>
          <w:rFonts w:eastAsia="Times New Roman" w:ascii="Times New Roman" w:hAnsi="Times New Roman"/>
          <w:b w:val="false"/>
          <w:i w:val="false"/>
          <w:color w:val="000000"/>
          <w:sz w:val="24"/>
        </w:rPr>
        <w:t>[19] M. Ravanelli et al., “SpeechBrain: A general-purpose speech toolkit,” arXiv:2106.04624, 2021.</w:t>
      </w:r>
    </w:p>
    <w:p>
      <w:pPr>
        <w:pStyle w:val="Normal"/>
        <w:spacing w:lineRule="auto" w:line="240" w:before="0" w:after="60"/>
        <w:ind w:hanging="360" w:start="360"/>
        <w:jc w:val="both"/>
        <w:rPr/>
      </w:pPr>
      <w:r>
        <w:rPr>
          <w:rFonts w:eastAsia="Times New Roman" w:ascii="Times New Roman" w:hAnsi="Times New Roman"/>
          <w:b w:val="false"/>
          <w:i w:val="false"/>
          <w:color w:val="000000"/>
          <w:sz w:val="24"/>
        </w:rPr>
        <w:t>[20] A. Nagrani, J. S. Chung, and A. Zisserman, “VoxCeleb: A large-scale speaker identification dataset,” in Proc. Interspeech, 2017, pp. 2616-2620.</w:t>
      </w:r>
    </w:p>
    <w:p>
      <w:pPr>
        <w:pStyle w:val="Normal"/>
        <w:spacing w:lineRule="auto" w:line="240" w:before="0" w:after="60"/>
        <w:ind w:hanging="360" w:start="360"/>
        <w:jc w:val="both"/>
        <w:rPr/>
      </w:pPr>
      <w:r>
        <w:rPr>
          <w:rFonts w:eastAsia="Times New Roman" w:ascii="Times New Roman" w:hAnsi="Times New Roman"/>
          <w:b w:val="false"/>
          <w:i w:val="false"/>
          <w:color w:val="000000"/>
          <w:sz w:val="24"/>
        </w:rPr>
        <w:t>[21] J. S. Chung, A. Nagrani, and A. Zisserman, “VoxCeleb2: Deep speaker recognition,” in Proc. Interspeech, 2018, pp. 1086-1090.</w:t>
      </w:r>
    </w:p>
    <w:p>
      <w:pPr>
        <w:pStyle w:val="Normal"/>
        <w:spacing w:lineRule="auto" w:line="240" w:before="0" w:after="60"/>
        <w:ind w:hanging="360" w:start="360"/>
        <w:jc w:val="both"/>
        <w:rPr/>
      </w:pPr>
      <w:r>
        <w:rPr>
          <w:rFonts w:eastAsia="Times New Roman" w:ascii="Times New Roman" w:hAnsi="Times New Roman"/>
          <w:b w:val="false"/>
          <w:i w:val="false"/>
          <w:color w:val="000000"/>
          <w:sz w:val="24"/>
        </w:rPr>
        <w:t>[22] T. Kinnunen et al., “The ASVspoof 2017 challenge: Assessing the limits of replay spoofing attack detection,” in Proc. Interspeech, 2017, pp. 2-6.</w:t>
      </w:r>
    </w:p>
    <w:p>
      <w:pPr>
        <w:pStyle w:val="Normal"/>
        <w:spacing w:lineRule="auto" w:line="240" w:before="0" w:after="60"/>
        <w:ind w:hanging="360" w:start="360"/>
        <w:jc w:val="both"/>
        <w:rPr/>
      </w:pPr>
      <w:r>
        <w:rPr>
          <w:rFonts w:eastAsia="Times New Roman" w:ascii="Times New Roman" w:hAnsi="Times New Roman"/>
          <w:b w:val="false"/>
          <w:i w:val="false"/>
          <w:color w:val="000000"/>
          <w:sz w:val="24"/>
        </w:rPr>
        <w:t>[23] M. Todisco, X. Wang, V. Vestman, M. Sahidullah, H. Delgado, A. Nautsch, J. Yamagishi, K. A. Lee, and N. Evans, “ASVspoof 2019: Future horizons in spoofed and fake audio detection,” in Proc. Interspeech, 2019, pp. 1008-1012.</w:t>
      </w:r>
    </w:p>
    <w:p>
      <w:pPr>
        <w:pStyle w:val="Normal"/>
        <w:spacing w:lineRule="auto" w:line="240" w:before="0" w:after="60"/>
        <w:ind w:hanging="360" w:start="360"/>
        <w:jc w:val="both"/>
        <w:rPr/>
      </w:pPr>
      <w:r>
        <w:rPr>
          <w:rFonts w:eastAsia="Times New Roman" w:ascii="Times New Roman" w:hAnsi="Times New Roman"/>
          <w:b w:val="false"/>
          <w:i w:val="false"/>
          <w:color w:val="000000"/>
          <w:sz w:val="24"/>
        </w:rPr>
        <w:t>[24] X. Wang et al., “ASVspoof 2019: A large-scale public database of synthesized, converted and replayed speech,” Computer Speech and Language, vol. 64, 2020.</w:t>
      </w:r>
    </w:p>
    <w:p>
      <w:pPr>
        <w:pStyle w:val="Normal"/>
        <w:spacing w:lineRule="auto" w:line="240" w:before="0" w:after="60"/>
        <w:ind w:hanging="360" w:start="360"/>
        <w:jc w:val="both"/>
        <w:rPr/>
      </w:pPr>
      <w:r>
        <w:rPr>
          <w:rFonts w:eastAsia="Times New Roman" w:ascii="Times New Roman" w:hAnsi="Times New Roman"/>
          <w:b w:val="false"/>
          <w:i w:val="false"/>
          <w:color w:val="000000"/>
          <w:sz w:val="24"/>
        </w:rPr>
        <w:t>[25] M. Sahidullah, T. Kinnunen, and C. Hanilci, “A comparison of features for synthetic speech detection,” in Proc. Interspeech, 2015, pp. 2087-2091.</w:t>
      </w:r>
    </w:p>
    <w:p>
      <w:pPr>
        <w:pStyle w:val="Normal"/>
        <w:spacing w:lineRule="auto" w:line="240" w:before="0" w:after="60"/>
        <w:ind w:hanging="360" w:start="360"/>
        <w:jc w:val="both"/>
        <w:rPr/>
      </w:pPr>
      <w:r>
        <w:rPr>
          <w:rFonts w:eastAsia="Times New Roman" w:ascii="Times New Roman" w:hAnsi="Times New Roman"/>
          <w:b w:val="false"/>
          <w:i w:val="false"/>
          <w:color w:val="000000"/>
          <w:sz w:val="24"/>
        </w:rPr>
        <w:t>[26] G. Lavrentyeva, S. Masyagin, A. Novoselov, and O. Shchemelinin, “STC antispoofing systems for the ASVspoof2019 challenge,” in Proc. Interspeech, 2019, pp. 1033-1037.</w:t>
      </w:r>
    </w:p>
    <w:p>
      <w:pPr>
        <w:pStyle w:val="Normal"/>
        <w:spacing w:lineRule="auto" w:line="240" w:before="0" w:after="60"/>
        <w:ind w:hanging="360" w:start="360"/>
        <w:jc w:val="both"/>
        <w:rPr/>
      </w:pPr>
      <w:r>
        <w:rPr>
          <w:rFonts w:eastAsia="Times New Roman" w:ascii="Times New Roman" w:hAnsi="Times New Roman"/>
          <w:b w:val="false"/>
          <w:i w:val="false"/>
          <w:color w:val="000000"/>
          <w:sz w:val="24"/>
        </w:rPr>
        <w:t>[27] G. Ge, M. McCool, C. Sanderson, and P. Harandi, “Speaker verification by partial AAM-softmax,” in Proc. Interspeech, 2020.</w:t>
      </w:r>
    </w:p>
    <w:p>
      <w:pPr>
        <w:pStyle w:val="Normal"/>
        <w:spacing w:lineRule="auto" w:line="240" w:before="0" w:after="60"/>
        <w:ind w:hanging="360" w:start="360"/>
        <w:jc w:val="both"/>
        <w:rPr/>
      </w:pPr>
      <w:r>
        <w:rPr>
          <w:rFonts w:eastAsia="Times New Roman" w:ascii="Times New Roman" w:hAnsi="Times New Roman"/>
          <w:b w:val="false"/>
          <w:i w:val="false"/>
          <w:color w:val="000000"/>
          <w:sz w:val="24"/>
        </w:rPr>
        <w:t>[28] X. Liu, M. Sahidullah, K. A. Lee, and T. Kinnunen, “Speaker-aware anti-spoofing,” arXiv:2303.01126, 2023.</w:t>
      </w:r>
    </w:p>
    <w:p>
      <w:pPr>
        <w:pStyle w:val="Normal"/>
        <w:spacing w:lineRule="auto" w:line="240" w:before="0" w:after="60"/>
        <w:ind w:hanging="360" w:start="360"/>
        <w:jc w:val="both"/>
        <w:rPr/>
      </w:pPr>
      <w:r>
        <w:rPr>
          <w:rFonts w:eastAsia="Times New Roman" w:ascii="Times New Roman" w:hAnsi="Times New Roman"/>
          <w:b w:val="false"/>
          <w:i w:val="false"/>
          <w:color w:val="000000"/>
          <w:sz w:val="24"/>
        </w:rPr>
        <w:t>[29] J. Heo, J.-H. Kim, and H.-S. Shin, “Two methods for spoofing-aware speaker verification: Multi-layer perceptron score fusion model and integrated embedding projector,” in Proc. Interspeech, 2022.</w:t>
      </w:r>
    </w:p>
    <w:p>
      <w:pPr>
        <w:pStyle w:val="Normal"/>
        <w:spacing w:lineRule="auto" w:line="240" w:before="0" w:after="60"/>
        <w:ind w:hanging="360" w:start="360"/>
        <w:jc w:val="both"/>
        <w:rPr/>
      </w:pPr>
      <w:r>
        <w:rPr>
          <w:rFonts w:eastAsia="Times New Roman" w:ascii="Times New Roman" w:hAnsi="Times New Roman"/>
          <w:b w:val="false"/>
          <w:i w:val="false"/>
          <w:color w:val="000000"/>
          <w:sz w:val="24"/>
        </w:rPr>
        <w:t>[30] C. Wu, M. Todisco, X. Wang, N. Evans, J. Yamagishi, and T. Kinnunen, “Spoofing-aware speaker verification by multi-level fusion,” in Proc. Interspeech, 2022.</w:t>
      </w:r>
    </w:p>
    <w:p>
      <w:pPr>
        <w:pStyle w:val="Normal"/>
        <w:spacing w:lineRule="auto" w:line="240" w:before="0" w:after="60"/>
        <w:ind w:hanging="360" w:start="360"/>
        <w:jc w:val="both"/>
        <w:rPr/>
      </w:pPr>
      <w:r>
        <w:rPr>
          <w:rFonts w:eastAsia="Times New Roman" w:ascii="Times New Roman" w:hAnsi="Times New Roman"/>
          <w:b w:val="false"/>
          <w:i w:val="false"/>
          <w:color w:val="000000"/>
          <w:sz w:val="24"/>
        </w:rPr>
        <w:t>[31] Z. Teng, Q. Fu, J. White, M. Powell, and D. Schmidt, “SA-SASV: An end-to-end spoof-aggregated spoofing-aware speaker verification system,” in Proc. Interspeech, 2022.</w:t>
      </w:r>
    </w:p>
    <w:p>
      <w:pPr>
        <w:pStyle w:val="Normal"/>
        <w:spacing w:lineRule="auto" w:line="240" w:before="0" w:after="60"/>
        <w:ind w:hanging="360" w:start="360"/>
        <w:jc w:val="both"/>
        <w:rPr/>
      </w:pPr>
      <w:r>
        <w:rPr>
          <w:rFonts w:eastAsia="Times New Roman" w:ascii="Times New Roman" w:hAnsi="Times New Roman"/>
          <w:b w:val="false"/>
          <w:i w:val="false"/>
          <w:color w:val="000000"/>
          <w:sz w:val="24"/>
        </w:rPr>
        <w:t>[32] Y. Zhang, J. Lu, Z. Shang, W. Wang, and P. Zhang, “Improving short utterance anti-spoofing with AASIST2,” arXiv:2309.08279, 2023.</w:t>
      </w:r>
    </w:p>
    <w:p>
      <w:pPr>
        <w:pStyle w:val="Normal"/>
        <w:spacing w:lineRule="auto" w:line="240" w:before="0" w:after="60"/>
        <w:ind w:hanging="360" w:start="360"/>
        <w:jc w:val="both"/>
        <w:rPr/>
      </w:pPr>
      <w:r>
        <w:rPr>
          <w:rFonts w:eastAsia="Times New Roman" w:ascii="Times New Roman" w:hAnsi="Times New Roman"/>
          <w:b w:val="false"/>
          <w:i w:val="false"/>
          <w:color w:val="000000"/>
          <w:sz w:val="24"/>
        </w:rPr>
        <w:t>[33] F. Bahmaninezhad, C. Zhang, S. R. K. M. Ravi, S. Khudanpur, and T. N. Sainath, “A comprehensive study of self-supervised speech representations for speaker verification,” in Proc. ICASSP, 2022.</w:t>
      </w:r>
    </w:p>
    <w:p>
      <w:pPr>
        <w:pStyle w:val="Normal"/>
        <w:spacing w:lineRule="auto" w:line="240" w:before="0" w:after="60"/>
        <w:ind w:hanging="360" w:start="360"/>
        <w:jc w:val="both"/>
        <w:rPr/>
      </w:pPr>
      <w:r>
        <w:rPr>
          <w:rFonts w:eastAsia="Times New Roman" w:ascii="Times New Roman" w:hAnsi="Times New Roman"/>
          <w:b w:val="false"/>
          <w:i w:val="false"/>
          <w:color w:val="000000"/>
          <w:sz w:val="24"/>
        </w:rPr>
        <w:t>[34] J. Zhang, X. Jiang, X. Zhang, Y. Zhu, and S. Li, “Improving time delay neural network based speaker recognition with convolutional block and feature aggregation methods,” in Proc. Interspeech, 2021, pp. 3410-3414.</w:t>
      </w:r>
    </w:p>
    <w:p>
      <w:pPr>
        <w:pStyle w:val="Normal"/>
        <w:spacing w:lineRule="auto" w:line="240" w:before="0" w:after="60"/>
        <w:ind w:hanging="360" w:start="360"/>
        <w:jc w:val="both"/>
        <w:rPr/>
      </w:pPr>
      <w:r>
        <w:rPr>
          <w:rFonts w:eastAsia="Times New Roman" w:ascii="Times New Roman" w:hAnsi="Times New Roman"/>
          <w:b w:val="false"/>
          <w:i w:val="false"/>
          <w:color w:val="000000"/>
          <w:sz w:val="24"/>
        </w:rPr>
        <w:t>[35] J. M. P. L. M. Santos et al., “Self-supervised learning for speech emotion recognition: A review,” Speech Communication, vol. 152, pp. 1-18, 2023.</w:t>
      </w:r>
    </w:p>
    <w:p>
      <w:pPr>
        <w:pStyle w:val="Normal"/>
        <w:rPr/>
      </w:pPr>
      <w:r>
        <w:rPr/>
      </w:r>
      <w:r>
        <w:br w:type="page"/>
      </w:r>
    </w:p>
    <w:p>
      <w:pPr>
        <w:pStyle w:val="Normal"/>
        <w:keepNext w:val="true"/>
        <w:spacing w:lineRule="auto" w:line="240" w:before="0" w:after="160"/>
        <w:jc w:val="center"/>
        <w:rPr/>
      </w:pPr>
      <w:r>
        <w:rPr>
          <w:rFonts w:eastAsia="Times New Roman" w:ascii="Times New Roman" w:hAnsi="Times New Roman"/>
          <w:b/>
          <w:i w:val="false"/>
          <w:color w:val="000000"/>
          <w:sz w:val="28"/>
        </w:rPr>
        <w:t>APPENDIX</w:t>
      </w:r>
    </w:p>
    <w:p>
      <w:pPr>
        <w:pStyle w:val="Normal"/>
        <w:keepNext w:val="true"/>
        <w:spacing w:lineRule="auto" w:line="240" w:before="160" w:after="160"/>
        <w:jc w:val="start"/>
        <w:rPr/>
      </w:pPr>
      <w:r>
        <w:rPr>
          <w:rFonts w:eastAsia="Times New Roman" w:ascii="Times New Roman" w:hAnsi="Times New Roman"/>
          <w:b/>
          <w:i w:val="false"/>
          <w:color w:val="000000"/>
          <w:sz w:val="24"/>
        </w:rPr>
        <w:t>A. Repository audit trail</w:t>
      </w:r>
    </w:p>
    <w:p>
      <w:pPr>
        <w:pStyle w:val="Normal"/>
        <w:spacing w:lineRule="auto" w:line="360" w:before="0" w:after="160"/>
        <w:jc w:val="both"/>
        <w:rPr/>
      </w:pPr>
      <w:r>
        <w:rPr>
          <w:rFonts w:eastAsia="Times New Roman" w:ascii="Times New Roman" w:hAnsi="Times New Roman"/>
          <w:b w:val="false"/>
          <w:i w:val="false"/>
          <w:color w:val="000000"/>
          <w:sz w:val="24"/>
        </w:rPr>
        <w:t>Core implementation modules are located in src/easv/: manifest.py validates trial metadata; scores.py aligns score files; audit.py reports leakage and coverage; metrics.py computes EER, DCF, threshold, calibration, and bootstrap quantities; fusion.py implements the five-model ladder; evaluation.py writes results; and cli.py exposes audit, evaluate, demo, predict, and manifest-template commands.</w:t>
      </w:r>
    </w:p>
    <w:p>
      <w:pPr>
        <w:pStyle w:val="Normal"/>
        <w:keepNext w:val="true"/>
        <w:spacing w:lineRule="auto" w:line="240" w:before="160" w:after="160"/>
        <w:jc w:val="start"/>
        <w:rPr/>
      </w:pPr>
      <w:r>
        <w:rPr>
          <w:rFonts w:eastAsia="Times New Roman" w:ascii="Times New Roman" w:hAnsi="Times New Roman"/>
          <w:b/>
          <w:i w:val="false"/>
          <w:color w:val="000000"/>
          <w:sz w:val="24"/>
        </w:rPr>
        <w:t>B. Commands executed for this report</w:t>
      </w:r>
    </w:p>
    <w:p>
      <w:pPr>
        <w:pStyle w:val="Normal"/>
        <w:spacing w:lineRule="auto" w:line="360" w:before="0" w:after="160"/>
        <w:jc w:val="both"/>
        <w:rPr/>
      </w:pPr>
      <w:r>
        <w:rPr>
          <w:rFonts w:eastAsia="Times New Roman" w:ascii="Times New Roman" w:hAnsi="Times New Roman"/>
          <w:b w:val="false"/>
          <w:i w:val="false"/>
          <w:color w:val="000000"/>
          <w:sz w:val="24"/>
        </w:rPr>
        <w:t>1. .venv/bin/python -m pytest -q  -&gt;  99 tests passed.</w:t>
        <w:br/>
        <w:t>2. .venv/bin/python -m easv demo --out &lt;temporary directory&gt; --config configs/demo.yaml  -&gt;  1,660 synthetic trials and five fitted models (pipeline smoke test only).</w:t>
        <w:br/>
        <w:t>3. .venv/bin/python -m easv audit --manifest results/e2e/merged_manifest.csv --out results/e2e/audit_real  -&gt;  0 errors, 4 expected warnings on the 53,900-trial real manifest.</w:t>
        <w:br/>
        <w:t>4. scripts/producer_asv.py and scripts/producer_ser.py over the merged manifest (53,900 score rows each); scripts/train_cm_indomain.py for the in-domain and StyleTTS2-held-out countermeasures; scripts/producer_cm_aasist.py for the pretrained checkpoint; scripts/train_cm_aasist_la.py plus scripts/build_manifests.py asvspoof for the LA retrain.</w:t>
        <w:br/>
        <w:t>5. .venv/bin/python -m easv.cli evaluate --manifest results/e2e/merged_manifest.csv --scores &lt;combined scores&gt; --config configs/real_run.yaml --out results/real/run4_3gen_crossgen  -&gt;  the three-generator tables in 4.4.</w:t>
        <w:br/>
        <w:t>6. .venv/bin/python scripts/compare_arms.py --results results/real/run4_3gen_crossgen --manifest results/e2e/merged_manifest.csv --a emotion_gated --b emotion_interaction  -&gt;  the arm-vs-arm contrast.</w:t>
        <w:br/>
        <w:t>7. scripts/train_cm_indomain.py --holdout-emotion &lt;angry|neutral&gt;, then easv.cli evaluate with and without --set folds.holdout_emotion=&lt;emotion&gt;, then scripts/compare_arms.py --emotion &lt;emotion&gt;  -&gt;  the held-out-emotion folds.</w:t>
      </w:r>
    </w:p>
    <w:p>
      <w:pPr>
        <w:pStyle w:val="Normal"/>
        <w:keepNext w:val="true"/>
        <w:spacing w:lineRule="auto" w:line="240" w:before="160" w:after="160"/>
        <w:jc w:val="start"/>
        <w:rPr/>
      </w:pPr>
      <w:r>
        <w:rPr>
          <w:rFonts w:eastAsia="Times New Roman" w:ascii="Times New Roman" w:hAnsi="Times New Roman"/>
          <w:b/>
          <w:i w:val="false"/>
          <w:color w:val="000000"/>
          <w:sz w:val="24"/>
        </w:rPr>
        <w:t>C. Reproducibility warning</w:t>
      </w:r>
    </w:p>
    <w:p>
      <w:pPr>
        <w:pStyle w:val="Normal"/>
        <w:spacing w:lineRule="auto" w:line="360" w:before="0" w:after="160"/>
        <w:jc w:val="both"/>
        <w:rPr/>
      </w:pPr>
      <w:r>
        <w:rPr>
          <w:rFonts w:eastAsia="Times New Roman" w:ascii="Times New Roman" w:hAnsi="Times New Roman"/>
          <w:b w:val="false"/>
          <w:i w:val="false"/>
          <w:color w:val="000000"/>
          <w:sz w:val="24"/>
        </w:rPr>
        <w:t>The synthetic demo should not be cited as a benchmark result. Section 4.4 is the real experiment: externally sourced speech, documented score producers, metric definitions and split rules fixed before the test report, and a test split evaluated once. (The numeric success margins were not pre-registered before the first test report; PROTOCOL section 6 records that limitation explicitly.) Its per-trial scores, fitted models and reports live in results/real/ (git-ignored because they encode corpus paths) and the audio corpora live outside the repository; docs/REAL_RESULTS.md records every number with its split, threshold policy and interval, and docs/PROGRESS_LOG.md records how the corpora were obtained. The synthetic demonstration is kept only as the pipeline smoke test.</w:t>
      </w:r>
    </w:p>
    <w:sectPr>
      <w:footerReference w:type="even" r:id="rId4"/>
      <w:footerReference w:type="default" r:id="rId5"/>
      <w:footerReference w:type="first" r:id="rId6"/>
      <w:type w:val="nextPage"/>
      <w:pgSz w:w="11906" w:h="16838"/>
      <w:pgMar w:left="1224" w:right="1224" w:gutter="0" w:header="0" w:top="1224" w:footer="709" w:bottom="108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Arial Rounded MT Bold">
    <w:charset w:val="01" w:characterSet="utf-8"/>
    <w:family w:val="swiss"/>
    <w:pitch w:val="variable"/>
  </w:font>
  <w:font w:name="Arial">
    <w:charset w:val="01" w:characterSet="utf-8"/>
    <w:family w:val="swiss"/>
    <w:pitch w:val="variable"/>
  </w:font>
  <w:font w:name="Times New Roman">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center"/>
      <w:rPr/>
    </w:pPr>
    <w:r>
      <w:rPr>
        <w:rFonts w:ascii="Times New Roman" w:hAnsi="Times New Roman"/>
        <w:color w:val="000000"/>
        <w:sz w:val="18"/>
      </w:rPr>
      <w:t>Course Project Report | EASV | Page</w:t>
    </w:r>
    <w:r>
      <w:rPr/>
      <w:fldChar w:fldCharType="begin"/>
    </w:r>
    <w:r>
      <w:rPr/>
      <w:instrText xml:space="preserve"> PAGE </w:instrText>
    </w:r>
    <w:r>
      <w:rPr/>
      <w:fldChar w:fldCharType="separate"/>
    </w:r>
    <w:r>
      <w:rPr/>
      <w:t>19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center"/>
      <w:rPr/>
    </w:pPr>
    <w:r>
      <w:rPr>
        <w:rFonts w:ascii="Times New Roman" w:hAnsi="Times New Roman"/>
        <w:color w:val="000000"/>
        <w:sz w:val="18"/>
      </w:rPr>
      <w:t>Course Project Report | EASV | Page</w:t>
    </w:r>
    <w:r>
      <w:rPr/>
      <w:fldChar w:fldCharType="begin"/>
    </w:r>
    <w:r>
      <w:rPr/>
      <w:instrText xml:space="preserve"> PAGE </w:instrText>
    </w:r>
    <w:r>
      <w:rPr/>
      <w:fldChar w:fldCharType="separate"/>
    </w:r>
    <w:r>
      <w:rPr/>
      <w:t>19</w:t>
    </w:r>
    <w:r>
      <w:rPr/>
      <w:fldChar w:fldCharType="end"/>
    </w:r>
  </w:p>
</w:ft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IN"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IN"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ad7d9b"/>
    <w:rPr/>
  </w:style>
  <w:style w:type="character" w:styleId="FooterChar" w:customStyle="1">
    <w:name w:val="Footer Char"/>
    <w:basedOn w:val="DefaultParagraphFont"/>
    <w:link w:val="Footer"/>
    <w:uiPriority w:val="99"/>
    <w:qFormat/>
    <w:rsid w:val="00ad7d9b"/>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ad7d9b"/>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ad7d9b"/>
    <w:pPr>
      <w:tabs>
        <w:tab w:val="clear" w:pos="720"/>
        <w:tab w:val="center" w:pos="4513" w:leader="none"/>
        <w:tab w:val="right" w:pos="9026" w:leader="none"/>
      </w:tabs>
      <w:spacing w:lineRule="auto" w:line="240" w:before="0" w:after="0"/>
    </w:pPr>
    <w:rPr/>
  </w:style>
  <w:style w:type="paragraph" w:styleId="ListParagraph">
    <w:name w:val="List Paragraph"/>
    <w:basedOn w:val="Normal"/>
    <w:uiPriority w:val="34"/>
    <w:qFormat/>
    <w:rsid w:val="002e42e5"/>
    <w:pPr>
      <w:spacing w:before="0" w:after="160"/>
      <w:ind w:start="720"/>
      <w:contextualSpacing/>
    </w:pPr>
    <w:rPr>
      <w:lang w:val="en-U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218b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9E707C-0DBD-4A2C-8D70-C5B4550D88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Application>LibreOffice/26.2.5.2$Linux_X86_64 LibreOffice_project/cd7284b4cbbfeb507e630c1aac019f4157393acb</Application>
  <AppVersion>15.0000</AppVersion>
  <Pages>12</Pages>
  <Words>4866</Words>
  <Characters>29363</Characters>
  <CharactersWithSpaces>33990</CharactersWithSpaces>
  <Paragraphs>248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2026-10-15T04:20:00Z</dcterms:created>
  <dc:creator>Admin</dc:creator>
  <dc:description/>
  <dc:language>en-US</dc:language>
  <cp:lastModifiedBy>Dega Nagaraju</cp:lastModifiedBy>
  <dcterms:modified xsi:type="dcterms:W3CDTF">2026-10-15T05:09:00Z</dcterms:modified>
  <cp:revision>48</cp:revision>
  <dc:subject/>
  <dc:title/>
</cp:coreProperties>
</file>

<file path=docProps/custom.xml><?xml version="1.0" encoding="utf-8"?>
<Properties xmlns="http://schemas.openxmlformats.org/officeDocument/2006/custom-properties" xmlns:vt="http://schemas.openxmlformats.org/officeDocument/2006/docPropsVTypes"/>
</file>