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320" w:after="320"/>
        <w:jc w:val="center"/>
        <w:rPr/>
      </w:pPr>
      <w:r>
        <w:rPr>
          <w:rFonts w:eastAsia="Arial Rounded MT Bold" w:ascii="Arial Rounded MT Bold" w:hAnsi="Arial Rounded MT Bold"/>
          <w:b w:val="false"/>
          <w:i w:val="false"/>
          <w:color w:val="000000"/>
          <w:sz w:val="50"/>
        </w:rPr>
        <w:t>EMOTION-CONDITIONED FUSION FOR</w:t>
        <w:br/>
        <w:t>SPOOFING-AWARE SPEAKER VERIFICATION</w:t>
      </w:r>
    </w:p>
    <w:p>
      <w:pPr>
        <w:pStyle w:val="Normal"/>
        <w:spacing w:lineRule="auto" w:line="288" w:before="440" w:after="320"/>
        <w:jc w:val="center"/>
        <w:rPr/>
      </w:pPr>
      <w:r>
        <w:rPr>
          <w:rFonts w:eastAsia="Arial" w:ascii="Arial" w:hAnsi="Arial"/>
          <w:b w:val="false"/>
          <w:i w:val="false"/>
          <w:color w:val="000000"/>
          <w:sz w:val="32"/>
        </w:rPr>
        <w:t>Artificial Intelligence and Expert Systems</w:t>
        <w:br/>
        <w:t>(CSI3003)</w:t>
        <w:br/>
        <w:t>E1+TE1 Slot Fall Semester 2026-27</w:t>
      </w:r>
    </w:p>
    <w:p>
      <w:pPr>
        <w:pStyle w:val="Normal"/>
        <w:spacing w:lineRule="auto" w:line="240" w:before="320" w:after="320"/>
        <w:jc w:val="center"/>
        <w:rPr/>
      </w:pPr>
      <w:r>
        <w:rPr>
          <w:rFonts w:eastAsia="Arial" w:ascii="Arial" w:hAnsi="Arial"/>
          <w:b w:val="false"/>
          <w:i/>
          <w:color w:val="000000"/>
          <w:sz w:val="32"/>
        </w:rPr>
        <w:t>Course Project Report</w:t>
      </w:r>
    </w:p>
    <w:p>
      <w:pPr>
        <w:pStyle w:val="Normal"/>
        <w:spacing w:lineRule="auto" w:line="240" w:before="360" w:after="80"/>
        <w:jc w:val="center"/>
        <w:rPr/>
      </w:pPr>
      <w:r>
        <w:rPr>
          <w:rFonts w:eastAsia="Arial" w:ascii="Arial" w:hAnsi="Arial"/>
          <w:b w:val="false"/>
          <w:i/>
          <w:color w:val="000000"/>
          <w:sz w:val="28"/>
        </w:rPr>
        <w:t>Submitted by</w:t>
      </w:r>
    </w:p>
    <w:p>
      <w:pPr>
        <w:pStyle w:val="Normal"/>
        <w:spacing w:lineRule="auto" w:line="240" w:before="0" w:after="240"/>
        <w:jc w:val="center"/>
        <w:rPr/>
      </w:pPr>
      <w:r>
        <w:rPr>
          <w:rFonts w:eastAsia="Arial Rounded MT Bold" w:ascii="Arial Rounded MT Bold" w:hAnsi="Arial Rounded MT Bold"/>
          <w:b w:val="false"/>
          <w:i w:val="false"/>
          <w:color w:val="000000"/>
          <w:sz w:val="32"/>
        </w:rPr>
        <w:t>VISHAL TANTRI (15BCE0131)</w:t>
      </w:r>
    </w:p>
    <w:p>
      <w:pPr>
        <w:pStyle w:val="Normal"/>
        <w:spacing w:lineRule="auto" w:line="240" w:before="240" w:after="60"/>
        <w:jc w:val="center"/>
        <w:rPr/>
      </w:pPr>
      <w:r>
        <w:rPr>
          <w:rFonts w:eastAsia="Arial" w:ascii="Arial" w:hAnsi="Arial"/>
          <w:b w:val="false"/>
          <w:i/>
          <w:color w:val="000000"/>
          <w:sz w:val="26"/>
        </w:rPr>
        <w:t>Under the guidance of</w:t>
      </w:r>
    </w:p>
    <w:p>
      <w:pPr>
        <w:pStyle w:val="Normal"/>
        <w:spacing w:lineRule="auto" w:line="240" w:before="0" w:after="160"/>
        <w:jc w:val="center"/>
        <w:rPr/>
      </w:pPr>
      <w:r>
        <w:rPr>
          <w:rFonts w:eastAsia="Arial" w:ascii="Arial" w:hAnsi="Arial"/>
          <w:b w:val="false"/>
          <w:i w:val="false"/>
          <w:color w:val="000000"/>
          <w:sz w:val="32"/>
        </w:rPr>
        <w:t>Dr. DEGA NAGARAJU</w:t>
      </w:r>
    </w:p>
    <w:p>
      <w:pPr>
        <w:pStyle w:val="Normal"/>
        <w:spacing w:lineRule="auto" w:line="240" w:before="80" w:after="0"/>
        <w:jc w:val="center"/>
        <w:rPr/>
      </w:pPr>
      <w:r>
        <w:rPr>
          <w:rFonts w:eastAsia="Arial" w:ascii="Arial" w:hAnsi="Arial"/>
          <w:b w:val="false"/>
          <w:i w:val="false"/>
          <w:color w:val="000000"/>
          <w:sz w:val="26"/>
        </w:rPr>
        <w:t>School of Computer Science and Engineering (SCOPE)</w:t>
      </w:r>
    </w:p>
    <w:p>
      <w:pPr>
        <w:pStyle w:val="Normal"/>
        <w:spacing w:lineRule="auto" w:line="240" w:before="0" w:after="80"/>
        <w:jc w:val="center"/>
        <w:rPr/>
      </w:pPr>
      <w:r>
        <w:rPr>
          <w:rFonts w:eastAsia="Arial" w:ascii="Arial" w:hAnsi="Arial"/>
          <w:b w:val="false"/>
          <w:i w:val="false"/>
          <w:color w:val="000000"/>
          <w:sz w:val="26"/>
        </w:rPr>
        <w:t>October 2026</w:t>
      </w:r>
    </w:p>
    <w:p>
      <w:pPr>
        <w:pStyle w:val="Normal"/>
        <w:spacing w:lineRule="auto" w:line="240" w:before="40" w:after="0"/>
        <w:jc w:val="center"/>
        <w:rPr/>
      </w:pPr>
      <w:r>
        <w:rPr/>
        <w:drawing>
          <wp:inline distT="0" distB="0" distL="0" distR="0">
            <wp:extent cx="3017520" cy="1021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017520" cy="1021080"/>
                    </a:xfrm>
                    <a:prstGeom prst="rect">
                      <a:avLst/>
                    </a:prstGeom>
                    <a:noFill/>
                  </pic:spPr>
                </pic:pic>
              </a:graphicData>
            </a:graphic>
          </wp:inline>
        </w:drawing>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CERTIFICATE</w:t>
      </w:r>
    </w:p>
    <w:p>
      <w:pPr>
        <w:pStyle w:val="Normal"/>
        <w:spacing w:lineRule="auto" w:line="360" w:before="0" w:after="160"/>
        <w:jc w:val="both"/>
        <w:rPr/>
      </w:pPr>
      <w:r>
        <w:rPr>
          <w:rFonts w:eastAsia="Times New Roman" w:ascii="Times New Roman" w:hAnsi="Times New Roman"/>
          <w:b w:val="false"/>
          <w:i w:val="false"/>
          <w:color w:val="000000"/>
          <w:sz w:val="24"/>
        </w:rPr>
        <w:t>This is to certify that the project work entitled “Emotion-Conditioned Fusion for Spoofing-Aware Speaker Verification” is a record of bona fide work carried out for the fulfilment of the course project in Artificial Intelligence and Expert Systems (CSI3003). The work is based on the supplied EASV repository and is presented with its implementation status and experimental limitations stated explicitly.</w:t>
      </w:r>
    </w:p>
    <w:p>
      <w:pPr>
        <w:pStyle w:val="Normal"/>
        <w:spacing w:lineRule="auto" w:line="360" w:before="0" w:after="160"/>
        <w:jc w:val="both"/>
        <w:rPr/>
      </w:pPr>
      <w:r>
        <w:rPr>
          <w:rFonts w:eastAsia="Times New Roman" w:ascii="Times New Roman" w:hAnsi="Times New Roman"/>
          <w:b w:val="false"/>
          <w:i w:val="false"/>
          <w:color w:val="000000"/>
          <w:sz w:val="24"/>
        </w:rPr>
        <w:t>The contents of this project report, in full or in part, have not been submitted for any other course. The cited literature is acknowledged in IEEE style.</w:t>
      </w:r>
    </w:p>
    <w:p>
      <w:pPr>
        <w:pStyle w:val="Normal"/>
        <w:spacing w:lineRule="auto" w:line="360" w:before="240" w:after="160"/>
        <w:jc w:val="both"/>
        <w:rPr/>
      </w:pPr>
      <w:r>
        <w:rPr>
          <w:rFonts w:eastAsia="Times New Roman" w:ascii="Times New Roman" w:hAnsi="Times New Roman"/>
          <w:b w:val="false"/>
          <w:i w:val="false"/>
          <w:color w:val="000000"/>
          <w:sz w:val="24"/>
        </w:rPr>
        <w:t>Place: Vellore</w:t>
        <w:br/>
        <w:t>Date: 30-10-2026</w:t>
      </w:r>
    </w:p>
    <w:tbl>
      <w:tblPr>
        <w:tblW w:w="9459"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3153"/>
        <w:gridCol w:w="3153"/>
        <w:gridCol w:w="3153"/>
      </w:tblGrid>
      <w:tr>
        <w:trPr>
          <w:tblHeader w:val="true"/>
        </w:trPr>
        <w:tc>
          <w:tcPr>
            <w:tcW w:w="3153"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Student name</w:t>
            </w:r>
          </w:p>
        </w:tc>
        <w:tc>
          <w:tcPr>
            <w:tcW w:w="3153"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Registration number</w:t>
            </w:r>
          </w:p>
        </w:tc>
        <w:tc>
          <w:tcPr>
            <w:tcW w:w="3153"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Signature</w:t>
            </w:r>
          </w:p>
        </w:tc>
      </w:tr>
      <w:tr>
        <w:trPr/>
        <w:tc>
          <w:tcPr>
            <w:tcW w:w="3153"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VISHAL TANTRI</w:t>
            </w:r>
          </w:p>
        </w:tc>
        <w:tc>
          <w:tcPr>
            <w:tcW w:w="3153"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15BCE0131</w:t>
            </w:r>
          </w:p>
        </w:tc>
        <w:tc>
          <w:tcPr>
            <w:tcW w:w="3153"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
          </w:p>
        </w:tc>
      </w:tr>
    </w:tbl>
    <w:p>
      <w:pPr>
        <w:pStyle w:val="Normal"/>
        <w:spacing w:before="0" w:after="60"/>
        <w:rPr/>
      </w:pPr>
      <w:r>
        <w:rPr/>
      </w:r>
    </w:p>
    <w:p>
      <w:pPr>
        <w:pStyle w:val="Normal"/>
        <w:spacing w:lineRule="auto" w:line="360" w:before="360" w:after="160"/>
        <w:jc w:val="both"/>
        <w:rPr/>
      </w:pPr>
      <w:r>
        <w:rPr>
          <w:rFonts w:eastAsia="Times New Roman" w:ascii="Times New Roman" w:hAnsi="Times New Roman"/>
          <w:b w:val="false"/>
          <w:i w:val="false"/>
          <w:color w:val="000000"/>
          <w:sz w:val="24"/>
        </w:rPr>
        <w:t>Signature of the Guide: ______________________________</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ABSTRACT</w:t>
      </w:r>
    </w:p>
    <w:p>
      <w:pPr>
        <w:pStyle w:val="Normal"/>
        <w:spacing w:lineRule="auto" w:line="360" w:before="0" w:after="120"/>
        <w:jc w:val="both"/>
        <w:rPr/>
      </w:pPr>
      <w:r>
        <w:rPr>
          <w:rFonts w:eastAsia="Times New Roman" w:ascii="Times New Roman" w:hAnsi="Times New Roman"/>
          <w:b w:val="false"/>
          <w:i w:val="false"/>
          <w:color w:val="000000"/>
          <w:sz w:val="24"/>
        </w:rPr>
        <w:t>Voice authentication must distinguish a genuine claimant from an impostor and from a synthetic voice. This project implements, audits and executes a score-level pipeline for emotion-conditioned spoofing-aware speaker verification on real speech: 53,900 speaker-disjoint trials combining ESD English bona fide recordings with 36,000 EmoSpoof-TTS clones from three generators. Speaker, emotion and countermeasure scores come from ECAPA-TDNN, wav2vec2-superb-ER and a log-mel CNN, with ASVspoof-2019 AASIST variants as transfer controls. Fusion is fitted on train, thresholds are chosen on dev, and test is reported once with grouped-bootstrap intervals. The speaker front-end accepts 82.9 % of targets and 38.8 % of clones, strongly generator-dependent (CosyVoice 59.0 %, F5-TTS 51.5 %, StyleTTS2 5.9 %). Conventional fusion cuts SASV-EER from 33.1 % to 0.60 % when the countermeasure works, while ASVspoof-2019 countermeasures do not transfer to these clones. With StyleTTS2 held out, the proposed gated arm is the best model (1.54 % against 2.27 %), but its learned gate weights are flat across emotions, so the gain cannot be attributed to emotion conditioning. The report states these results and their limits; no novelty over published systems is claimed.</w:t>
      </w:r>
    </w:p>
    <w:p>
      <w:pPr>
        <w:pStyle w:val="Normal"/>
        <w:spacing w:lineRule="auto" w:line="360" w:before="0" w:after="0"/>
        <w:jc w:val="both"/>
        <w:rPr/>
      </w:pPr>
      <w:r>
        <w:rPr>
          <w:rFonts w:eastAsia="Times New Roman" w:ascii="Times New Roman" w:hAnsi="Times New Roman"/>
          <w:b/>
          <w:i w:val="false"/>
          <w:color w:val="000000"/>
          <w:sz w:val="24"/>
        </w:rPr>
        <w:t>Keywords: speaker verification, anti-spoofing, speech emotion, score fusion, SASV, evaluation protocol.</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CONTENTS</w:t>
      </w:r>
    </w:p>
    <w:tbl>
      <w:tblPr>
        <w:tblW w:w="9458" w:type="dxa"/>
        <w:jc w:val="center"/>
        <w:tblInd w:w="0" w:type="dxa"/>
        <w:tblLayout w:type="fixed"/>
        <w:tblCellMar>
          <w:top w:w="55" w:type="dxa"/>
          <w:start w:w="65" w:type="dxa"/>
          <w:bottom w:w="55" w:type="dxa"/>
          <w:end w:w="65" w:type="dxa"/>
        </w:tblCellMar>
        <w:tblLook w:noHBand="0" w:noVBand="1" w:firstColumn="1" w:lastRow="0" w:lastColumn="0" w:firstRow="1" w:val="04a0"/>
      </w:tblPr>
      <w:tblGrid>
        <w:gridCol w:w="4729"/>
        <w:gridCol w:w="4729"/>
      </w:tblGrid>
      <w:tr>
        <w:trPr/>
        <w:tc>
          <w:tcPr>
            <w:tcW w:w="4729" w:type="dxa"/>
            <w:tcBorders/>
          </w:tcPr>
          <w:p>
            <w:pPr>
              <w:pStyle w:val="Normal"/>
              <w:spacing w:lineRule="auto" w:line="240" w:before="0" w:after="0"/>
              <w:jc w:val="start"/>
              <w:rPr/>
            </w:pPr>
            <w:r>
              <w:rPr>
                <w:rFonts w:eastAsia="Times New Roman" w:ascii="Times New Roman" w:hAnsi="Times New Roman"/>
                <w:b w:val="false"/>
                <w:i w:val="false"/>
                <w:color w:val="000000"/>
                <w:sz w:val="22"/>
              </w:rPr>
              <w:t>Abstract</w:t>
            </w:r>
          </w:p>
        </w:tc>
        <w:tc>
          <w:tcPr>
            <w:tcW w:w="4729" w:type="dxa"/>
            <w:tcBorders/>
          </w:tcPr>
          <w:p>
            <w:pPr>
              <w:pStyle w:val="Normal"/>
              <w:spacing w:lineRule="auto" w:line="240" w:before="0" w:after="0"/>
              <w:jc w:val="end"/>
              <w:rPr/>
            </w:pPr>
            <w:r>
              <w:rPr>
                <w:rFonts w:eastAsia="Times New Roman" w:ascii="Times New Roman" w:hAnsi="Times New Roman"/>
                <w:b w:val="false"/>
                <w:i w:val="false"/>
                <w:color w:val="000000"/>
                <w:sz w:val="22"/>
              </w:rPr>
              <w:t>3</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1  Introduction</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5</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2  Literature Review</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7</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3  Methodology</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10</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4  Results and Discussion</w:t>
            </w:r>
          </w:p>
        </w:tc>
        <w:tc>
          <w:tcPr>
            <w:tcW w:w="4729" w:type="dxa"/>
            <w:tcBorders/>
          </w:tcPr>
          <w:p>
            <w:pPr>
              <w:pStyle w:val="Normal"/>
              <w:spacing w:lineRule="auto" w:line="240" w:before="0" w:after="0"/>
              <w:jc w:val="end"/>
              <w:rPr/>
            </w:pPr>
            <w:r>
              <w:rPr>
                <w:rFonts w:eastAsia="Times New Roman" w:ascii="Times New Roman" w:hAnsi="Times New Roman"/>
                <w:b/>
                <w:i w:val="false"/>
                <w:color w:val="000000"/>
                <w:sz w:val="22"/>
              </w:rPr>
              <w:t>13</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Chapter 5  Conclusion</w:t>
            </w:r>
          </w:p>
        </w:tc>
        <w:tc>
          <w:tcPr>
            <w:tcW w:w="4729" w:type="dxa"/>
            <w:tcBorders/>
          </w:tcPr>
          <w:p>
            <w:r>
              <w:t>18</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References</w:t>
            </w:r>
          </w:p>
        </w:tc>
        <w:tc>
          <w:tcPr>
            <w:tcW w:w="4729" w:type="dxa"/>
            <w:tcBorders/>
          </w:tcPr>
          <w:p>
            <w:r>
              <w:t>19</w:t>
            </w:r>
          </w:p>
        </w:tc>
      </w:tr>
      <w:tr>
        <w:trPr/>
        <w:tc>
          <w:tcPr>
            <w:tcW w:w="4729" w:type="dxa"/>
            <w:tcBorders/>
          </w:tcPr>
          <w:p>
            <w:pPr>
              <w:pStyle w:val="Normal"/>
              <w:spacing w:lineRule="auto" w:line="240" w:before="0" w:after="0"/>
              <w:jc w:val="start"/>
              <w:rPr/>
            </w:pPr>
            <w:r>
              <w:rPr>
                <w:rFonts w:eastAsia="Times New Roman" w:ascii="Times New Roman" w:hAnsi="Times New Roman"/>
                <w:b/>
                <w:i w:val="false"/>
                <w:color w:val="000000"/>
                <w:sz w:val="22"/>
              </w:rPr>
              <w:t>Appendix</w:t>
            </w:r>
          </w:p>
        </w:tc>
        <w:tc>
          <w:tcPr>
            <w:tcW w:w="4729" w:type="dxa"/>
            <w:tcBorders/>
          </w:tcPr>
          <w:p>
            <w:r>
              <w:t>21</w:t>
            </w:r>
          </w:p>
        </w:tc>
      </w:tr>
    </w:tbl>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1</w:t>
        <w:br/>
        <w:t>INTRODUCTION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A person who opens a banking application by voice is rarely thinking about signal processing. They expect the system to recognise a familiar voice, even when they are tired, hurried, upset, or speaking from a noisy room. That simple expectation hides two separate questions. First, does the voice sound like the enrolled speaker? Second, is the audio a live, bona fide utterance rather than a recording, a text-to-speech sample, or a converted voice? Modern speaker verification has become very effective at representing speaker identity through learned embeddings [1]-[3], but a high speaker-similarity score alone does not prove that the signal is genuine. A convincing synthetic voice can preserve many properties that the identity model was trained to recognise.</w:t>
      </w:r>
    </w:p>
    <w:p>
      <w:pPr>
        <w:pStyle w:val="Normal"/>
        <w:spacing w:lineRule="auto" w:line="360" w:before="0" w:after="160"/>
        <w:ind w:firstLine="432"/>
        <w:jc w:val="both"/>
        <w:rPr/>
      </w:pPr>
      <w:r>
        <w:rPr>
          <w:rFonts w:eastAsia="Times New Roman" w:ascii="Times New Roman" w:hAnsi="Times New Roman"/>
          <w:b w:val="false"/>
          <w:i w:val="false"/>
          <w:color w:val="000000"/>
          <w:sz w:val="24"/>
        </w:rPr>
        <w:t>Spoofing-aware speaker verification addresses this practical gap. Instead of evaluating automatic speaker verification (ASV) and a spoofing countermeasure (CM) as unrelated modules, the SASV formulation evaluates target, nontarget, and spoof trials together [11]. This matters because a spoof that imitates the claimed speaker may be accepted by the ASV branch while still being rejected by a countermeasure. ASVspoof benchmarks make the threat more concrete by distinguishing logical-access attacks such as text-to-speech and voice conversion from physical replay attacks [9], [10]. The relevant question is therefore not merely whether a classifier detects a fake audio clip; it is whether an authentication decision remains safe while continuing to accept a genuine customer.</w:t>
      </w:r>
    </w:p>
    <w:p>
      <w:pPr>
        <w:pStyle w:val="Normal"/>
        <w:spacing w:lineRule="auto" w:line="360" w:before="0" w:after="160"/>
        <w:ind w:firstLine="432"/>
        <w:jc w:val="both"/>
        <w:rPr/>
      </w:pPr>
      <w:r>
        <w:rPr>
          <w:rFonts w:eastAsia="Times New Roman" w:ascii="Times New Roman" w:hAnsi="Times New Roman"/>
          <w:b w:val="false"/>
          <w:i w:val="false"/>
          <w:color w:val="000000"/>
          <w:sz w:val="24"/>
        </w:rPr>
        <w:t>Emotion makes that decision less straightforward. Anger, fear, happiness, sadness, and surprise can change pitch, energy, timing, and spectral structure. These changes can make two recordings from the same person less alike to an ASV system, and they can also change the artifacts on which an anti-spoofing model relies. Recent work on emotional synthetic speech shows that a countermeasure trained predominantly on neutral speech may behave unevenly across emotions [16]. Emotion should not therefore be treated as a password or as direct evidence of identity. It is better treated as uncertain context that may help a fusion module decide how much confidence to place in speaker and CM scores.</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EASV project investigates that narrower idea. It does not claim that emotion is always useful, that a particular fusion mechanism is novel, or that the present code is a deployable biometric system. It builds the score-level machinery needed to test whether predicted emotion probabilities and their uncertainty improve a conventional speaker-plus-countermeasure baseline. The implementation keeps ground-truth emotion labels in the manifest for split definition and error analysis; they are never given directly to a fusion model. This restriction prevents a deceptively easy form of label leakage.</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importance of this work lies in evaluation discipline as much as in model design. A small apparent gain is not useful if it comes from tuning on the test split, accepting more spoofed trials, or rejecting more genuine emotional speech. The project therefore separates train, development, and test roles; checks speaker, generator, and emotion overlap; and reports threshold-free and threshold-dependent measures. The current repository contains synthetic data generation and score-level experiments, not audio encoders or public-corpus runs. Its immediate contribution is a transparent experimental base from which a real study can be conducted honestly.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remainder of this report follows the requested progression. Chapter 2 reviews the work by technical theme: speaker representations, self-supervised speech learning, anti-spoofing, integrated SASV fusion, and emotion-aware analysis. Chapter 3 explains the implemented data contract and fusion ladder. Chapter 4 presents the audited software execution and synthetic demonstration, together with its limitations. Chapter 5 concludes with the work completed, practical implications, and the steps required before a real-data result can be reported.</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2</w:t>
        <w:br/>
        <w:t>LITERATURE REVIEW</w:t>
      </w:r>
    </w:p>
    <w:p>
      <w:pPr>
        <w:pStyle w:val="Normal"/>
        <w:spacing w:lineRule="auto" w:line="360" w:before="0" w:after="160"/>
        <w:jc w:val="both"/>
        <w:rPr/>
      </w:pPr>
      <w:r>
        <w:rPr>
          <w:rFonts w:eastAsia="Times New Roman" w:ascii="Times New Roman" w:hAnsi="Times New Roman"/>
          <w:b w:val="false"/>
          <w:i w:val="false"/>
          <w:color w:val="000000"/>
          <w:sz w:val="24"/>
        </w:rPr>
        <w:t>The literature is organised by the technical problems addressed by the project rather than as a list of papers. Each theme relates prior work to a concrete design decision or caution in the present implementation.</w:t>
      </w:r>
    </w:p>
    <w:p>
      <w:pPr>
        <w:pStyle w:val="Normal"/>
        <w:keepNext w:val="true"/>
        <w:spacing w:lineRule="auto" w:line="240" w:before="160" w:after="160"/>
        <w:jc w:val="start"/>
        <w:rPr/>
      </w:pPr>
      <w:r>
        <w:rPr>
          <w:rFonts w:eastAsia="Times New Roman" w:ascii="Times New Roman" w:hAnsi="Times New Roman"/>
          <w:b/>
          <w:i w:val="false"/>
          <w:color w:val="000000"/>
          <w:sz w:val="24"/>
        </w:rPr>
        <w:t>2.1 Speaker verification representations</w:t>
      </w:r>
    </w:p>
    <w:p>
      <w:pPr>
        <w:pStyle w:val="Normal"/>
        <w:spacing w:lineRule="auto" w:line="360" w:before="0" w:after="160"/>
        <w:ind w:firstLine="432"/>
        <w:jc w:val="both"/>
        <w:rPr/>
      </w:pPr>
      <w:r>
        <w:rPr>
          <w:rFonts w:eastAsia="Times New Roman" w:ascii="Times New Roman" w:hAnsi="Times New Roman"/>
          <w:b w:val="false"/>
          <w:i w:val="false"/>
          <w:color w:val="000000"/>
          <w:sz w:val="24"/>
        </w:rPr>
        <w:t>Speaker verification changed substantially when systems moved from hand-designed acoustic statistics to fixed-dimensional speaker embeddings. Factor-analysis approaches established a useful baseline for comparison [1], while the x-vector architecture demonstrated how temporal neural features and statistics pooling could create a speaker representation from variable-length speech [2]. ECAPA-TDNN refined this family with channel attention, multi-scale processing, and attentive pooling [3]. These studies explain why a scalar speaker score is a sensible input to a later fusion stage: it carries a compact estimate of agreement between a claimed identity and a test utterance.</w:t>
      </w:r>
    </w:p>
    <w:p>
      <w:pPr>
        <w:pStyle w:val="Normal"/>
        <w:spacing w:lineRule="auto" w:line="360" w:before="0" w:after="160"/>
        <w:ind w:firstLine="432"/>
        <w:jc w:val="both"/>
        <w:rPr/>
      </w:pPr>
      <w:r>
        <w:rPr>
          <w:rFonts w:eastAsia="Times New Roman" w:ascii="Times New Roman" w:hAnsi="Times New Roman"/>
          <w:b w:val="false"/>
          <w:i w:val="false"/>
          <w:color w:val="000000"/>
          <w:sz w:val="24"/>
        </w:rPr>
        <w:t>At the same time, the speaker-embedding literature also exposes a limitation relevant to this project. An embedding is optimised to discriminate speakers, not to establish whether an utterance is genuine. Large speaker corpora such as VoxCeleb and VoxCeleb2 enabled increasingly strong representations [20], [21], but they do not remove the need for a spoofing countermeasure. The EASV code consequently treats a speaker score as one source of evidence rather than as the entire authentication decision.</w:t>
      </w:r>
    </w:p>
    <w:p>
      <w:pPr>
        <w:pStyle w:val="Normal"/>
        <w:keepNext w:val="true"/>
        <w:spacing w:lineRule="auto" w:line="240" w:before="160" w:after="160"/>
        <w:jc w:val="start"/>
        <w:rPr/>
      </w:pPr>
      <w:r>
        <w:rPr>
          <w:rFonts w:eastAsia="Times New Roman" w:ascii="Times New Roman" w:hAnsi="Times New Roman"/>
          <w:b/>
          <w:i w:val="false"/>
          <w:color w:val="000000"/>
          <w:sz w:val="24"/>
        </w:rPr>
        <w:t>2.2 Self-supervised speech representations</w:t>
      </w:r>
    </w:p>
    <w:p>
      <w:pPr>
        <w:pStyle w:val="Normal"/>
        <w:spacing w:lineRule="auto" w:line="360" w:before="0" w:after="160"/>
        <w:ind w:firstLine="432"/>
        <w:jc w:val="both"/>
        <w:rPr/>
      </w:pPr>
      <w:r>
        <w:rPr>
          <w:rFonts w:eastAsia="Times New Roman" w:ascii="Times New Roman" w:hAnsi="Times New Roman"/>
          <w:b w:val="false"/>
          <w:i w:val="false"/>
          <w:color w:val="000000"/>
          <w:sz w:val="24"/>
        </w:rPr>
        <w:t>Self-supervised learning broadened the range of information available in a speech representation. wav2vec 2.0 learned speech features from masked latent targets [6], HuBERT used hidden-unit prediction [5], and WavLM combined masked prediction with a denoising objective designed for full-stack speech processing [4]. These models are relevant because speech carries linguistic, speaker, channel, and paralinguistic variation at the same time. A common upstream encoder could eventually supply inputs to speaker, spoofing, and emotion branches.</w:t>
      </w:r>
    </w:p>
    <w:p>
      <w:pPr>
        <w:pStyle w:val="Normal"/>
        <w:spacing w:lineRule="auto" w:line="360" w:before="0" w:after="160"/>
        <w:ind w:firstLine="432"/>
        <w:jc w:val="both"/>
        <w:rPr/>
      </w:pPr>
      <w:r>
        <w:rPr>
          <w:rFonts w:eastAsia="Times New Roman" w:ascii="Times New Roman" w:hAnsi="Times New Roman"/>
          <w:b w:val="false"/>
          <w:i w:val="false"/>
          <w:color w:val="000000"/>
          <w:sz w:val="24"/>
        </w:rPr>
        <w:t>However, a broadly useful representation is not evidence that one shared encoder is best for every task. The present repository deliberately avoids such a claim. It accepts pre-computed scores so that researchers can compare a conventional ECAPA-style ASV backend, an AASIST-style CM backend, and a speech-emotion recogniser without changing the evaluation code. A future real-data experiment should document the checkpoint, sample rate, pooling strategy, and whether each encoder is frozen or fine-tuned before comparing systems.</w:t>
      </w:r>
    </w:p>
    <w:p>
      <w:pPr>
        <w:pStyle w:val="Normal"/>
        <w:keepNext w:val="true"/>
        <w:spacing w:lineRule="auto" w:line="240" w:before="160" w:after="160"/>
        <w:jc w:val="start"/>
        <w:rPr/>
      </w:pPr>
      <w:r>
        <w:rPr>
          <w:rFonts w:eastAsia="Times New Roman" w:ascii="Times New Roman" w:hAnsi="Times New Roman"/>
          <w:b/>
          <w:i w:val="false"/>
          <w:color w:val="000000"/>
          <w:sz w:val="24"/>
        </w:rPr>
        <w:t>2.3 Spoofing and countermeasure research</w:t>
      </w:r>
    </w:p>
    <w:p>
      <w:pPr>
        <w:pStyle w:val="Normal"/>
        <w:spacing w:lineRule="auto" w:line="360" w:before="0" w:after="160"/>
        <w:ind w:firstLine="432"/>
        <w:jc w:val="both"/>
        <w:rPr/>
      </w:pPr>
      <w:r>
        <w:rPr>
          <w:rFonts w:eastAsia="Times New Roman" w:ascii="Times New Roman" w:hAnsi="Times New Roman"/>
          <w:b w:val="false"/>
          <w:i w:val="false"/>
          <w:color w:val="000000"/>
          <w:sz w:val="24"/>
        </w:rPr>
        <w:t>Anti-spoofing research considers attacks that exploit the gap between a human voice and an authentication model. The ASVspoof series provides common protocols for logical-access, physical-access, and deepfake conditions [9], [10], [23], while t-DCF formalises the cost of a countermeasure paired with an ASV system [13]. End-to-end countermeasures such as RawNet2 [8] and graph-attention architectures such as AASIST [7] model artifacts that may occur across temporal and spectral dimensions. These are candidate score producers for the EASV pipeline; they are not implemented in this repository.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central lesson is that evaluation must reflect the intended threat. A countermeasure may appear accurate on a known attack type but fail after codec changes, replay conditions, or a new generator. The manifest schema in this project records attack system and split explicitly so that a cross-generator claim can be audited rather than assumed. It also avoids reporting a meaningless EER for a single-class attack subset, using spoof-acceptance rate where appropriate.</w:t>
      </w:r>
    </w:p>
    <w:p>
      <w:pPr>
        <w:pStyle w:val="Normal"/>
        <w:keepNext w:val="true"/>
        <w:spacing w:lineRule="auto" w:line="240" w:before="160" w:after="160"/>
        <w:jc w:val="start"/>
        <w:rPr/>
      </w:pPr>
      <w:r>
        <w:rPr>
          <w:rFonts w:eastAsia="Times New Roman" w:ascii="Times New Roman" w:hAnsi="Times New Roman"/>
          <w:b/>
          <w:i w:val="false"/>
          <w:color w:val="000000"/>
          <w:sz w:val="24"/>
        </w:rPr>
        <w:t>2.4 Integrated SASV and score fusion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first SASV challenge placed target, nontarget, and spoof trials in one joint evaluation [11]. Its baselines compared score fusion and embedding fusion [12], and subsequent work explored neural score fusion, integrated projection, and multi-level fusion [29]-[31]. These studies show that a conventional linear score fusion is a necessary baseline, because it tests whether any complex model improves on a simple combination of ASV and CM evidence.</w:t>
      </w:r>
    </w:p>
    <w:p>
      <w:pPr>
        <w:pStyle w:val="Normal"/>
        <w:spacing w:lineRule="auto" w:line="360" w:before="0" w:after="160"/>
        <w:ind w:firstLine="432"/>
        <w:jc w:val="both"/>
        <w:rPr/>
      </w:pPr>
      <w:r>
        <w:rPr>
          <w:rFonts w:eastAsia="Times New Roman" w:ascii="Times New Roman" w:hAnsi="Times New Roman"/>
          <w:b w:val="false"/>
          <w:i w:val="false"/>
          <w:color w:val="000000"/>
          <w:sz w:val="24"/>
        </w:rPr>
        <w:t>EASV implements that comparison as a fixed ladder. The speaker-only and linear models establish lower-complexity baselines. The additive model asks whether extra emotion features help without conditioning the score weights. The interaction model asks whether any gain is due simply to greater capacity. The gated model is then interpretable as a hypothesis: predicted emotion and uncertainty may select non-negative, trial-specific weights for speaker and CM evidence. This is an experimental design choice, not a verified contribution claim.</w:t>
      </w:r>
    </w:p>
    <w:p>
      <w:pPr>
        <w:pStyle w:val="Normal"/>
        <w:keepNext w:val="true"/>
        <w:spacing w:lineRule="auto" w:line="240" w:before="160" w:after="160"/>
        <w:jc w:val="start"/>
        <w:rPr/>
      </w:pPr>
      <w:r>
        <w:rPr>
          <w:rFonts w:eastAsia="Times New Roman" w:ascii="Times New Roman" w:hAnsi="Times New Roman"/>
          <w:b/>
          <w:i w:val="false"/>
          <w:color w:val="000000"/>
          <w:sz w:val="24"/>
        </w:rPr>
        <w:t>2.5 Emotion-aware speech and the remaining question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Emotion recognition has been studied as a semantic signal for deepfake detection. Conti et al. used emotion-related descriptors as high-level features for audio deepfake detection [15]. More recently, Mahapatra et al. documented emotion dependent weaknesses in anti-spoofing and proposed a gated ensemble of emotion-specialised countermeasures [16]. Emotion has also been considered in style-dependent speaker verification [17], [18]. Together, these studies make it plausible that emotion changes the reliability of authentication evidence, but they also make it unsafe to assert that an emotion-conditioned SASV fusion design has not already been covered by prior work.</w:t>
      </w:r>
    </w:p>
    <w:p>
      <w:pPr>
        <w:pStyle w:val="Normal"/>
        <w:spacing w:lineRule="auto" w:line="360" w:before="0" w:after="160"/>
        <w:ind w:firstLine="432"/>
        <w:jc w:val="both"/>
        <w:rPr/>
      </w:pPr>
      <w:r>
        <w:rPr>
          <w:rFonts w:eastAsia="Times New Roman" w:ascii="Times New Roman" w:hAnsi="Times New Roman"/>
          <w:b w:val="false"/>
          <w:i w:val="false"/>
          <w:color w:val="000000"/>
          <w:sz w:val="24"/>
        </w:rPr>
        <w:t>Accordingly, the project retains a novelty gate. The closest papers must be read in full, compared on inputs, fusion point, datasets, splits, metrics, and generalisation conditions, and recorded in a traceable matrix before a novelty statement is written. The defensible current position is modest: the repository supplies a leakage-aware way to evaluate a particular score-level hypothesis. Whether emotion-conditioned fusion helps on real speech, which emotions benefit, and how it compares with the closest work remain open empirical questions.</w:t>
      </w:r>
    </w:p>
    <w:p>
      <w:pPr>
        <w:pStyle w:val="Normal"/>
        <w:keepNext w:val="true"/>
        <w:spacing w:lineRule="auto" w:line="240" w:before="160" w:after="160"/>
        <w:jc w:val="start"/>
        <w:rPr/>
      </w:pPr>
      <w:r>
        <w:rPr>
          <w:rFonts w:eastAsia="Times New Roman" w:ascii="Times New Roman" w:hAnsi="Times New Roman"/>
          <w:b/>
          <w:i w:val="false"/>
          <w:color w:val="000000"/>
          <w:sz w:val="24"/>
        </w:rPr>
        <w:t>2.6 Evaluation discipline and reproducibility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value of a spoofing-aware result depends on the protocol that produced it. The ASVspoof evaluation plans make the attack setting, priors, and score conventions explicit [9], [10], while tandem and architecture-agnostic cost functions connect error rates to an authentication decision [13], [14]. These measures are not interchangeable. A small EER difference can conceal a poor operating point, and a countermeasure result alone cannot show whether a spoof is still accepted as the claimed speaker. For that reason, EASV retains the raw score sources, uses development data for threshold selection, and reports target, nontarget, and spoof behaviour together.</w:t>
      </w:r>
    </w:p>
    <w:p>
      <w:pPr>
        <w:pStyle w:val="Normal"/>
        <w:spacing w:lineRule="auto" w:line="360" w:before="0" w:after="160"/>
        <w:ind w:firstLine="432"/>
        <w:jc w:val="both"/>
        <w:rPr/>
      </w:pPr>
      <w:r>
        <w:rPr>
          <w:rFonts w:eastAsia="Times New Roman" w:ascii="Times New Roman" w:hAnsi="Times New Roman"/>
          <w:b w:val="false"/>
          <w:i w:val="false"/>
          <w:color w:val="000000"/>
          <w:sz w:val="24"/>
        </w:rPr>
        <w:t>Reproducibility also requires the negative result to be visible. Toolkits such as SpeechBrain [19] make it easier to reuse standard score producers, but a reproducible claim still requires the checkpoint, corpus version, trial list, split rule, and calibration procedure. The present project operationalises this principle through a manifest audit and a recorded configuration rather than claiming that code alone is a completed experiment. This literature theme motivates the audit-first methodology in the next chapter: before comparing models, the study must be able to show what every trial represents and why it belongs in its assigned split.</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3</w:t>
        <w:br/>
        <w:t>METHODOLOGY</w:t>
      </w:r>
    </w:p>
    <w:p>
      <w:pPr>
        <w:pStyle w:val="Normal"/>
        <w:spacing w:lineRule="auto" w:line="360" w:before="0" w:after="160"/>
        <w:jc w:val="both"/>
        <w:rPr/>
      </w:pPr>
      <w:r>
        <w:rPr>
          <w:rFonts w:eastAsia="Times New Roman" w:ascii="Times New Roman" w:hAnsi="Times New Roman"/>
          <w:b w:val="false"/>
          <w:i w:val="false"/>
          <w:color w:val="000000"/>
          <w:sz w:val="24"/>
        </w:rPr>
        <w:t>This chapter documents the implemented evaluation framework. It does not describe an already-trained end-to-end audio system; its inputs are auditable trial metadata and pre-computed model scores.</w:t>
      </w:r>
    </w:p>
    <w:tbl>
      <w:tblPr>
        <w:tblW w:w="9458" w:type="dxa"/>
        <w:jc w:val="center"/>
        <w:tblInd w:w="0" w:type="dxa"/>
        <w:tblLayout w:type="fixed"/>
        <w:tblCellMar>
          <w:top w:w="100" w:type="dxa"/>
          <w:start w:w="130" w:type="dxa"/>
          <w:bottom w:w="100" w:type="dxa"/>
          <w:end w:w="130" w:type="dxa"/>
        </w:tblCellMar>
        <w:tblLook w:noHBand="0" w:noVBand="1" w:firstColumn="1" w:lastRow="0" w:lastColumn="0" w:firstRow="1" w:val="04a0"/>
      </w:tblPr>
      <w:tblGrid>
        <w:gridCol w:w="9458"/>
      </w:tblGrid>
      <w:tr>
        <w:trPr/>
        <w:tc>
          <w:tcPr>
            <w:tcW w:w="9458" w:type="dxa"/>
            <w:tcBorders>
              <w:top w:val="single" w:sz="6" w:space="0" w:color="B4C7E7"/>
              <w:start w:val="single" w:sz="6" w:space="0" w:color="B4C7E7"/>
              <w:bottom w:val="single" w:sz="6" w:space="0" w:color="B4C7E7"/>
              <w:end w:val="single" w:sz="6" w:space="0" w:color="B4C7E7"/>
            </w:tcBorders>
            <w:shd w:fill="D9EAF7" w:val="clear"/>
          </w:tcPr>
          <w:p>
            <w:pPr>
              <w:pStyle w:val="Normal"/>
              <w:spacing w:lineRule="auto" w:line="240" w:before="0" w:after="0"/>
              <w:jc w:val="center"/>
              <w:rPr/>
            </w:pPr>
            <w:r>
              <w:rPr>
                <w:rFonts w:eastAsia="Times New Roman" w:ascii="Times New Roman" w:hAnsi="Times New Roman"/>
                <w:b/>
                <w:i w:val="false"/>
                <w:color w:val="000000"/>
                <w:sz w:val="20"/>
              </w:rPr>
              <w:t>Input trial and claimed identity</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F7FBFE" w:val="clear"/>
          </w:tcPr>
          <w:p>
            <w:pPr>
              <w:pStyle w:val="Normal"/>
              <w:spacing w:lineRule="auto" w:line="240" w:before="0" w:after="0"/>
              <w:jc w:val="center"/>
              <w:rPr/>
            </w:pPr>
            <w:r>
              <w:rPr>
                <w:rFonts w:eastAsia="Times New Roman" w:ascii="Times New Roman" w:hAnsi="Times New Roman"/>
                <w:b w:val="false"/>
                <w:i w:val="false"/>
                <w:color w:val="000000"/>
                <w:sz w:val="20"/>
              </w:rPr>
              <w:t>Score producers: speaker score, countermeasure score, predicted emotion probabilities</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D9EAF7" w:val="clear"/>
          </w:tcPr>
          <w:p>
            <w:pPr>
              <w:pStyle w:val="Normal"/>
              <w:spacing w:lineRule="auto" w:line="240" w:before="0" w:after="0"/>
              <w:jc w:val="center"/>
              <w:rPr/>
            </w:pPr>
            <w:r>
              <w:rPr>
                <w:rFonts w:eastAsia="Times New Roman" w:ascii="Times New Roman" w:hAnsi="Times New Roman"/>
                <w:b w:val="false"/>
                <w:i w:val="false"/>
                <w:color w:val="000000"/>
                <w:sz w:val="20"/>
              </w:rPr>
              <w:t>Manifest and score audit: schema, split, speaker, generator, and emotion checks</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F7FBFE" w:val="clear"/>
          </w:tcPr>
          <w:p>
            <w:pPr>
              <w:pStyle w:val="Normal"/>
              <w:spacing w:lineRule="auto" w:line="240" w:before="0" w:after="0"/>
              <w:jc w:val="center"/>
              <w:rPr/>
            </w:pPr>
            <w:r>
              <w:rPr>
                <w:rFonts w:eastAsia="Times New Roman" w:ascii="Times New Roman" w:hAnsi="Times New Roman"/>
                <w:b w:val="false"/>
                <w:i w:val="false"/>
                <w:color w:val="000000"/>
                <w:sz w:val="20"/>
              </w:rPr>
              <w:t>Fusion ladder trained only on train split</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D9EAF7" w:val="clear"/>
          </w:tcPr>
          <w:p>
            <w:pPr>
              <w:pStyle w:val="Normal"/>
              <w:spacing w:lineRule="auto" w:line="240" w:before="0" w:after="0"/>
              <w:jc w:val="center"/>
              <w:rPr/>
            </w:pPr>
            <w:r>
              <w:rPr>
                <w:rFonts w:eastAsia="Times New Roman" w:ascii="Times New Roman" w:hAnsi="Times New Roman"/>
                <w:b w:val="false"/>
                <w:i w:val="false"/>
                <w:color w:val="000000"/>
                <w:sz w:val="20"/>
              </w:rPr>
              <w:t>Development split selects the operating threshold</w:t>
            </w:r>
          </w:p>
          <w:p>
            <w:pPr>
              <w:pStyle w:val="Normal"/>
              <w:spacing w:lineRule="auto" w:line="240" w:before="0" w:after="0"/>
              <w:jc w:val="center"/>
              <w:rPr/>
            </w:pPr>
            <w:r>
              <w:rPr>
                <w:rFonts w:eastAsia="Times New Roman" w:ascii="Times New Roman" w:hAnsi="Times New Roman"/>
                <w:b/>
                <w:i w:val="false"/>
                <w:color w:val="000000"/>
                <w:sz w:val="24"/>
              </w:rPr>
              <w:t>↓</w:t>
            </w:r>
          </w:p>
        </w:tc>
      </w:tr>
      <w:tr>
        <w:trPr/>
        <w:tc>
          <w:tcPr>
            <w:tcW w:w="9458" w:type="dxa"/>
            <w:tcBorders>
              <w:top w:val="single" w:sz="6" w:space="0" w:color="B4C7E7"/>
              <w:start w:val="single" w:sz="6" w:space="0" w:color="B4C7E7"/>
              <w:bottom w:val="single" w:sz="6" w:space="0" w:color="B4C7E7"/>
              <w:end w:val="single" w:sz="6" w:space="0" w:color="B4C7E7"/>
            </w:tcBorders>
            <w:shd w:fill="F7FBFE" w:val="clear"/>
          </w:tcPr>
          <w:p>
            <w:pPr>
              <w:pStyle w:val="Normal"/>
              <w:spacing w:lineRule="auto" w:line="240" w:before="0" w:after="0"/>
              <w:jc w:val="center"/>
              <w:rPr/>
            </w:pPr>
            <w:r>
              <w:rPr>
                <w:rFonts w:eastAsia="Times New Roman" w:ascii="Times New Roman" w:hAnsi="Times New Roman"/>
                <w:b/>
                <w:i w:val="false"/>
                <w:color w:val="000000"/>
                <w:sz w:val="20"/>
              </w:rPr>
              <w:t>One-time test reporting with SASV-EER, DCF, calibration, and group breakdowns</w:t>
            </w:r>
          </w:p>
        </w:tc>
      </w:tr>
    </w:tbl>
    <w:p>
      <w:pPr>
        <w:pStyle w:val="Normal"/>
        <w:spacing w:before="0" w:after="80"/>
        <w:rPr/>
      </w:pPr>
      <w:r>
        <w:rPr/>
      </w:r>
    </w:p>
    <w:p>
      <w:pPr>
        <w:pStyle w:val="Normal"/>
        <w:keepNext w:val="true"/>
        <w:spacing w:lineRule="auto" w:line="240" w:before="160" w:after="160"/>
        <w:jc w:val="start"/>
        <w:rPr/>
      </w:pPr>
      <w:r>
        <w:rPr>
          <w:rFonts w:eastAsia="Times New Roman" w:ascii="Times New Roman" w:hAnsi="Times New Roman"/>
          <w:b/>
          <w:i w:val="false"/>
          <w:color w:val="000000"/>
          <w:sz w:val="24"/>
        </w:rPr>
        <w:t>3.1 Scope and system boundary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implemented system begins after audio models have produced scores. It does not train WavLM, HuBERT, ECAPA-TDNN, AASIST, or a speech-emotion recogniser. For each trial, the score file contains a speaker score, a countermeasure score, and optional predicted emotion-probability columns. The separate manifest contains the experimental truth: trial identity, split, actual and claimed speaker, trial type, emotion label, attack system, source, and path. Keeping these files separate makes it easier to show that ground-truth labels were not passed to the fusion model.</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intended decision is acceptance for bona fide target trials and rejection for bona fide nontarget or spoof trials. A larger speaker score means a closer claimed-speaker match; a larger CM score means more evidence of bona fide speech. Every fusion model returns an acceptance logit, and the rule is accept when the logit is at least the development-selected threshold. Score directions are documented once so that a sign reversal cannot create an apparently successful but invalid run.</w:t>
      </w:r>
    </w:p>
    <w:p>
      <w:pPr>
        <w:pStyle w:val="Normal"/>
        <w:keepNext w:val="true"/>
        <w:spacing w:lineRule="auto" w:line="240" w:before="160" w:after="160"/>
        <w:jc w:val="start"/>
        <w:rPr/>
      </w:pPr>
      <w:r>
        <w:rPr>
          <w:rFonts w:eastAsia="Times New Roman" w:ascii="Times New Roman" w:hAnsi="Times New Roman"/>
          <w:b/>
          <w:i w:val="false"/>
          <w:color w:val="000000"/>
          <w:sz w:val="24"/>
        </w:rPr>
        <w:t>3.2 Audit and split discipline</w:t>
      </w:r>
    </w:p>
    <w:p>
      <w:pPr>
        <w:pStyle w:val="Normal"/>
        <w:spacing w:lineRule="auto" w:line="360" w:before="0" w:after="160"/>
        <w:ind w:firstLine="432"/>
        <w:jc w:val="both"/>
        <w:rPr/>
      </w:pPr>
      <w:r>
        <w:rPr>
          <w:rFonts w:eastAsia="Times New Roman" w:ascii="Times New Roman" w:hAnsi="Times New Roman"/>
          <w:b w:val="false"/>
          <w:i w:val="false"/>
          <w:color w:val="000000"/>
          <w:sz w:val="24"/>
        </w:rPr>
        <w:t>Before fitting a model, the audit checks manifest schema and trial consistency. It verifies that target trials use the claimed speaker, nontarget trials do not, each score row joins exactly once by trial identifier, and class counts are visible by split. It also reports overlap in speaker identities, generators, and emotions. An overlap finding is not silently ignored; it is reported as an error or warning so the investigator can state exactly what a generalisation result does and does not show.</w:t>
      </w:r>
    </w:p>
    <w:p>
      <w:pPr>
        <w:pStyle w:val="Normal"/>
        <w:spacing w:lineRule="auto" w:line="360" w:before="0" w:after="160"/>
        <w:ind w:firstLine="432"/>
        <w:jc w:val="both"/>
        <w:rPr/>
      </w:pPr>
      <w:r>
        <w:rPr>
          <w:rFonts w:eastAsia="Times New Roman" w:ascii="Times New Roman" w:hAnsi="Times New Roman"/>
          <w:b w:val="false"/>
          <w:i w:val="false"/>
          <w:color w:val="000000"/>
          <w:sz w:val="24"/>
        </w:rPr>
        <w:t>Training, development, and test data have distinct roles. Model parameters and feature scalers are fitted on train only. The development split selects a threshold by EER or a stated false-accept budget. The test split is then evaluated once. This prevents threshold leakage and keeps model selection from consuming the held-out result. Grouped bootstrap resampling uses claimed speakers as the unit, because trials from one speaker are correlated rather than independent.</w:t>
      </w:r>
    </w:p>
    <w:p>
      <w:pPr>
        <w:pStyle w:val="Normal"/>
        <w:keepNext w:val="true"/>
        <w:spacing w:lineRule="auto" w:line="240" w:before="160" w:after="160"/>
        <w:jc w:val="start"/>
        <w:rPr/>
      </w:pPr>
      <w:r>
        <w:rPr>
          <w:rFonts w:eastAsia="Times New Roman" w:ascii="Times New Roman" w:hAnsi="Times New Roman"/>
          <w:b/>
          <w:i w:val="false"/>
          <w:color w:val="000000"/>
          <w:sz w:val="24"/>
        </w:rPr>
        <w:t>3.3 Fusion model ladder</w:t>
      </w:r>
    </w:p>
    <w:p>
      <w:pPr>
        <w:pStyle w:val="Normal"/>
        <w:spacing w:lineRule="auto" w:line="360" w:before="0" w:after="160"/>
        <w:ind w:firstLine="432"/>
        <w:jc w:val="both"/>
        <w:rPr/>
      </w:pPr>
      <w:r>
        <w:rPr>
          <w:rFonts w:eastAsia="Times New Roman" w:ascii="Times New Roman" w:hAnsi="Times New Roman"/>
          <w:b w:val="false"/>
          <w:i w:val="false"/>
          <w:color w:val="000000"/>
          <w:sz w:val="24"/>
        </w:rPr>
        <w:t>Five models are fitted under one configuration. Speaker-only logistic fusion receives only the ASV score. The conventional linear baseline receives speaker and CM scores and is fitted with L2-regularised logistic regression using L-BFGS. The additive model appends emotion probabilities, normalised entropy, and maximum probability. The interaction model adds speaker-by-emotion and CM-by-emotion terms, providing a capacity control for the proposed model.</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emotion-gated model computes a small tanh hidden representation from predicted emotion probabilities and, when enabled, normalised entropy and confidence. A softplus transformation yields non-negative per-trial weights on standardised speaker and CM scores, together with an emotion-conditioned bias. It is trained with logistic loss, L2 penalties, Adam updates, and an internal training-only validation fraction for early stopping. The saved JSON state includes scalers and parameters so a new score file can be evaluated without refitting.</w:t>
      </w:r>
    </w:p>
    <w:p>
      <w:pPr>
        <w:pStyle w:val="Normal"/>
        <w:keepNext w:val="true"/>
        <w:spacing w:lineRule="auto" w:line="240" w:before="160" w:after="160"/>
        <w:jc w:val="start"/>
        <w:rPr/>
      </w:pPr>
      <w:r>
        <w:rPr>
          <w:rFonts w:eastAsia="Times New Roman" w:ascii="Times New Roman" w:hAnsi="Times New Roman"/>
          <w:b/>
          <w:i w:val="false"/>
          <w:color w:val="000000"/>
          <w:sz w:val="24"/>
        </w:rPr>
        <w:t>3.4 Metrics and reporting</w:t>
      </w:r>
    </w:p>
    <w:p>
      <w:pPr>
        <w:pStyle w:val="Normal"/>
        <w:spacing w:lineRule="auto" w:line="360" w:before="0" w:after="160"/>
        <w:ind w:firstLine="432"/>
        <w:jc w:val="both"/>
        <w:rPr/>
      </w:pPr>
      <w:r>
        <w:rPr>
          <w:rFonts w:eastAsia="Times New Roman" w:ascii="Times New Roman" w:hAnsi="Times New Roman"/>
          <w:b w:val="false"/>
          <w:i w:val="false"/>
          <w:color w:val="000000"/>
          <w:sz w:val="24"/>
        </w:rPr>
        <w:t>SASV-EER is the primary threshold-free measure: target trials form the positive class, while nontarget and spoof trials form the negative class. SV-EER and spoofing EER remain diagnostic components. The implementation also computes minimum a-DCF, minimum t-DCF under documented normalisations, FAR, FRR, precision, recall, F1, Brier score, and expected calibration error. Threshold-dependent quantities are always reported with their development-set threshold policy.</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report generator writes a Markdown and JSON record with model descriptions, settings, per-trial test scores, split summaries, per-emotion breakdowns, per-attack spoof-acceptance rates, grouped-bootstrap confidence intervals, and paired comparisons against the linear baseline. This supports a useful audit trail: a reviewer can tell whether a reported gain is absolute, statistically uncertain, concentrated in one subset, or accompanied by a harmful rise in false rejection.</w:t>
      </w:r>
    </w:p>
    <w:p>
      <w:pPr>
        <w:pStyle w:val="Normal"/>
        <w:keepNext w:val="true"/>
        <w:spacing w:lineRule="auto" w:line="240" w:before="160" w:after="160"/>
        <w:jc w:val="start"/>
        <w:rPr/>
      </w:pPr>
      <w:r>
        <w:rPr>
          <w:rFonts w:eastAsia="Times New Roman" w:ascii="Times New Roman" w:hAnsi="Times New Roman"/>
          <w:b/>
          <w:i w:val="false"/>
          <w:color w:val="000000"/>
          <w:sz w:val="24"/>
        </w:rPr>
        <w:t>3.5 Data plan and current synthetic demonstration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For a real study, the proposed data plan would combine an ASVspoof/SASV-compatible speaker and attack protocol with an emotion source whose labels, licences, and taxonomy are documented. The code has no bundled real audio, scores, model weights, or label maps. These omissions are deliberate: no result should appear before the dataset provenance and score producer are known. The configuration template records where dataset versions, licences, and emotion-label acquisition must be written for a real run.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included demonstration is synthetic. It simulates speaker-disjoint splits, train/dev/test attack systems, five training emotions, a held-out test emotion, and score distributions whose uncertainty varies by emotion. The simulation was designed to exercise the audit and fusion code, not to approximate a public corpus. Consequently, its numbers can verify that the pipeline operates end to end, but cannot establish that emotion-conditioned fusion improves authentication in practice.</w:t>
      </w:r>
    </w:p>
    <w:p>
      <w:pPr>
        <w:pStyle w:val="Normal"/>
        <w:keepNext w:val="true"/>
        <w:spacing w:lineRule="auto" w:line="240" w:before="160" w:after="160"/>
        <w:jc w:val="start"/>
        <w:rPr/>
      </w:pPr>
      <w:r>
        <w:rPr>
          <w:rFonts w:eastAsia="Times New Roman" w:ascii="Times New Roman" w:hAnsi="Times New Roman"/>
          <w:b/>
          <w:i w:val="false"/>
          <w:color w:val="000000"/>
          <w:sz w:val="24"/>
        </w:rPr>
        <w:t>3.6 Example input representation</w:t>
      </w:r>
    </w:p>
    <w:p>
      <w:pPr>
        <w:pStyle w:val="Normal"/>
        <w:spacing w:lineRule="auto" w:line="360" w:before="0" w:after="160"/>
        <w:jc w:val="both"/>
        <w:rPr/>
      </w:pPr>
      <w:r>
        <w:rPr>
          <w:rFonts w:eastAsia="Times New Roman" w:ascii="Times New Roman" w:hAnsi="Times New Roman"/>
          <w:b w:val="false"/>
          <w:i w:val="false"/>
          <w:color w:val="000000"/>
          <w:sz w:val="24"/>
        </w:rPr>
        <w:t>Table 1 illustrates the fields consumed by the framework. The numeric values are synthetic examples. Emotion probabilities are model outputs; the manifest emotion is not an input feature.</w:t>
      </w:r>
    </w:p>
    <w:tbl>
      <w:tblPr>
        <w:tblW w:w="9458"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1351"/>
        <w:gridCol w:w="1351"/>
        <w:gridCol w:w="1351"/>
        <w:gridCol w:w="1351"/>
        <w:gridCol w:w="1351"/>
        <w:gridCol w:w="1351"/>
        <w:gridCol w:w="1352"/>
      </w:tblGrid>
      <w:tr>
        <w:trPr>
          <w:tblHeader w:val="true"/>
        </w:trPr>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trial id</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split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trial type</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speaker score</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CM score</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emotion probability summary</w:t>
            </w:r>
          </w:p>
        </w:tc>
        <w:tc>
          <w:tcPr>
            <w:tcW w:w="135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manifest emotion</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tr_001</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train</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target</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1.84</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1.10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neutral 0.71, entropy 0.49</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neutral</w:t>
            </w:r>
          </w:p>
        </w:tc>
      </w:tr>
      <w:tr>
        <w:trPr/>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tr_002</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train</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nontarget</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-1.72</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0.93</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sad 0.52, entropy 0.68</w:t>
            </w:r>
          </w:p>
        </w:tc>
        <w:tc>
          <w:tcPr>
            <w:tcW w:w="135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sad</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tr_003</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test</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spoof</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0.88</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-0.26</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happy 0.39, entropy 0.84</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surprise</w:t>
            </w:r>
          </w:p>
        </w:tc>
      </w:tr>
    </w:tbl>
    <w:p>
      <w:pPr>
        <w:pStyle w:val="Normal"/>
        <w:spacing w:before="0" w:after="60"/>
        <w:rPr/>
      </w:pPr>
      <w:r>
        <w:rPr/>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4</w:t>
        <w:br/>
        <w:t>RESULTS AND DISCUSSION</w:t>
      </w:r>
    </w:p>
    <w:p>
      <w:pPr>
        <w:pStyle w:val="Normal"/>
        <w:spacing w:lineRule="auto" w:line="360" w:before="0" w:after="160"/>
        <w:jc w:val="both"/>
        <w:rPr/>
      </w:pPr>
      <w:r>
        <w:rPr>
          <w:rFonts w:eastAsia="Times New Roman" w:ascii="Times New Roman" w:hAnsi="Times New Roman"/>
          <w:b/>
          <w:i w:val="false"/>
          <w:color w:val="000000"/>
          <w:sz w:val="24"/>
        </w:rPr>
        <w:t>Sections 4.1 to 4.3 report the repository audit and the supplied synthetic demonstration, which validate the software pipeline only. Section 4.4 reports a real-data execution (ESD English bona fide + EmoSpoof-TTS clones) with measured component scores and the full fusion ladder; its test-split numbers are the only real performance claims in this report. Neither part establishes novelty over published systems.</w:t>
      </w:r>
    </w:p>
    <w:p>
      <w:pPr>
        <w:pStyle w:val="Normal"/>
        <w:keepNext w:val="true"/>
        <w:spacing w:lineRule="auto" w:line="240" w:before="160" w:after="160"/>
        <w:jc w:val="start"/>
        <w:rPr/>
      </w:pPr>
      <w:r>
        <w:rPr>
          <w:rFonts w:eastAsia="Times New Roman" w:ascii="Times New Roman" w:hAnsi="Times New Roman"/>
          <w:b/>
          <w:i w:val="false"/>
          <w:color w:val="000000"/>
          <w:sz w:val="24"/>
        </w:rPr>
        <w:t>4.1 Audit execution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repository was executed in its supplied virtual environment. The full automated suite completed successfully: 79 tests passed. The tests cover manifest validation, score alignment, metric direction conventions, threshold separation, fusion serialization, grouped evaluation, command-line behaviour, the manifest builders, and the arm-vs-arm comparison sign convention. Passing tests are evidence that the implemented functions meet their encoded expectations; they are not evidence that a biometric system works on unseen human speech, which is why section 4.4 executes the full pipeline on real audio.</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command-line demonstration then generated 1,660 synthetic trials and trained every fusion arm. A separate audit of the generated manifest found zero errors and one warning: the test split contains the held-out emotion surprise. The warning is intentional in the demonstration because it exercises cross-emotion reporting. It also illustrates the value of a visible audit: a real report must state whether such a condition is intentional and whether the emotion recogniser was trained on that category.</w:t>
      </w:r>
    </w:p>
    <w:p>
      <w:pPr>
        <w:pStyle w:val="Normal"/>
        <w:keepNext w:val="true"/>
        <w:spacing w:lineRule="auto" w:line="240" w:before="160" w:after="160"/>
        <w:jc w:val="start"/>
        <w:rPr/>
      </w:pPr>
      <w:r>
        <w:rPr>
          <w:rFonts w:eastAsia="Times New Roman" w:ascii="Times New Roman" w:hAnsi="Times New Roman"/>
          <w:b/>
          <w:i w:val="false"/>
          <w:color w:val="000000"/>
          <w:sz w:val="24"/>
        </w:rPr>
        <w:t>4.2 Synthetic model comparison</w:t>
      </w:r>
    </w:p>
    <w:p>
      <w:pPr>
        <w:pStyle w:val="Normal"/>
        <w:spacing w:lineRule="auto" w:line="360" w:before="0" w:after="160"/>
        <w:ind w:firstLine="432"/>
        <w:jc w:val="both"/>
        <w:rPr/>
      </w:pPr>
      <w:r>
        <w:rPr>
          <w:rFonts w:eastAsia="Times New Roman" w:ascii="Times New Roman" w:hAnsi="Times New Roman"/>
          <w:b w:val="false"/>
          <w:i w:val="false"/>
          <w:color w:val="000000"/>
          <w:sz w:val="24"/>
        </w:rPr>
        <w:t>Table 2 reports the held-out synthetic run exactly as generated by the repository. The interaction model produced the lowest synthetic SASV-EER, while the gated model produced the lowest synthetic minimum a-DCF. The paired comparison of gated against linear fusion had a confidence interval that crossed zero, so even within the simulation it should not be described as a confirmed improvement by the project criterion. The result therefore demonstrates that the reporting layer can expose a trade-off instead of merely declaring a winner.</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numbers are especially unsuitable for a real performance claim because the synthetic generator intentionally makes countermeasure reliability vary by emotion and uncertainty. The same mechanism is then available to the gated model during training. That is useful for testing code paths, but it is a designed condition rather than a measurement from human and spoofed speech. Any statement such as “EASV improves security” would exceed the evidence presently available.</w:t>
      </w:r>
    </w:p>
    <w:p>
      <w:pPr>
        <w:pStyle w:val="Normal"/>
        <w:rPr/>
      </w:pPr>
      <w:r>
        <w:rPr/>
      </w:r>
      <w:r>
        <w:br w:type="page"/>
      </w:r>
    </w:p>
    <w:tbl>
      <w:tblPr>
        <w:tblW w:w="9460"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1892"/>
        <w:gridCol w:w="1892"/>
        <w:gridCol w:w="1892"/>
        <w:gridCol w:w="1892"/>
        <w:gridCol w:w="1892"/>
      </w:tblGrid>
      <w:tr>
        <w:trPr>
          <w:tblHeader w:val="true"/>
        </w:trPr>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pageBreakBefore/>
              <w:spacing w:lineRule="auto" w:line="240" w:before="0" w:after="0"/>
              <w:jc w:val="center"/>
              <w:rPr/>
            </w:pPr>
            <w:r>
              <w:rPr>
                <w:rFonts w:eastAsia="Times New Roman" w:ascii="Times New Roman" w:hAnsi="Times New Roman"/>
                <w:b/>
                <w:i w:val="false"/>
                <w:color w:val="FFFFFF"/>
                <w:sz w:val="18"/>
              </w:rPr>
              <w:t>model</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synthetic SASV-EER</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95% CI</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min a-DCF</w:t>
            </w:r>
          </w:p>
        </w:tc>
        <w:tc>
          <w:tcPr>
            <w:tcW w:w="189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parameters</w:t>
            </w:r>
          </w:p>
        </w:tc>
      </w:tr>
      <w:tr>
        <w:trPr/>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speaker only</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0.3583</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0.3152-0.3833</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0.9025</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w:t>
            </w:r>
          </w:p>
        </w:tc>
      </w:tr>
      <w:tr>
        <w:trPr/>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linear baseline</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0.3167</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0.2819-0.3417</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0.8328</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3</w:t>
            </w:r>
          </w:p>
        </w:tc>
      </w:tr>
      <w:tr>
        <w:trPr/>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emotion additive</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0.3083</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0.2750-0.3460</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0.8236</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10</w:t>
            </w:r>
          </w:p>
        </w:tc>
      </w:tr>
      <w:tr>
        <w:trPr/>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emotion interaction</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0.2833</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0.2417-0.3167</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0.7583</w:t>
            </w:r>
          </w:p>
        </w:tc>
        <w:tc>
          <w:tcPr>
            <w:tcW w:w="189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25</w:t>
            </w:r>
          </w:p>
        </w:tc>
      </w:tr>
      <w:tr>
        <w:trPr/>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emotion gated</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0.2917</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0.2583-0.3250</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0.7207</w:t>
            </w:r>
          </w:p>
        </w:tc>
        <w:tc>
          <w:tcPr>
            <w:tcW w:w="189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47</w:t>
            </w:r>
          </w:p>
        </w:tc>
      </w:tr>
    </w:tbl>
    <w:p>
      <w:pPr>
        <w:pStyle w:val="Normal"/>
        <w:spacing w:before="0" w:after="60"/>
        <w:rPr/>
      </w:pPr>
      <w:r>
        <w:rPr/>
      </w:r>
    </w:p>
    <w:p>
      <w:pPr>
        <w:pStyle w:val="Normal"/>
        <w:spacing w:lineRule="auto" w:line="240" w:before="40" w:after="60"/>
        <w:jc w:val="center"/>
        <w:rPr/>
      </w:pPr>
      <w:r>
        <w:rPr/>
        <w:drawing>
          <wp:inline distT="0" distB="0" distL="0" distR="0">
            <wp:extent cx="539496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94960" cy="2971800"/>
                    </a:xfrm>
                    <a:prstGeom prst="rect">
                      <a:avLst/>
                    </a:prstGeom>
                    <a:noFill/>
                  </pic:spPr>
                </pic:pic>
              </a:graphicData>
            </a:graphic>
          </wp:inline>
        </w:drawing>
      </w:r>
    </w:p>
    <w:p>
      <w:pPr>
        <w:pStyle w:val="Normal"/>
        <w:spacing w:lineRule="auto" w:line="240" w:before="0" w:after="160"/>
        <w:jc w:val="center"/>
        <w:rPr/>
      </w:pPr>
      <w:r>
        <w:rPr>
          <w:rFonts w:eastAsia="Times New Roman" w:ascii="Times New Roman" w:hAnsi="Times New Roman"/>
          <w:b w:val="false"/>
          <w:i/>
          <w:color w:val="000000"/>
          <w:sz w:val="20"/>
        </w:rPr>
        <w:t>Figure 1. Synthetic SASV-EER comparison from the supplied repository demo. Lower is better; these values are not real-speech results.</w:t>
      </w:r>
    </w:p>
    <w:p>
      <w:pPr>
        <w:pStyle w:val="Normal"/>
        <w:keepNext w:val="true"/>
        <w:spacing w:lineRule="auto" w:line="240" w:before="160" w:after="160"/>
        <w:jc w:val="start"/>
        <w:rPr/>
      </w:pPr>
      <w:r>
        <w:rPr>
          <w:rFonts w:eastAsia="Times New Roman" w:ascii="Times New Roman" w:hAnsi="Times New Roman"/>
          <w:b/>
          <w:i w:val="false"/>
          <w:color w:val="000000"/>
          <w:sz w:val="24"/>
        </w:rPr>
        <w:t>4.3 Breakdown and interpretation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test split comprises 120 target, 120 nontarget, and 240 spoof trials. It uses 20 speakers, two unseen attack systems, and six emotion conditions. The report gives emotion-wise SASV-EER when both classes are present and attack-wise spoof acceptance rate when an attack group contains only spoof trials. This distinction is important: an EER requires both positive and negative classes, and reporting one for a spoof-only group would be mathematically misleading.</w:t>
      </w:r>
    </w:p>
    <w:p>
      <w:pPr>
        <w:pStyle w:val="Normal"/>
        <w:spacing w:lineRule="auto" w:line="360" w:before="0" w:after="160"/>
        <w:ind w:firstLine="432"/>
        <w:jc w:val="both"/>
        <w:rPr/>
      </w:pPr>
      <w:r>
        <w:rPr>
          <w:rFonts w:eastAsia="Times New Roman" w:ascii="Times New Roman" w:hAnsi="Times New Roman"/>
          <w:b w:val="false"/>
          <w:i w:val="false"/>
          <w:color w:val="000000"/>
          <w:sz w:val="24"/>
        </w:rPr>
        <w:t>For the gated synthetic model, spoof acceptance is 0.442 for the simulated TTS generator and 0.433 for the simulated VC generator at the development-selected threshold. These are deliberately imperfect values; they demonstrate that the report does not hide weaknesses. The run also reports the gate weights by ground-truth emotion solely for interpretation after evaluation. The classifier inputs remain predicted emotion probabilities, not those ground-truth labels.</w:t>
      </w:r>
    </w:p>
    <w:tbl>
      <w:tblPr>
        <w:tblW w:w="9458"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1351"/>
        <w:gridCol w:w="1351"/>
        <w:gridCol w:w="1351"/>
        <w:gridCol w:w="1351"/>
        <w:gridCol w:w="1351"/>
        <w:gridCol w:w="1351"/>
        <w:gridCol w:w="1352"/>
      </w:tblGrid>
      <w:tr>
        <w:trPr>
          <w:tblHeader w:val="true"/>
        </w:trPr>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split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target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nontarget</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spoof</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emotions</w:t>
            </w:r>
          </w:p>
        </w:tc>
        <w:tc>
          <w:tcPr>
            <w:tcW w:w="1351"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attacks</w:t>
            </w:r>
          </w:p>
        </w:tc>
        <w:tc>
          <w:tcPr>
            <w:tcW w:w="135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0" w:after="0"/>
              <w:jc w:val="center"/>
              <w:rPr/>
            </w:pPr>
            <w:r>
              <w:rPr>
                <w:rFonts w:eastAsia="Times New Roman" w:ascii="Times New Roman" w:hAnsi="Times New Roman"/>
                <w:b/>
                <w:i w:val="false"/>
                <w:color w:val="FFFFFF"/>
                <w:sz w:val="18"/>
              </w:rPr>
              <w:t>speakers</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train</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200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200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600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5</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3</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40</w:t>
            </w:r>
          </w:p>
        </w:tc>
      </w:tr>
      <w:tr>
        <w:trPr/>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development</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60</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60</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60</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5</w:t>
            </w:r>
          </w:p>
        </w:tc>
        <w:tc>
          <w:tcPr>
            <w:tcW w:w="1351"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1</w:t>
            </w:r>
          </w:p>
        </w:tc>
        <w:tc>
          <w:tcPr>
            <w:tcW w:w="1352"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40" w:before="0" w:after="0"/>
              <w:jc w:val="start"/>
              <w:rPr/>
            </w:pPr>
            <w:r>
              <w:rPr>
                <w:rFonts w:eastAsia="Times New Roman" w:ascii="Times New Roman" w:hAnsi="Times New Roman"/>
                <w:b w:val="false"/>
                <w:i w:val="false"/>
                <w:color w:val="000000"/>
                <w:sz w:val="17"/>
              </w:rPr>
              <w:t>12</w:t>
            </w:r>
          </w:p>
        </w:tc>
      </w:tr>
      <w:tr>
        <w:trPr/>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test</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120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120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240</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6</w:t>
            </w:r>
          </w:p>
        </w:tc>
        <w:tc>
          <w:tcPr>
            <w:tcW w:w="1351"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w:t>
            </w:r>
          </w:p>
        </w:tc>
        <w:tc>
          <w:tcPr>
            <w:tcW w:w="1352" w:type="dxa"/>
            <w:tcBorders>
              <w:top w:val="single" w:sz="6" w:space="0" w:color="D9D9D9"/>
              <w:start w:val="single" w:sz="6" w:space="0" w:color="D9D9D9"/>
              <w:bottom w:val="single" w:sz="6" w:space="0" w:color="D9D9D9"/>
              <w:end w:val="single" w:sz="6" w:space="0" w:color="D9D9D9"/>
            </w:tcBorders>
            <w:vAlign w:val="center"/>
          </w:tcPr>
          <w:p>
            <w:pPr>
              <w:pStyle w:val="Normal"/>
              <w:spacing w:lineRule="auto" w:line="240" w:before="0" w:after="0"/>
              <w:jc w:val="start"/>
              <w:rPr/>
            </w:pPr>
            <w:r>
              <w:rPr>
                <w:rFonts w:eastAsia="Times New Roman" w:ascii="Times New Roman" w:hAnsi="Times New Roman"/>
                <w:b w:val="false"/>
                <w:i w:val="false"/>
                <w:color w:val="000000"/>
                <w:sz w:val="17"/>
              </w:rPr>
              <w:t>20</w:t>
            </w:r>
          </w:p>
        </w:tc>
      </w:tr>
    </w:tbl>
    <w:p>
      <w:pPr>
        <w:pStyle w:val="Normal"/>
        <w:spacing w:before="0" w:after="60"/>
        <w:rPr/>
      </w:pPr>
      <w:r>
        <w:rPr/>
      </w:r>
    </w:p>
    <w:p>
      <w:pPr>
        <w:spacing w:after="120"/>
      </w:pPr>
      <w:r>
        <w:rPr>
          <w:rFonts w:ascii="Times New Roman" w:hAnsi="Times New Roman"/>
          <w:b/>
          <w:i w:val="0"/>
          <w:sz w:val="24"/>
        </w:rPr>
        <w:t>4.4 Real-data results (executed 22-23 October 2026)</w:t>
      </w:r>
    </w:p>
    <w:p>
      <w:pPr>
        <w:spacing w:after="120"/>
      </w:pPr>
      <w:r>
        <w:rPr>
          <w:rFonts w:ascii="Times New Roman" w:hAnsi="Times New Roman"/>
          <w:b w:val="0"/>
          <w:i w:val="0"/>
          <w:sz w:val="24"/>
        </w:rPr>
        <w:t>The pipeline was then executed on real speech. Bona fide trials come from the ESD English subset (speakers 0011-0020, emotion labels from the corpus folders); spoof trials come from the EmoSpoof-TTS generators StyleTTS2, F5-TTS and CosyVoice (12,000 utterances each). After the audit and the speaker-disjoint 4/2/4 split, the merged manifest holds 53,900 trials: 17,500 bona fide targets, 400 derived cross-speaker nontargets and 36,000 clones. Scores were produced by SpeechBrain ECAPA-TDNN (speaker), wav2vec2-base-superb-ER (emotion) and countermeasures: the official ASVspoof-2019 AASIST checkpoint, a log-mel CNN trained on the train split, a log-mel CNN trained with one generator held out, and an AASIST retrained in-domain on ASVspoof 2019 LA audio. All thresholds were chosen on the development split; the test split was reported once.</w:t>
      </w:r>
    </w:p>
    <w:p>
      <w:pPr>
        <w:spacing w:after="40"/>
      </w:pPr>
      <w:r>
        <w:rPr>
          <w:rFonts w:ascii="Times New Roman" w:hAnsi="Times New Roman"/>
          <w:b w:val="0"/>
          <w:i/>
          <w:sz w:val="20"/>
        </w:rPr>
        <w:t>Table 3. Measured component quality on the real merged manifest (test split).</w:t>
      </w:r>
    </w:p>
    <w:tbl>
      <w:tblPr>
        <w:tblStyle w:val="TableGrid"/>
        <w:tblW w:type="auto" w:w="0"/>
        <w:tblLayout w:type="autofit"/>
        <w:tblLook w:firstColumn="1" w:firstRow="1" w:lastColumn="0" w:lastRow="0" w:noHBand="0" w:noVBand="1" w:val="04A0"/>
      </w:tblPr>
      <w:tblGrid>
        <w:gridCol w:w="2364"/>
        <w:gridCol w:w="2364"/>
        <w:gridCol w:w="2364"/>
        <w:gridCol w:w="2364"/>
      </w:tblGrid>
      <w:tr>
        <w:tc>
          <w:tcPr>
            <w:tcW w:type="dxa" w:w="2364"/>
          </w:tcPr>
          <w:p>
            <w:r/>
            <w:r>
              <w:rPr>
                <w:rFonts w:ascii="Times New Roman" w:hAnsi="Times New Roman"/>
                <w:b/>
                <w:sz w:val="18"/>
              </w:rPr>
              <w:t>component</w:t>
            </w:r>
          </w:p>
        </w:tc>
        <w:tc>
          <w:tcPr>
            <w:tcW w:type="dxa" w:w="2364"/>
          </w:tcPr>
          <w:p>
            <w:r/>
            <w:r>
              <w:rPr>
                <w:rFonts w:ascii="Times New Roman" w:hAnsi="Times New Roman"/>
                <w:b/>
                <w:sz w:val="18"/>
              </w:rPr>
              <w:t>model</w:t>
            </w:r>
          </w:p>
        </w:tc>
        <w:tc>
          <w:tcPr>
            <w:tcW w:type="dxa" w:w="2364"/>
          </w:tcPr>
          <w:p>
            <w:r/>
            <w:r>
              <w:rPr>
                <w:rFonts w:ascii="Times New Roman" w:hAnsi="Times New Roman"/>
                <w:b/>
                <w:sz w:val="18"/>
              </w:rPr>
              <w:t>EER on test</w:t>
            </w:r>
          </w:p>
        </w:tc>
        <w:tc>
          <w:tcPr>
            <w:tcW w:type="dxa" w:w="2364"/>
          </w:tcPr>
          <w:p>
            <w:r/>
            <w:r>
              <w:rPr>
                <w:rFonts w:ascii="Times New Roman" w:hAnsi="Times New Roman"/>
                <w:b/>
                <w:sz w:val="18"/>
              </w:rPr>
              <w:t>note</w:t>
            </w:r>
          </w:p>
        </w:tc>
      </w:tr>
      <w:tr>
        <w:tc>
          <w:tcPr>
            <w:tcW w:type="dxa" w:w="2364"/>
          </w:tcPr>
          <w:p>
            <w:r/>
            <w:r>
              <w:rPr>
                <w:rFonts w:ascii="Times New Roman" w:hAnsi="Times New Roman"/>
                <w:sz w:val="18"/>
              </w:rPr>
              <w:t>ASV</w:t>
            </w:r>
          </w:p>
        </w:tc>
        <w:tc>
          <w:tcPr>
            <w:tcW w:type="dxa" w:w="2364"/>
          </w:tcPr>
          <w:p>
            <w:r/>
            <w:r>
              <w:rPr>
                <w:rFonts w:ascii="Times New Roman" w:hAnsi="Times New Roman"/>
                <w:sz w:val="18"/>
              </w:rPr>
              <w:t>ECAPA-TDNN, cosine to centroid</w:t>
            </w:r>
          </w:p>
        </w:tc>
        <w:tc>
          <w:tcPr>
            <w:tcW w:type="dxa" w:w="2364"/>
          </w:tcPr>
          <w:p>
            <w:r/>
            <w:r>
              <w:rPr>
                <w:rFonts w:ascii="Times New Roman" w:hAnsi="Times New Roman"/>
                <w:sz w:val="18"/>
              </w:rPr>
              <w:t>3.12 % SV-EER</w:t>
            </w:r>
          </w:p>
        </w:tc>
        <w:tc>
          <w:tcPr>
            <w:tcW w:type="dxa" w:w="2364"/>
          </w:tcPr>
          <w:p>
            <w:r>
              <w:t>accepts 82.9 % of targets and 38.8 % of clones (CosyVoice 59.0 %, F5-TTS 51.5 %, StyleTTS2 5.9 %)</w:t>
            </w:r>
          </w:p>
        </w:tc>
      </w:tr>
      <w:tr>
        <w:tc>
          <w:tcPr>
            <w:tcW w:type="dxa" w:w="2364"/>
          </w:tcPr>
          <w:p>
            <w:r/>
            <w:r>
              <w:rPr>
                <w:rFonts w:ascii="Times New Roman" w:hAnsi="Times New Roman"/>
                <w:sz w:val="18"/>
              </w:rPr>
              <w:t>SER</w:t>
            </w:r>
          </w:p>
        </w:tc>
        <w:tc>
          <w:tcPr>
            <w:tcW w:type="dxa" w:w="2364"/>
          </w:tcPr>
          <w:p>
            <w:r/>
            <w:r>
              <w:rPr>
                <w:rFonts w:ascii="Times New Roman" w:hAnsi="Times New Roman"/>
                <w:sz w:val="18"/>
              </w:rPr>
              <w:t>wav2vec2-base-superb-ER</w:t>
            </w:r>
          </w:p>
        </w:tc>
        <w:tc>
          <w:tcPr>
            <w:tcW w:type="dxa" w:w="2364"/>
          </w:tcPr>
          <w:p>
            <w:r>
              <w:t>41.2 % / 32.8 % accuracy</w:t>
            </w:r>
          </w:p>
        </w:tc>
        <w:tc>
          <w:tcPr>
            <w:tcW w:type="dxa" w:w="2364"/>
          </w:tcPr>
          <w:p>
            <w:r>
              <w:t>bona fide / clones; clones saturate it at 0.82 confidence</w:t>
            </w:r>
          </w:p>
        </w:tc>
      </w:tr>
      <w:tr>
        <w:tc>
          <w:tcPr>
            <w:tcW w:type="dxa" w:w="2364"/>
          </w:tcPr>
          <w:p>
            <w:r/>
            <w:r>
              <w:rPr>
                <w:rFonts w:ascii="Times New Roman" w:hAnsi="Times New Roman"/>
                <w:sz w:val="18"/>
              </w:rPr>
              <w:t>CM (in-domain)</w:t>
            </w:r>
          </w:p>
        </w:tc>
        <w:tc>
          <w:tcPr>
            <w:tcW w:type="dxa" w:w="2364"/>
          </w:tcPr>
          <w:p>
            <w:r/>
            <w:r>
              <w:rPr>
                <w:rFonts w:ascii="Times New Roman" w:hAnsi="Times New Roman"/>
                <w:sz w:val="18"/>
              </w:rPr>
              <w:t>log-mel CNN, train split only</w:t>
            </w:r>
          </w:p>
        </w:tc>
        <w:tc>
          <w:tcPr>
            <w:tcW w:type="dxa" w:w="2364"/>
          </w:tcPr>
          <w:p>
            <w:r/>
            <w:r>
              <w:rPr>
                <w:rFonts w:ascii="Times New Roman" w:hAnsi="Times New Roman"/>
                <w:sz w:val="18"/>
              </w:rPr>
              <w:t>0.09 % SPF-EER</w:t>
            </w:r>
          </w:p>
        </w:tc>
        <w:tc>
          <w:tcPr>
            <w:tcW w:type="dxa" w:w="2364"/>
          </w:tcPr>
          <w:p>
            <w:r>
              <w:t>optimistic by construction: it trains on the same generators it is scored on</w:t>
            </w:r>
          </w:p>
        </w:tc>
      </w:tr>
      <w:tr>
        <w:tc>
          <w:tcPr>
            <w:tcW w:type="dxa" w:w="2364"/>
          </w:tcPr>
          <w:p>
            <w:r/>
            <w:r>
              <w:rPr>
                <w:rFonts w:ascii="Times New Roman" w:hAnsi="Times New Roman"/>
                <w:sz w:val="18"/>
              </w:rPr>
              <w:t>CM (AASIST-LA)</w:t>
            </w:r>
          </w:p>
        </w:tc>
        <w:tc>
          <w:tcPr>
            <w:tcW w:type="dxa" w:w="2364"/>
          </w:tcPr>
          <w:p>
            <w:r/>
            <w:r>
              <w:rPr>
                <w:rFonts w:ascii="Times New Roman" w:hAnsi="Times New Roman"/>
                <w:sz w:val="18"/>
              </w:rPr>
              <w:t>official 2019 LA checkpoint</w:t>
            </w:r>
          </w:p>
        </w:tc>
        <w:tc>
          <w:tcPr>
            <w:tcW w:type="dxa" w:w="2364"/>
          </w:tcPr>
          <w:p>
            <w:r/>
            <w:r>
              <w:rPr>
                <w:rFonts w:ascii="Times New Roman" w:hAnsi="Times New Roman"/>
                <w:sz w:val="18"/>
              </w:rPr>
              <w:t>50.8 % SPF-EER</w:t>
            </w:r>
          </w:p>
        </w:tc>
        <w:tc>
          <w:tcPr>
            <w:tcW w:type="dxa" w:w="2364"/>
          </w:tcPr>
          <w:p>
            <w:r/>
            <w:r>
              <w:rPr>
                <w:rFonts w:ascii="Times New Roman" w:hAnsi="Times New Roman"/>
                <w:sz w:val="18"/>
              </w:rPr>
              <w:t>no transfer to EmoSpoof-TTS clones</w:t>
            </w:r>
          </w:p>
        </w:tc>
      </w:tr>
      <w:tr>
        <w:tc>
          <w:tcPr>
            <w:tcW w:type="dxa" w:w="2364"/>
          </w:tcPr>
          <w:p>
            <w:r/>
            <w:r>
              <w:rPr>
                <w:rFonts w:ascii="Times New Roman" w:hAnsi="Times New Roman"/>
                <w:sz w:val="18"/>
              </w:rPr>
              <w:t>CM (AASIST-LA retrained)</w:t>
            </w:r>
          </w:p>
        </w:tc>
        <w:tc>
          <w:tcPr>
            <w:tcW w:type="dxa" w:w="2364"/>
          </w:tcPr>
          <w:p>
            <w:r/>
            <w:r>
              <w:rPr>
                <w:rFonts w:ascii="Times New Roman" w:hAnsi="Times New Roman"/>
                <w:sz w:val="18"/>
              </w:rPr>
              <w:t>AASIST trained on LA train audio</w:t>
            </w:r>
          </w:p>
        </w:tc>
        <w:tc>
          <w:tcPr>
            <w:tcW w:type="dxa" w:w="2364"/>
          </w:tcPr>
          <w:p>
            <w:r/>
            <w:r>
              <w:rPr>
                <w:rFonts w:ascii="Times New Roman" w:hAnsi="Times New Roman"/>
                <w:sz w:val="18"/>
              </w:rPr>
              <w:t>2.11 % SPOOF-EER on held-out LA</w:t>
            </w:r>
          </w:p>
        </w:tc>
        <w:tc>
          <w:tcPr>
            <w:tcW w:type="dxa" w:w="2364"/>
          </w:tcPr>
          <w:p>
            <w:r/>
            <w:r>
              <w:rPr>
                <w:rFonts w:ascii="Times New Roman" w:hAnsi="Times New Roman"/>
                <w:sz w:val="18"/>
              </w:rPr>
              <w:t>43.8 % SPOOF-EER on EASV test: no transfer either</w:t>
            </w:r>
          </w:p>
        </w:tc>
      </w:tr>
    </w:tbl>
    <w:p>
      <w:pPr>
        <w:spacing w:after="40"/>
      </w:pPr>
      <w:r>
        <w:rPr>
          <w:rFonts w:ascii="Times New Roman" w:hAnsi="Times New Roman"/>
          <w:b w:val="0"/>
          <w:i/>
          <w:sz w:val="20"/>
        </w:rPr>
        <w:t>Table 4. Real SASV-EER for the full arm ladder under two countermeasure regimes, identical manifest and ASV/SER scores.</w:t>
      </w:r>
    </w:p>
    <w:tbl>
      <w:tblPr>
        <w:tblStyle w:val="TableGrid"/>
        <w:tblW w:type="auto" w:w="0"/>
        <w:tblLayout w:type="autofit"/>
        <w:tblLook w:firstColumn="1" w:firstRow="1" w:lastColumn="0" w:lastRow="0" w:noHBand="0" w:noVBand="1" w:val="04A0"/>
      </w:tblPr>
      <w:tblGrid>
        <w:gridCol w:w="3153"/>
        <w:gridCol w:w="3153"/>
        <w:gridCol w:w="3153"/>
      </w:tblGrid>
      <w:tr>
        <w:tc>
          <w:tcPr>
            <w:tcW w:type="dxa" w:w="3153"/>
          </w:tcPr>
          <w:p>
            <w:r/>
            <w:r>
              <w:rPr>
                <w:rFonts w:ascii="Times New Roman" w:hAnsi="Times New Roman"/>
                <w:b/>
                <w:sz w:val="18"/>
              </w:rPr>
              <w:t>fusion arm</w:t>
            </w:r>
          </w:p>
        </w:tc>
        <w:tc>
          <w:tcPr>
            <w:tcW w:type="dxa" w:w="3153"/>
          </w:tcPr>
          <w:p>
            <w:r/>
            <w:r>
              <w:rPr>
                <w:rFonts w:ascii="Times New Roman" w:hAnsi="Times New Roman"/>
                <w:b/>
                <w:sz w:val="18"/>
              </w:rPr>
              <w:t>SASV-EER, in-domain CM</w:t>
            </w:r>
          </w:p>
        </w:tc>
        <w:tc>
          <w:tcPr>
            <w:tcW w:type="dxa" w:w="3153"/>
          </w:tcPr>
          <w:p>
            <w:r/>
            <w:r>
              <w:rPr>
                <w:rFonts w:ascii="Times New Roman" w:hAnsi="Times New Roman"/>
                <w:b/>
                <w:sz w:val="18"/>
              </w:rPr>
              <w:t>SASV-EER, AASIST-LA CM</w:t>
            </w:r>
          </w:p>
        </w:tc>
      </w:tr>
      <w:tr>
        <w:tc>
          <w:tcPr>
            <w:tcW w:type="dxa" w:w="3153"/>
          </w:tcPr>
          <w:p>
            <w:r/>
            <w:r>
              <w:rPr>
                <w:rFonts w:ascii="Times New Roman" w:hAnsi="Times New Roman"/>
                <w:sz w:val="18"/>
              </w:rPr>
              <w:t>speaker only</w:t>
            </w:r>
          </w:p>
        </w:tc>
        <w:tc>
          <w:tcPr>
            <w:tcW w:type="dxa" w:w="3153"/>
          </w:tcPr>
          <w:p>
            <w:r/>
            <w:r>
              <w:rPr>
                <w:rFonts w:ascii="Times New Roman" w:hAnsi="Times New Roman"/>
                <w:sz w:val="18"/>
              </w:rPr>
              <w:t>0.3309</w:t>
            </w:r>
          </w:p>
        </w:tc>
        <w:tc>
          <w:tcPr>
            <w:tcW w:type="dxa" w:w="3153"/>
          </w:tcPr>
          <w:p>
            <w:r/>
            <w:r>
              <w:rPr>
                <w:rFonts w:ascii="Times New Roman" w:hAnsi="Times New Roman"/>
                <w:sz w:val="18"/>
              </w:rPr>
              <w:t>0.3309</w:t>
            </w:r>
          </w:p>
        </w:tc>
      </w:tr>
      <w:tr>
        <w:tc>
          <w:tcPr>
            <w:tcW w:type="dxa" w:w="3153"/>
          </w:tcPr>
          <w:p>
            <w:r/>
            <w:r>
              <w:rPr>
                <w:rFonts w:ascii="Times New Roman" w:hAnsi="Times New Roman"/>
                <w:sz w:val="18"/>
              </w:rPr>
              <w:t>linear (baseline)</w:t>
            </w:r>
          </w:p>
        </w:tc>
        <w:tc>
          <w:tcPr>
            <w:tcW w:type="dxa" w:w="3153"/>
          </w:tcPr>
          <w:p>
            <w:r/>
            <w:r>
              <w:rPr>
                <w:rFonts w:ascii="Times New Roman" w:hAnsi="Times New Roman"/>
                <w:sz w:val="18"/>
              </w:rPr>
              <w:t>0.0060</w:t>
            </w:r>
          </w:p>
        </w:tc>
        <w:tc>
          <w:tcPr>
            <w:tcW w:type="dxa" w:w="3153"/>
          </w:tcPr>
          <w:p>
            <w:r/>
            <w:r>
              <w:rPr>
                <w:rFonts w:ascii="Times New Roman" w:hAnsi="Times New Roman"/>
                <w:sz w:val="18"/>
              </w:rPr>
              <w:t>0.3244</w:t>
            </w:r>
          </w:p>
        </w:tc>
      </w:tr>
      <w:tr>
        <w:tc>
          <w:tcPr>
            <w:tcW w:type="dxa" w:w="3153"/>
          </w:tcPr>
          <w:p>
            <w:r/>
            <w:r>
              <w:rPr>
                <w:rFonts w:ascii="Times New Roman" w:hAnsi="Times New Roman"/>
                <w:sz w:val="18"/>
              </w:rPr>
              <w:t>emotion additive</w:t>
            </w:r>
          </w:p>
        </w:tc>
        <w:tc>
          <w:tcPr>
            <w:tcW w:type="dxa" w:w="3153"/>
          </w:tcPr>
          <w:p>
            <w:r/>
            <w:r>
              <w:rPr>
                <w:rFonts w:ascii="Times New Roman" w:hAnsi="Times New Roman"/>
                <w:sz w:val="18"/>
              </w:rPr>
              <w:t>0.0066</w:t>
            </w:r>
          </w:p>
        </w:tc>
        <w:tc>
          <w:tcPr>
            <w:tcW w:type="dxa" w:w="3153"/>
          </w:tcPr>
          <w:p>
            <w:r/>
            <w:r>
              <w:rPr>
                <w:rFonts w:ascii="Times New Roman" w:hAnsi="Times New Roman"/>
                <w:sz w:val="18"/>
              </w:rPr>
              <w:t>0.2654</w:t>
            </w:r>
          </w:p>
        </w:tc>
      </w:tr>
      <w:tr>
        <w:tc>
          <w:tcPr>
            <w:tcW w:type="dxa" w:w="3153"/>
          </w:tcPr>
          <w:p>
            <w:r/>
            <w:r>
              <w:rPr>
                <w:rFonts w:ascii="Times New Roman" w:hAnsi="Times New Roman"/>
                <w:sz w:val="18"/>
              </w:rPr>
              <w:t>emotion interaction</w:t>
            </w:r>
          </w:p>
        </w:tc>
        <w:tc>
          <w:tcPr>
            <w:tcW w:type="dxa" w:w="3153"/>
          </w:tcPr>
          <w:p>
            <w:r/>
            <w:r>
              <w:rPr>
                <w:rFonts w:ascii="Times New Roman" w:hAnsi="Times New Roman"/>
                <w:sz w:val="18"/>
              </w:rPr>
              <w:t>0.0055</w:t>
            </w:r>
          </w:p>
        </w:tc>
        <w:tc>
          <w:tcPr>
            <w:tcW w:type="dxa" w:w="3153"/>
          </w:tcPr>
          <w:p>
            <w:r/>
            <w:r>
              <w:rPr>
                <w:rFonts w:ascii="Times New Roman" w:hAnsi="Times New Roman"/>
                <w:sz w:val="18"/>
              </w:rPr>
              <w:t>0.2661</w:t>
            </w:r>
          </w:p>
        </w:tc>
      </w:tr>
      <w:tr>
        <w:tc>
          <w:tcPr>
            <w:tcW w:type="dxa" w:w="3153"/>
          </w:tcPr>
          <w:p>
            <w:r/>
            <w:r>
              <w:rPr>
                <w:rFonts w:ascii="Times New Roman" w:hAnsi="Times New Roman"/>
                <w:sz w:val="18"/>
              </w:rPr>
              <w:t>emotion gated (proposed)</w:t>
            </w:r>
          </w:p>
        </w:tc>
        <w:tc>
          <w:tcPr>
            <w:tcW w:type="dxa" w:w="3153"/>
          </w:tcPr>
          <w:p>
            <w:r/>
            <w:r>
              <w:rPr>
                <w:rFonts w:ascii="Times New Roman" w:hAnsi="Times New Roman"/>
                <w:sz w:val="18"/>
              </w:rPr>
              <w:t>0.0073</w:t>
            </w:r>
          </w:p>
        </w:tc>
        <w:tc>
          <w:tcPr>
            <w:tcW w:type="dxa" w:w="3153"/>
          </w:tcPr>
          <w:p>
            <w:r/>
            <w:r>
              <w:rPr>
                <w:rFonts w:ascii="Times New Roman" w:hAnsi="Times New Roman"/>
                <w:sz w:val="18"/>
              </w:rPr>
              <w:t>0.2610</w:t>
            </w:r>
          </w:p>
        </w:tc>
      </w:tr>
    </w:tbl>
    <w:p>
      <w:pPr>
        <w:spacing w:after="120"/>
      </w:pPr>
      <w:r>
        <w:rPr>
          <w:rFonts w:ascii="Times New Roman" w:hAnsi="Times New Roman"/>
          <w:b w:val="0"/>
          <w:i w:val="0"/>
          <w:sz w:val="24"/>
        </w:rPr>
        <w:t>Three results matter. First, the vulnerability is real and both emotion- and generator-dependent. On the complete corpus (53,900 trials: 17,900 ESD bona fide plus 36,000 clones from StyleTTS2, F5-TTS and CosyVoice) the speaker front-end accepts 82.9 % of bona fide targets and 38.8 % of clones at the development-selected threshold, but the aggregate hides a generator effect: CosyVoice 59.0 %, F5-TTS 51.5 % and StyleTTS2 5.9 %. Inside each generator acceptance still follows emotion (angry 45.6 %, neutral 43.3 %, sad 33.2 %, happy 33.1 %). Second, conventional fusion removes almost all of that vulnerability when the countermeasure works, taking SASV-EER from 33.1 % to 0.60 % on the two-generator corpus. Third, on that corpus the proposed emotion-gated arm does not beat plain fusion: it is 0.14 points worse and its paired bootstrap interval does not exclude zero (p = 0.98), so the hypothesis is not supported in the regime where the countermeasure already works. The completion of the third generator, reported below, changes that last statement only in the corpus where the countermeasure is deliberately kept away from one generator.</w:t>
      </w:r>
    </w:p>
    <w:p>
      <w:pPr>
        <w:spacing w:after="120"/>
      </w:pPr>
      <w:r>
        <w:rPr>
          <w:rFonts w:ascii="Times New Roman" w:hAnsi="Times New Roman"/>
          <w:b w:val="0"/>
          <w:i w:val="0"/>
          <w:sz w:val="24"/>
        </w:rPr>
        <w:t>The second regime explains why an apparent gain must be read carefully. The pretrained AASIST checkpoint, trained on ASVspoof-2019 attack families, scores at chance on these clones (SPF-EER 50.8 %). When that failing countermeasure is used, the emotion arms improve SASV-EER by about 5.5 points with p &lt; 0.001. The mechanism is not emotion conditioning: the emotion recogniser is confidently wrong on synthetic speech — 30.7 % accuracy at 0.83 mean confidence on the two-generator corpus, 32.8 % at 0.82 on the full three-generator corpus, against 41.2 % on genuine speech — so its probability vector implicitly encodes whether the audio is synthetic. Emotion features act as a substitute spoof detector, which is a confound rather than the proposed effect, and it sets the agenda for the next pass: replace the emotion features with an explicit confidence scalar and test whether the gain survives.</w:t>
      </w:r>
    </w:p>
    <w:p>
      <w:pPr>
        <w:spacing w:after="120"/>
      </w:pPr>
      <w:r>
        <w:rPr>
          <w:rFonts w:ascii="Times New Roman" w:hAnsi="Times New Roman"/>
          <w:sz w:val="24"/>
        </w:rPr>
        <w:t>A third regime tests generalisation instead of assuming it. The countermeasure was retrained with the F5-TTS generator excluded from training and from the development-based early stopping, so every F5-TTS clone is scored as an unseen attack system. That model reaches 6.27 % EER on the held-out generator (3.19 % on the generator it trained on, 4.28 % overall), against 50.8 % for the ASVspoof-pretrained AASIST: training on an adjacent neural generator transfers an order of magnitude better than the ASVspoof lineage. Under this countermeasure the fusion arms reach 4.11 % (linear), 3.81 % (interaction, +0.38 points, p &lt; 0.001) and 3.93 % (gated, +0.27 points with an interval from -0.23 to +0.86, p = 0.23) SASV-EER. The proposed arm therefore still does not clear the significance bar even in the cross-generator condition, which is the condition most favourable to its original motivation.</w:t>
      </w:r>
    </w:p>
    <w:p>
      <w:pPr>
        <w:spacing w:after="120"/>
      </w:pPr>
      <w:r>
        <w:rPr>
          <w:rFonts w:ascii="Times New Roman" w:hAnsi="Times New Roman"/>
          <w:sz w:val="24"/>
        </w:rPr>
        <w:t>A fourth regime uses the completed three-generator corpus and the countermeasure that treats StyleTTS2 as an unseen system: it is trained on the ESD bona fide, F5-TTS and CosyVoice trials only, with StyleTTS2 excluded from training and from development-based early stopping, and it detects the unseen generator at 2.50 % EER (1.60 % overall). Under this countermeasure the arm ladder is 27.1 % (speaker only), 2.27 % (linear), 2.51 % (additive), 2.09 % (interaction) and 1.54 % (gated) SASV-EER. The gated arm beats linear by 0.68 points (95 % CI 0.15-1.12, p = 0.002) and, in a paired contrast the evaluation CLI does not run by default, the interaction control by 0.48 points (0.06-0.99). This is the one regime in which the proposed arm wins, and it wins significantly.</w:t>
      </w:r>
    </w:p>
    <w:p>
      <w:pPr>
        <w:spacing w:after="120"/>
      </w:pPr>
      <w:r>
        <w:rPr>
          <w:rFonts w:ascii="Times New Roman" w:hAnsi="Times New Roman"/>
          <w:sz w:val="24"/>
        </w:rPr>
        <w:t>Two qualifications keep that result honest. First, the learned gate weights are nearly identical across all five emotion conditions (speaker weight 4.02-4.05, countermeasure weight 9.69-9.73, a spread below 0.5 %), so the model is not conditioning its decision on emotion; the gain comes from a better-fitting, better-calibrated decision function, and the same collapse appears in every other regime, including an exact tie across emotions in the in-domain regime. Second, the arm's edge over the interaction control is only significant once the third generator is present, so the two-generator and three-generator results have to be reported side by side rather than merged, and the paper's mechanism claim remains unsupported even where its predictive arm wins.</w:t>
      </w:r>
    </w:p>
    <w:p>
      <w:pPr>
        <w:spacing w:after="120"/>
      </w:pPr>
      <w:r>
        <w:rPr>
          <w:rFonts w:ascii="Times New Roman" w:hAnsi="Times New Roman"/>
          <w:sz w:val="24"/>
        </w:rPr>
        <w:t>Finally, the ASVspoof 2019 LA training set (16,000 utterances, 2,576 held out by speaker) was used to retrain the published AASIST architecture in-domain, so that the countermeasure's failure could not be blamed on a missing checkpoint. The selected model reaches 2.11 % EER on held-out LA speakers, i.e. it is a working LA countermeasure, yet it scores 43.82 % SPF-EER on the EASV test split (49.37 % on dev). The negative transfer result therefore does not depend on which LA checkpoint is used: ASVspoof-2019 supervision, in either form, does not describe these neural clones, while a log-mel countermeasure trained on two adjacent generators detects the third at 2.50 % EER.</w:t>
      </w:r>
    </w:p>
    <w:p>
      <w:pPr>
        <w:pStyle w:val="Normal"/>
        <w:keepNext w:val="true"/>
        <w:spacing w:lineRule="auto" w:line="240" w:before="160" w:after="160"/>
        <w:jc w:val="start"/>
        <w:rPr/>
      </w:pPr>
      <w:r>
        <w:rPr>
          <w:rFonts w:eastAsia="Times New Roman" w:ascii="Times New Roman" w:hAnsi="Times New Roman"/>
          <w:b/>
          <w:i w:val="false"/>
          <w:color w:val="000000"/>
          <w:sz w:val="24"/>
        </w:rPr>
        <w:t>4.5 What has and has not been demonstrated</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completed work demonstrates a reproducible score-level evaluation pipeline, an explicit fusion ablation ladder, data audits, metric implementations, trained ASV, SER and countermeasure front-ends, and a real experiment on ESD and EmoSpoof-TTS data spanning three generators. What it does not show is that the proposed emotion-conditioned mechanism is better than conventional fusion because of its emotion conditioning: the gated arm does beat both controls on the three-generator corpus, but its learned gate weights are flat across emotion conditions, so the gain is attributable to the decision function rather than to the mechanism, and on the two-generator corpus the same arm is worse than the baseline. It also does not show a cross-generator advantage in the two-generator setting. Each of those gaps can change the conclusion, so the mixed result in section 4.4 stands as the finding rather than as a placeholder.</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next real-data run should begin by fixing success criteria before inspecting the test split: the baseline, required SASV-EER gain, acceptable change in bona-fide FRR, target generalisation condition, and paired-bootstrap requirement. It should then obtain licensed corpora, produce reproducible backend scores from documented checkpoints, run the manifest audit, and save the configuration and score provenance. Only then can the same reports support a conclusion about actual emotional speech and contemporary spoofing attacks.</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CHAPTER 5</w:t>
        <w:br/>
        <w:t>CONCLUSION</w:t>
      </w:r>
    </w:p>
    <w:p>
      <w:pPr>
        <w:pStyle w:val="Normal"/>
        <w:spacing w:lineRule="auto" w:line="360" w:before="0" w:after="160"/>
        <w:ind w:firstLine="432"/>
        <w:jc w:val="both"/>
        <w:rPr/>
      </w:pPr>
      <w:r>
        <w:rPr>
          <w:rFonts w:eastAsia="Times New Roman" w:ascii="Times New Roman" w:hAnsi="Times New Roman"/>
          <w:b w:val="false"/>
          <w:i w:val="false"/>
          <w:color w:val="000000"/>
          <w:sz w:val="24"/>
        </w:rPr>
        <w:t>This project implemented and audited a score-level research infrastructure for emotion-conditioned spoofing-aware speaker verification, and then executed it on real speech. Its practical contribution at this stage is methodological: it separates manifest truth from model inputs, checks leakage risks, preserves train/dev/test roles, compares a transparent fusion ladder, and records uncertainty and group-level behaviour. The full automated test suite passed, the synthetic demonstration completed as a pipeline smoke test, and the real corpus produced the measured component, fusion and transfer results in section 4.4.</w:t>
      </w:r>
    </w:p>
    <w:p>
      <w:pPr>
        <w:pStyle w:val="Normal"/>
        <w:spacing w:lineRule="auto" w:line="360" w:before="0" w:after="160"/>
        <w:ind w:firstLine="432"/>
        <w:jc w:val="both"/>
        <w:rPr/>
      </w:pPr>
      <w:r>
        <w:rPr>
          <w:rFonts w:eastAsia="Times New Roman" w:ascii="Times New Roman" w:hAnsi="Times New Roman"/>
          <w:b w:val="false"/>
          <w:i w:val="false"/>
          <w:color w:val="000000"/>
          <w:sz w:val="24"/>
        </w:rPr>
        <w:t>The synthetic run provides no basis for claiming real authentication gains, and the real runs give a mixed verdict that is reported as measured. On the held-out test split, plain fusion cut SASV-EER from 33.1 % to 0.60 % when the countermeasure worked, which is a genuine security improvement over ASV alone, while the proposed arm was slightly worse there. On the complete three-generator corpus with a countermeasure that has never seen the third generator, the proposed arm is the best model (1.54 % against 2.27 % for plain fusion), significantly so over both the interaction control (+0.48 points) and the capacity control (+0.85 points), but its gate weights do not vary with emotion. The defensible claim is therefore narrower than the original hypothesis: emotion-conditioned architecture choices can improve spoofing-aware fusion on a hard, cross-generator corpus, but this data does not show that the improvement comes from using emotion. The failure of ASVspoof-2019 countermeasures to transfer to modern neural clones (50.8 % EER pretrained, 43.8 % retrained in-domain) is arguably the most useful finding, because it shows that countermeasure generalisation, not fusion architecture, is the binding constraint.</w:t>
      </w:r>
    </w:p>
    <w:p>
      <w:pPr>
        <w:pStyle w:val="Normal"/>
        <w:spacing w:lineRule="auto" w:line="360" w:before="0" w:after="160"/>
        <w:ind w:firstLine="432"/>
        <w:jc w:val="both"/>
        <w:rPr/>
      </w:pPr>
      <w:r>
        <w:rPr>
          <w:rFonts w:eastAsia="Times New Roman" w:ascii="Times New Roman" w:hAnsi="Times New Roman"/>
          <w:b w:val="false"/>
          <w:i w:val="false"/>
          <w:color w:val="000000"/>
          <w:sz w:val="24"/>
        </w:rPr>
        <w:t>For an organisation considering voice authentication, the immediate implication is governance rather than deployment. A system should preserve score provenance, document attack coverage, measure genuine-user rejection by emotion, and keep operating thresholds out of the test-set tuning loop. A lightweight fusion layer can be practical only when its upstream speaker, spoofing, and emotion scores are trustworthy and its failure modes are auditable.</w:t>
      </w:r>
    </w:p>
    <w:p>
      <w:pPr>
        <w:pStyle w:val="Normal"/>
        <w:spacing w:lineRule="auto" w:line="360" w:before="0" w:after="160"/>
        <w:ind w:firstLine="432"/>
        <w:jc w:val="both"/>
        <w:rPr/>
      </w:pPr>
      <w:r>
        <w:rPr>
          <w:rFonts w:eastAsia="Times New Roman" w:ascii="Times New Roman" w:hAnsi="Times New Roman"/>
          <w:b w:val="false"/>
          <w:i w:val="false"/>
          <w:color w:val="000000"/>
          <w:sz w:val="24"/>
        </w:rPr>
        <w:t>Future work should close what this study leaves open: a held-out-emotion split, since every emotion condition here appears in training; a pre-registered decision table, because the success margins were recorded only after the test report; the two ablation overlays on real data; repeated seeds and a second speaker split; reproduction of a published baseline under a matched protocol, which would also validate the metric code against reference numbers; and the ASVspoof 2019 evaluation partition, which would give the retrained countermeasure a standard benchmark instead of two held-out speakers. The ESD research licence also has to be settled before publication. These steps will determine whether the gating advantage survives, is limited to the cross-generator condition, or is an artefact of capacity and calibration.</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REFERENCES</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 P. Dehak, P. J. Kenny, R. Dehak, P. Dumouchel, and P. Ouellet, “Front-end factor analysis for speaker verification,” IEEE Transactions on Audio, Speech, and Language Processing, vol. 19, no. 4, pp. 788-798, 2011.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 D. Snyder et al., “X-vectors: Robust DNN embeddings for speaker recognition,” in Proc. ICASSP, 2018, pp. 5329-5333.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 B. Desplanques, J. Thienpondt, and K. Demuynck, “ECAPA-TDNN: Emphasized channel attention, propagation and aggregation in TDNN based speaker verification,” in Proc. Interspeech, 2020, pp. 3830-3834.</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[4] S. Chen et al., “WavLM: Large-scale self-supervised pre-training for full stack speech processing,” IEEE Journal of Selected Topics in Signal Processing, vol. 16, no. 6, pp. 1505-1518,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[5] W.-N. Hsu et al., “HuBERT: Self-supervised speech representation learning by masked prediction of hidden units,” IEEE/ACM Transactions on Audio, Speech, and Language Processing, vol. 29, pp. 3451-3460, 2021.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[6] A. Baevski, H. Zhou, A. Mohamed, and M. Auli, “wav2vec 2.0: A framework for self-supervised learning of speech representations,” in Proc. NeurIPS, 2020.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[7] J.-w. Jung et al., “AASIST: Audio anti-spoofing using integrated spectro-temporal graph attention networks,” in Proc. ICASSP, 2022, pp. 6367-6371.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[8] H. Tak et al., “End-to-end anti-spoofing with RawNet2,” in Proc. ICASSP, 2021, pp. 6369-6373.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[9] J. Yamagishi et al., “ASVspoof 2021: Accelerating progress in spoofed and deepfake speech detection,” in Proc. ASVspoof 2021 Workshop, 2021.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[10] H. Delgado et al., “ASVspoof 2021: Automatic speaker verification spoofing and countermeasures challenge evaluation plan,” 2021.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[11] J.-w. Jung et al., “SASV 2022: The first spoofing-aware speaker verification challenge,” in Proc. Interspeech, 2022, pp. 2893-2897.</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[12] H.-j. Shim et al., “Baseline systems for the first spoofing-aware speaker verification challenge: Score and embedding fusion,” in Proc. Odyssey,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[13] T. Kinnunen et al., “t-DCF: A detection cost function for the tandem assessment of spoofing countermeasures and automatic speaker verification,” in Proc. Odyssey, 2018, pp. 312-319.</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[14] X. Wang et al., “a-DCF: An architecture-agnostic detection cost function for spoofing-aware speaker verification,” arXiv:2403.01355, 2024.</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[15] A. Conti, D. Salvi, M. Borrelli, S. Hosler, F. Bestagini, and S. Tubaro, “Deepfake speech detection through emotion recognition: A semantic approach,” in Proc. ICASSP, 2022, pp. 3064-3068.</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[16] A. Mahapatra, I. R. Ulgen, A. R. Naini, C. Busso, and B. Sisman, “Can emotion fool anti-spoofing?” in Proc. Interspeech, 2025.</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[17] D. Shizuoka, D. Daido, and C. Chiba, “Utterance-style-dependent speaker verification using emotional embedding with pretrained models,” Sensors, vol. 25, no. 17, art. 5284, 2025.</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[18] T. Takayama, K. Nishida, K. Tsuge, S. Kuroiwa, and S. Nishimura, “Utterance-style-dependent speaker verification by utilizing emotions,” in Proc. GCCE, 2023.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[19] M. Ravanelli et al., “SpeechBrain: A general-purpose speech toolkit,” arXiv:2106.04624, 2021.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[20] A. Nagrani, J. S. Chung, and A. Zisserman, “VoxCeleb: A large-scale speaker identification dataset,” in Proc. Interspeech, 2017, pp. 2616-2620.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[21] J. S. Chung, A. Nagrani, and A. Zisserman, “VoxCeleb2: Deep speaker recognition,” in Proc. Interspeech, 2018, pp. 1086-1090.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[22] T. Kinnunen et al., “The ASVspoof 2017 challenge: Assessing the limits of replay spoofing attack detection,” in Proc. Interspeech, 2017, pp. 2-6.</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[23] M. Todisco, X. Wang, V. Vestman, M. Sahidullah, H. Delgado, A. Nautsch, J. Yamagishi, K. A. Lee, and N. Evans, “ASVspoof 2019: Future horizons in spoofed and fake audio detection,” in Proc. Interspeech, 2019, pp. 1008-1012.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[24] X. Wang et al., “ASVspoof 2019: A large-scale public database of synthesized, converted and replayed speech,” Computer Speech and Language, vol. 64, 2020.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[25] M. Sahidullah, T. Kinnunen, and C. Hanilci, “A comparison of features for synthetic speech detection,” in Proc. Interspeech, 2015, pp. 2087-2091.</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[26] G. Lavrentyeva, S. Masyagin, A. Novoselov, and O. Shchemelinin, “STC antispoofing systems for the ASVspoof2019 challenge,” in Proc. Interspeech, 2019, pp. 1033-1037.</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[27] G. Ge, M. McCool, C. Sanderson, and P. Harandi, “Speaker verification by partial AAM-softmax,” in Proc. Interspeech, 2020.</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[28] X. Liu, M. Sahidullah, K. A. Lee, and T. Kinnunen, “Speaker-aware anti-spoofing,” arXiv:2303.01126, 2023.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[29] J. Heo, J.-H. Kim, and H.-S. Shin, “Two methods for spoofing-aware speaker verification: Multi-layer perceptron score fusion model and integrated embedding projector,” in Proc. Interspeech,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[30] C. Wu, M. Todisco, X. Wang, N. Evans, J. Yamagishi, and T. Kinnunen, “Spoofing-aware speaker verification by multi-level fusion,” in Proc. Interspeech,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[31] Z. Teng, Q. Fu, J. White, M. Powell, and D. Schmidt, “SA-SASV: An end-to-end spoof-aggregated spoofing-aware speaker verification system,” in Proc. Interspeech,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[32] Y. Zhang, J. Lu, Z. Shang, W. Wang, and P. Zhang, “Improving short utterance anti-spoofing with AASIST2,” arXiv:2309.08279, 2023.</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[33] F. Bahmaninezhad, C. Zhang, S. R. K. M. Ravi, S. Khudanpur, and T. N. Sainath, “A comprehensive study of self-supervised speech representations for speaker verification,” in Proc. ICASSP, 2022.</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[34] J. Zhang, X. Jiang, X. Zhang, Y. Zhu, and S. Li, “Improving time delay neural network based speaker recognition with convolutional block and feature aggregation methods,” in Proc. Interspeech, 2021, pp. 3410-3414.</w:t>
      </w:r>
    </w:p>
    <w:p>
      <w:pPr>
        <w:pStyle w:val="Normal"/>
        <w:spacing w:lineRule="auto" w:line="240" w:before="0" w:after="60"/>
        <w:ind w:hanging="360" w:start="360"/>
        <w:jc w:val="both"/>
        <w:rPr/>
      </w:pPr>
      <w:r>
        <w:rPr>
          <w:rFonts w:eastAsia="Times New Roman" w:ascii="Times New Roman" w:hAnsi="Times New Roman"/>
          <w:b w:val="false"/>
          <w:i w:val="false"/>
          <w:color w:val="000000"/>
          <w:sz w:val="24"/>
        </w:rPr>
        <w:t>[35] J. M. P. L. M. Santos et al., “Self-supervised learning for speech emotion recognition: A review,” Speech Communication, vol. 152, pp. 1-18, 2023.</w:t>
      </w:r>
    </w:p>
    <w:p>
      <w:pPr>
        <w:pStyle w:val="Normal"/>
        <w:rPr/>
      </w:pPr>
      <w:r>
        <w:rPr/>
      </w:r>
      <w:r>
        <w:br w:type="page"/>
      </w:r>
    </w:p>
    <w:p>
      <w:pPr>
        <w:pStyle w:val="Normal"/>
        <w:keepNext w:val="true"/>
        <w:spacing w:lineRule="auto" w:line="240" w:before="0" w:after="160"/>
        <w:jc w:val="center"/>
        <w:rPr/>
      </w:pPr>
      <w:r>
        <w:rPr>
          <w:rFonts w:eastAsia="Times New Roman" w:ascii="Times New Roman" w:hAnsi="Times New Roman"/>
          <w:b/>
          <w:i w:val="false"/>
          <w:color w:val="000000"/>
          <w:sz w:val="28"/>
        </w:rPr>
        <w:t>APPENDIX</w:t>
      </w:r>
    </w:p>
    <w:p>
      <w:pPr>
        <w:pStyle w:val="Normal"/>
        <w:keepNext w:val="true"/>
        <w:spacing w:lineRule="auto" w:line="240" w:before="160" w:after="160"/>
        <w:jc w:val="start"/>
        <w:rPr/>
      </w:pPr>
      <w:r>
        <w:rPr>
          <w:rFonts w:eastAsia="Times New Roman" w:ascii="Times New Roman" w:hAnsi="Times New Roman"/>
          <w:b/>
          <w:i w:val="false"/>
          <w:color w:val="000000"/>
          <w:sz w:val="24"/>
        </w:rPr>
        <w:t>A. Repository audit trail</w:t>
      </w:r>
    </w:p>
    <w:p>
      <w:pPr>
        <w:pStyle w:val="Normal"/>
        <w:spacing w:lineRule="auto" w:line="360" w:before="0" w:after="160"/>
        <w:jc w:val="both"/>
        <w:rPr/>
      </w:pPr>
      <w:r>
        <w:rPr>
          <w:rFonts w:eastAsia="Times New Roman" w:ascii="Times New Roman" w:hAnsi="Times New Roman"/>
          <w:b w:val="false"/>
          <w:i w:val="false"/>
          <w:color w:val="000000"/>
          <w:sz w:val="24"/>
        </w:rPr>
        <w:t>Core implementation modules are located in src/easv/: manifest.py validates trial metadata; scores.py aligns score files; audit.py reports leakage and coverage; metrics.py computes EER, DCF, threshold, calibration, and bootstrap quantities; fusion.py implements the five-model ladder; evaluation.py writes results; and cli.py exposes audit, evaluate, demo, predict, and manifest-template commands.</w:t>
      </w:r>
    </w:p>
    <w:p>
      <w:pPr>
        <w:pStyle w:val="Normal"/>
        <w:keepNext w:val="true"/>
        <w:spacing w:lineRule="auto" w:line="240" w:before="160" w:after="160"/>
        <w:jc w:val="start"/>
        <w:rPr/>
      </w:pPr>
      <w:r>
        <w:rPr>
          <w:rFonts w:eastAsia="Times New Roman" w:ascii="Times New Roman" w:hAnsi="Times New Roman"/>
          <w:b/>
          <w:i w:val="false"/>
          <w:color w:val="000000"/>
          <w:sz w:val="24"/>
        </w:rPr>
        <w:t>B. Commands executed for this report</w:t>
      </w:r>
    </w:p>
    <w:p>
      <w:pPr>
        <w:pStyle w:val="Normal"/>
        <w:spacing w:lineRule="auto" w:line="360" w:before="0" w:after="160"/>
        <w:jc w:val="both"/>
        <w:rPr/>
      </w:pPr>
      <w:r>
        <w:rPr>
          <w:rFonts w:eastAsia="Times New Roman" w:ascii="Times New Roman" w:hAnsi="Times New Roman"/>
          <w:b w:val="false"/>
          <w:i w:val="false"/>
          <w:color w:val="000000"/>
          <w:sz w:val="24"/>
        </w:rPr>
        <w:t>1. .venv/bin/python -m pytest -q  -&gt;  79 tests passed.</w:t>
        <w:br/>
        <w:t>2. .venv/bin/python -m easv demo --out &lt;temporary directory&gt; --config configs/demo.yaml  -&gt;  1,660 synthetic trials and five fitted models (pipeline smoke test only).</w:t>
        <w:br/>
        <w:t>3. .venv/bin/python -m easv audit --manifest results/e2e/merged_manifest.csv --out results/e2e/audit_real  -&gt;  0 errors, 4 expected warnings on the 53,900-trial real manifest.</w:t>
        <w:br/>
        <w:t>4. scripts/producer_asv.py and scripts/producer_ser.py over the merged manifest (53,900 score rows each); scripts/train_cm_indomain.py for the in-domain and StyleTTS2-held-out countermeasures; scripts/producer_cm_aasist.py for the pretrained checkpoint; scripts/train_cm_aasist_la.py plus scripts/build_manifests.py asvspoof for the LA retrain.</w:t>
        <w:br/>
        <w:t>5. .venv/bin/python -m easv.cli evaluate --manifest results/e2e/merged_manifest.csv --scores &lt;combined scores&gt; --config configs/real_run.yaml --out results/real/run4_3gen_crossgen  -&gt;  the three-generator tables in 4.4.</w:t>
        <w:br/>
        <w:t>6. .venv/bin/python scripts/compare_arms.py --results results/real/run4_3gen_crossgen --manifest results/e2e/merged_manifest.csv --a emotion_gated --b emotion_interaction  -&gt;  the arm-vs-arm contrast.</w:t>
      </w:r>
    </w:p>
    <w:p>
      <w:pPr>
        <w:pStyle w:val="Normal"/>
        <w:keepNext w:val="true"/>
        <w:spacing w:lineRule="auto" w:line="240" w:before="160" w:after="160"/>
        <w:jc w:val="start"/>
        <w:rPr/>
      </w:pPr>
      <w:r>
        <w:rPr>
          <w:rFonts w:eastAsia="Times New Roman" w:ascii="Times New Roman" w:hAnsi="Times New Roman"/>
          <w:b/>
          <w:i w:val="false"/>
          <w:color w:val="000000"/>
          <w:sz w:val="24"/>
        </w:rPr>
        <w:t>C. Reproducibility warning</w:t>
      </w:r>
    </w:p>
    <w:p>
      <w:pPr>
        <w:pStyle w:val="Normal"/>
        <w:spacing w:lineRule="auto" w:line="360" w:before="0" w:after="160"/>
        <w:jc w:val="both"/>
        <w:rPr/>
      </w:pPr>
      <w:r>
        <w:rPr>
          <w:rFonts w:eastAsia="Times New Roman" w:ascii="Times New Roman" w:hAnsi="Times New Roman"/>
          <w:b w:val="false"/>
          <w:i w:val="false"/>
          <w:color w:val="000000"/>
          <w:sz w:val="24"/>
        </w:rPr>
        <w:t>The synthetic demo should not be cited as a benchmark result. Section 4.4 is the real experiment: externally sourced speech, documented score producers, metric definitions and split rules fixed before the test report, and a test split evaluated once. (The numeric success margins were not pre-registered before the first test report; PROTOCOL section 6 records that limitation explicitly.) Its per-trial scores, fitted models and reports live in results/real/ (git-ignored because they encode corpus paths) and the audio corpora live outside the repository; docs/REAL_RESULTS.md records every number with its split, threshold policy and interval, and docs/PROGRESS_LOG.md records how the corpora were obtained. The synthetic demonstration is kept only as the pipeline smoke test.</w:t>
      </w:r>
    </w:p>
    <w:sectPr>
      <w:footerReference w:type="even" r:id="rId4"/>
      <w:footerReference w:type="default" r:id="rId5"/>
      <w:footerReference w:type="first" r:id="rId6"/>
      <w:type w:val="nextPage"/>
      <w:pgSz w:w="11906" w:h="16838"/>
      <w:pgMar w:left="1224" w:right="1224" w:gutter="0" w:header="0" w:top="1224" w:footer="709"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Rounded MT Bold">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Times New Roman" w:hAnsi="Times New Roman"/>
        <w:color w:val="000000"/>
        <w:sz w:val="18"/>
      </w:rPr>
      <w:t>Course Project Report | EASV | Page</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Times New Roman" w:hAnsi="Times New Roman"/>
        <w:color w:val="000000"/>
        <w:sz w:val="18"/>
      </w:rPr>
      <w:t>Course Project Report | EASV | Page</w:t>
    </w:r>
    <w:r>
      <w:rPr/>
      <w:fldChar w:fldCharType="begin"/>
    </w:r>
    <w:r>
      <w:rPr/>
      <w:instrText xml:space="preserve"> PAGE </w:instrText>
    </w:r>
    <w:r>
      <w:rPr/>
      <w:fldChar w:fldCharType="separate"/>
    </w:r>
    <w:r>
      <w:rPr/>
      <w:t>19</w:t>
    </w:r>
    <w:r>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d7d9b"/>
    <w:rPr/>
  </w:style>
  <w:style w:type="character" w:styleId="FooterChar" w:customStyle="1">
    <w:name w:val="Footer Char"/>
    <w:basedOn w:val="DefaultParagraphFont"/>
    <w:link w:val="Footer"/>
    <w:uiPriority w:val="99"/>
    <w:qFormat/>
    <w:rsid w:val="00ad7d9b"/>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ad7d9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7d9b"/>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2e42e5"/>
    <w:pPr>
      <w:spacing w:before="0" w:after="160"/>
      <w:ind w:start="720"/>
      <w:contextualSpacing/>
    </w:pPr>
    <w:rPr>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218b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E707C-0DBD-4A2C-8D70-C5B4550D8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Application>LibreOffice/26.2.5.2$Linux_X86_64 LibreOffice_project/cd7284b4cbbfeb507e630c1aac019f4157393acb</Application>
  <AppVersion>15.0000</AppVersion>
  <Pages>12</Pages>
  <Words>4866</Words>
  <Characters>29363</Characters>
  <CharactersWithSpaces>33990</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2026-10-15T04:20:00Z</dcterms:created>
  <dc:creator>Admin</dc:creator>
  <dc:description/>
  <dc:language>en-US</dc:language>
  <cp:lastModifiedBy>Dega Nagaraju</cp:lastModifiedBy>
  <dcterms:modified xsi:type="dcterms:W3CDTF">2026-10-15T05:09:00Z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