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97 tests passed. The tests cover manifest validation, score alignment, metric direction conventions, threshold separation, fusion serialization, grouped evaluation, command-line behaviour, the manifest builders, the arm-vs-arm comparison sign convention, the SER-confidence feature mode, and the held-out-emotion fold (that it leaves the test split intact and rejects an unknown emotion).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That was tested directly: replacing the four-way emotion vector with the single maximum predicted probability, while keeping the fusion ladder identical, recovers +1.6 of the +5.4 points (95 % CI 0.70-2.74, p &lt; 0.001) on this regime, and the full vector remains significantly better than that scalar (−3.7 points, CI −7.68 to −0.78). Roughly a third of the apparent gain is therefore a spoof cue, and the remainder is the per-class structure of an out-of-domain emotion output rather than demonstrated emotion semantics. In the three-generator regime the same ablation is decisive against the mechanism: the gated arm reaches 1.49 % with the scalar alone against 1.54 % with the full vector, a difference of 0.02 points whose interval spans zero (p = 0.76), so its advantage does not require emotion information at all.</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spacing w:after="120"/>
      </w:pPr>
      <w:r>
        <w:rPr>
          <w:rFonts w:ascii="Times New Roman" w:hAnsi="Times New Roman"/>
          <w:sz w:val="24"/>
        </w:rPr>
        <w:t>Two further folds test the cross-emotion claim directly. In each, one emotion (angry, then neutral) is removed from every stage that could learn it: the countermeasure's training and development-based early stopping, and the fusion fit's train and dev splits, while the test split is left intact, so the held-out trials are scored by a pipeline that never encountered that emotion. Removing it costs nothing. The countermeasure detects the held-out emotion at 0.03 % EER (0.08 % overall), and on that emotion's 5,040 test trials the largest change in SASV-EER between fitting with and without it is 0.03 points, with every paired bootstrap interval containing zero (gated, angry: −0.01 points, interval −0.06 to 0.00; gated, neutral: +0.03, interval 0.00 to 0.13). The pipeline therefore generalises to an emotion it has never seen. The reason is not that the emotion features generalise well but that they carry little emotion-specific structure: an arm that genuinely conditioned on emotion would lose something when an entire condition is removed, and these lose nothing measurable. That is the third independent line of evidence against the mechanism, alongside the flat gate weights and the confidence-scalar reproduction.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held-out-emotion folds remove the last alternative reading: excluding an entire emotion from the countermeasure's training and from the fusion fit leaves that emotion's error rate unchanged to within 0.03 points, so the pipeline is not relying on memorised emotion identities either, and it loses nothing because it was hardly using them.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fold against a failing countermeasure, since the two folds reported here were run only where the countermeasure already works;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 evidence gathered so far already points to the third of the original alternatives: the gating advantage is limited to the cross-generator corpus and is explained by capacity and calibration rather than by emotion conditioning.</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97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br/>
        <w:t>7. scripts/train_cm_indomain.py --holdout-emotion &lt;angry|neutral&gt;, then easv.cli evaluate with and without --set folds.holdout_emotion=&lt;emotion&gt;, then scripts/compare_arms.py --emotion &lt;emotion&gt;  -&gt;  the held-out-emotion folds.</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