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320" w:after="320"/>
        <w:jc w:val="center"/>
        <w:rPr/>
      </w:pPr>
      <w:r>
        <w:rPr>
          <w:rFonts w:eastAsia="Arial Rounded MT Bold" w:ascii="Arial Rounded MT Bold" w:hAnsi="Arial Rounded MT Bold"/>
          <w:b/>
          <w:i w:val="false"/>
          <w:color w:val="000000"/>
          <w:sz w:val="50"/>
        </w:rPr>
        <w:t>CROSS-GENERATOR EVALUATION OF</w:t>
        <w:br/>
        <w:t>SPOOFING-AWARE SPEAKER VERIFICATION</w:t>
        <w:br/>
        <w:t>ON EMOTIONAL NEURAL VOICE CLONES</w:t>
      </w:r>
    </w:p>
    <w:p>
      <w:pPr>
        <w:pStyle w:val="Normal"/>
        <w:spacing w:lineRule="auto" w:line="360" w:before="440" w:after="320"/>
        <w:jc w:val="center"/>
        <w:rPr/>
      </w:pPr>
      <w:r>
        <w:rPr>
          <w:rFonts w:eastAsia="Arial" w:ascii="Arial" w:hAnsi="Arial"/>
          <w:b w:val="false"/>
          <w:i w:val="false"/>
          <w:color w:val="000000"/>
          <w:sz w:val="32"/>
        </w:rPr>
        <w:t>Artificial Intelligence and Expert Systems</w:t>
        <w:br/>
        <w:t>(CSI3003)</w:t>
        <w:br/>
        <w:t>E1+TE1 Slot Fall Semester 2026-27</w:t>
      </w:r>
    </w:p>
    <w:p>
      <w:pPr>
        <w:pStyle w:val="Normal"/>
        <w:spacing w:lineRule="auto" w:line="360" w:before="320" w:after="320"/>
        <w:jc w:val="center"/>
        <w:rPr/>
      </w:pPr>
      <w:r>
        <w:rPr>
          <w:rFonts w:eastAsia="Arial" w:ascii="Arial" w:hAnsi="Arial"/>
          <w:b w:val="false"/>
          <w:i/>
          <w:color w:val="000000"/>
          <w:sz w:val="32"/>
        </w:rPr>
        <w:t>Course Project Report</w:t>
      </w:r>
    </w:p>
    <w:p>
      <w:pPr>
        <w:pStyle w:val="Normal"/>
        <w:spacing w:lineRule="auto" w:line="360" w:before="360" w:after="80"/>
        <w:jc w:val="center"/>
        <w:rPr/>
      </w:pPr>
      <w:r>
        <w:rPr>
          <w:rFonts w:eastAsia="Arial" w:ascii="Arial" w:hAnsi="Arial"/>
          <w:b w:val="false"/>
          <w:i/>
          <w:color w:val="000000"/>
          <w:sz w:val="28"/>
        </w:rPr>
        <w:t>Submitted by</w:t>
      </w:r>
    </w:p>
    <w:p>
      <w:pPr>
        <w:pStyle w:val="Normal"/>
        <w:spacing w:lineRule="auto" w:line="360" w:before="0" w:after="240"/>
        <w:jc w:val="center"/>
        <w:rPr/>
      </w:pPr>
      <w:r>
        <w:rPr>
          <w:rFonts w:eastAsia="Arial Rounded MT Bold" w:ascii="Arial Rounded MT Bold" w:hAnsi="Arial Rounded MT Bold"/>
          <w:b/>
          <w:i w:val="false"/>
          <w:color w:val="000000"/>
          <w:sz w:val="32"/>
        </w:rPr>
        <w:t>VISHAL TANTRI (15BCE0131)</w:t>
      </w:r>
    </w:p>
    <w:p>
      <w:pPr>
        <w:pStyle w:val="Normal"/>
        <w:spacing w:lineRule="auto" w:line="360" w:before="240" w:after="60"/>
        <w:jc w:val="center"/>
        <w:rPr/>
      </w:pPr>
      <w:r>
        <w:rPr>
          <w:rFonts w:eastAsia="Arial" w:ascii="Arial" w:hAnsi="Arial"/>
          <w:b w:val="false"/>
          <w:i/>
          <w:color w:val="000000"/>
          <w:sz w:val="26"/>
        </w:rPr>
        <w:t>Under the guidance of</w:t>
      </w:r>
    </w:p>
    <w:p>
      <w:pPr>
        <w:pStyle w:val="Normal"/>
        <w:spacing w:lineRule="auto" w:line="360" w:before="0" w:after="160"/>
        <w:jc w:val="center"/>
        <w:rPr/>
      </w:pPr>
      <w:r>
        <w:rPr>
          <w:rFonts w:eastAsia="Arial" w:ascii="Arial" w:hAnsi="Arial"/>
          <w:b w:val="false"/>
          <w:i w:val="false"/>
          <w:color w:val="000000"/>
          <w:sz w:val="32"/>
        </w:rPr>
        <w:t>Dr. DEGA NAGARAJU</w:t>
      </w:r>
    </w:p>
    <w:p>
      <w:pPr>
        <w:pStyle w:val="Normal"/>
        <w:spacing w:lineRule="auto" w:line="360" w:before="80" w:after="0"/>
        <w:jc w:val="center"/>
        <w:rPr/>
      </w:pPr>
      <w:r>
        <w:rPr>
          <w:rFonts w:eastAsia="Arial" w:ascii="Arial" w:hAnsi="Arial"/>
          <w:b w:val="false"/>
          <w:i w:val="false"/>
          <w:color w:val="000000"/>
          <w:sz w:val="26"/>
        </w:rPr>
        <w:t>School of Computer Science and Engineering (SCOPE)</w:t>
      </w:r>
    </w:p>
    <w:p>
      <w:pPr>
        <w:pStyle w:val="Normal"/>
        <w:spacing w:lineRule="auto" w:line="360" w:before="0" w:after="80"/>
        <w:jc w:val="center"/>
        <w:rPr/>
      </w:pPr>
      <w:r>
        <w:rPr>
          <w:rFonts w:eastAsia="Arial" w:ascii="Arial" w:hAnsi="Arial"/>
          <w:b w:val="false"/>
          <w:i w:val="false"/>
          <w:color w:val="000000"/>
          <w:sz w:val="26"/>
        </w:rPr>
        <w:t>October 2026</w:t>
      </w:r>
    </w:p>
    <w:p>
      <w:pPr>
        <w:pStyle w:val="Normal"/>
        <w:spacing w:lineRule="auto" w:line="240" w:before="40" w:after="0"/>
        <w:jc w:val="center"/>
        <w:rPr/>
      </w:pPr>
      <w:r>
        <w:rPr/>
        <w:drawing>
          <wp:inline distT="0" distB="0" distL="0" distR="0">
            <wp:extent cx="3017520" cy="102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017520" cy="1021080"/>
                    </a:xfrm>
                    <a:prstGeom prst="rect">
                      <a:avLst/>
                    </a:prstGeom>
                    <a:noFill/>
                  </pic:spPr>
                </pic:pic>
              </a:graphicData>
            </a:graphic>
          </wp:inline>
        </w:drawing>
      </w:r>
    </w:p>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CERTIFICATE</w:t>
      </w:r>
    </w:p>
    <w:p>
      <w:pPr>
        <w:pStyle w:val="Normal"/>
        <w:spacing w:lineRule="auto" w:line="360" w:before="0" w:after="160"/>
        <w:jc w:val="both"/>
        <w:rPr/>
      </w:pPr>
      <w:r>
        <w:t>This is to certify that the project entitled “Cross-Generator Evaluation of Spoofing-Aware Speaker Verification on Emotional Neural Voice Clones” was completed for Artificial Intelligence and Expert Systems (CSI3003). The report presents the measured results and their limits.</w:t>
      </w:r>
    </w:p>
    <w:p>
      <w:pPr>
        <w:pStyle w:val="Normal"/>
        <w:spacing w:lineRule="auto" w:line="360" w:before="0" w:after="160"/>
        <w:jc w:val="both"/>
        <w:rPr/>
      </w:pPr>
      <w:r>
        <w:t>The report has not been submitted for another course. Sources are cited in IEEE style.</w:t>
      </w:r>
    </w:p>
    <w:p>
      <w:pPr>
        <w:pStyle w:val="Normal"/>
        <w:spacing w:lineRule="auto" w:line="360" w:before="240" w:after="160"/>
        <w:jc w:val="both"/>
        <w:rPr/>
      </w:pPr>
      <w:r>
        <w:rPr>
          <w:rFonts w:eastAsia="Times New Roman" w:ascii="Times New Roman" w:hAnsi="Times New Roman"/>
          <w:b w:val="false"/>
          <w:i w:val="false"/>
          <w:color w:val="000000"/>
          <w:sz w:val="24"/>
        </w:rPr>
        <w:t>Place: Vellore</w:t>
        <w:br/>
        <w:t>Date: 30-10-2026</w:t>
      </w:r>
    </w:p>
    <w:tbl>
      <w:tblPr>
        <w:tblW w:w="9459"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153"/>
        <w:gridCol w:w="3153"/>
        <w:gridCol w:w="3153"/>
      </w:tblGrid>
      <w:tr>
        <w:trPr>
          <w:tblHeader w:val="true"/>
        </w:trPr>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Student name</w:t>
            </w:r>
          </w:p>
        </w:tc>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Registration number</w:t>
            </w:r>
          </w:p>
        </w:tc>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Signature</w:t>
            </w:r>
          </w:p>
        </w:tc>
      </w:tr>
      <w:tr>
        <w:trPr/>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VISHAL TANTRI</w:t>
            </w:r>
          </w:p>
        </w:tc>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15BCE0131</w:t>
            </w:r>
          </w:p>
        </w:tc>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
          </w:p>
        </w:tc>
      </w:tr>
    </w:tbl>
    <w:p>
      <w:pPr>
        <w:pStyle w:val="Normal"/>
        <w:spacing w:before="0" w:after="60"/>
        <w:rPr/>
      </w:pPr>
      <w:r>
        <w:rPr/>
      </w:r>
    </w:p>
    <w:p>
      <w:pPr>
        <w:pStyle w:val="Normal"/>
        <w:spacing w:lineRule="auto" w:line="360" w:before="360" w:after="160"/>
        <w:jc w:val="both"/>
        <w:rPr/>
      </w:pPr>
      <w:r>
        <w:rPr>
          <w:rFonts w:eastAsia="Times New Roman" w:ascii="Times New Roman" w:hAnsi="Times New Roman"/>
          <w:b w:val="false"/>
          <w:i w:val="false"/>
          <w:color w:val="000000"/>
          <w:sz w:val="24"/>
        </w:rPr>
        <w:t>Signature of the Guide: ______________________________</w:t>
      </w:r>
    </w:p>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ABSTRACT</w:t>
      </w:r>
    </w:p>
    <w:p>
      <w:pPr>
        <w:pStyle w:val="Normal"/>
        <w:spacing w:lineRule="auto" w:line="360" w:before="0" w:after="120"/>
        <w:jc w:val="both"/>
        <w:rPr/>
      </w:pPr>
      <w:r>
        <w:t>Voice authentication must reject both an impostor and a synthetic voice. This study tests whether predicted emotion information improves spoofing-aware speaker verification (SASV). Speaker, countermeasure, and emotion scores are fused at score level. The study uses 53,900 real trials. These include 17,900 bona fide ESD trials and 36,000 neural clones from StyleTTS2, F5-TTS, and CosyVoice. The pipeline checks metadata and keeps train, development, and test data separate. It compares five fusion arms. It reports SASV-EER, detection cost, calibration, bootstrap intervals, and generator-level results. Clone vulnerability differs by generator. The ECAPA speaker system accepts 38.8% of clones overall. The rate ranges from 5.9% for StyleTTS2 to 59.0% for CosyVoice. The best gated arm reaches 1.54% SASV-EER. Linear fusion reaches 2.27%. However, gate weights are almost flat across emotions. A single confidence value reproduces the gain. Held-out emotion tests show no meaningful loss. The evidence does not support emotion conditioning as the cause. The main contribution is a reproducible cross-generator measurement study with a negative mechanism result.</w:t>
      </w:r>
    </w:p>
    <w:p>
      <w:pPr>
        <w:pStyle w:val="Normal"/>
        <w:spacing w:lineRule="auto" w:line="360" w:before="0" w:after="0"/>
        <w:jc w:val="both"/>
        <w:rPr/>
      </w:pPr>
      <w:r>
        <w:t>Keywords: spoofing-aware speaker verification; emotional neural voice clones; cross-generator evaluation; countermeasure transfer; negative result.</w:t>
      </w:r>
    </w:p>
    <w:p>
      <w:pPr>
        <w:pStyle w:val="Normal"/>
        <w:rPr/>
      </w:pPr>
      <w:r>
        <w:rPr/>
      </w:r>
      <w:r>
        <w:br w:type="page"/>
      </w:r>
    </w:p>
    <w:p>
      <w:pPr>
        <w:pStyle w:val="Normal"/>
        <w:keepNext w:val="true"/>
        <w:spacing w:lineRule="auto" w:line="360" w:before="0" w:after="160"/>
        <w:jc w:val="left"/>
        <w:rPr/>
      </w:pPr>
      <w:r>
        <w:t>CONTENTS</w:t>
        <w:br/>
        <w:t>ABSTRACT</w:t>
        <w:br/>
        <w:t>CERTIFICATE</w:t>
        <w:br/>
        <w:t>1. INTRODUCTION</w:t>
        <w:br/>
        <w:t xml:space="preserve">   1.1 Background and motivation</w:t>
        <w:br/>
        <w:t xml:space="preserve">   1.2 Research questions</w:t>
        <w:br/>
        <w:t>2. LITERATURE REVIEW</w:t>
        <w:br/>
        <w:t xml:space="preserve">   2.1 Speaker verification representations</w:t>
        <w:br/>
        <w:t xml:space="preserve">   2.2 Self-supervised speech representations</w:t>
        <w:br/>
        <w:t xml:space="preserve">   2.3 Spoofing and countermeasure research</w:t>
        <w:br/>
        <w:t xml:space="preserve">   2.4 Integrated SASV and score fusion</w:t>
        <w:br/>
        <w:t xml:space="preserve">   2.5 Emotion-aware speech and the remaining question</w:t>
        <w:br/>
        <w:t xml:space="preserve">   2.6 Evaluation discipline and reproducibility</w:t>
        <w:br/>
        <w:t>3. METHODOLOGY</w:t>
        <w:br/>
        <w:t xml:space="preserve">   3.1 Scope and system boundary</w:t>
        <w:br/>
        <w:t xml:space="preserve">   3.2 Audit and split discipline</w:t>
        <w:br/>
        <w:t xml:space="preserve">   3.3 Fusion model ladder</w:t>
        <w:br/>
        <w:t xml:space="preserve">   3.4 Data and score producers</w:t>
        <w:br/>
        <w:t xml:space="preserve">   3.5 Real-data protocol and synthetic smoke test</w:t>
        <w:br/>
        <w:t xml:space="preserve">   3.6 Reproducibility and data availability</w:t>
        <w:br/>
        <w:t>4. RESULTS AND DISCUSSION</w:t>
        <w:br/>
        <w:t xml:space="preserve">   4.1 Synthetic pipeline smoke test</w:t>
        <w:br/>
        <w:t xml:space="preserve">   4.2 Real-data results</w:t>
        <w:br/>
        <w:t xml:space="preserve">   4.3 Research-question answers</w:t>
        <w:br/>
        <w:t xml:space="preserve">   4.4 Mechanism analysis</w:t>
        <w:br/>
        <w:t xml:space="preserve">   4.5 Evidence-supported conclusions</w:t>
        <w:br/>
        <w:t xml:space="preserve">   4.6 Threats to validity</w:t>
        <w:br/>
        <w:t>5. CONCLUSION</w:t>
        <w:br/>
        <w:t>REFERENCES</w:t>
        <w:br/>
        <w:t>APPENDIX</w:t>
        <w:br/>
        <w:t xml:space="preserve">   A. Repository audit trail</w:t>
        <w:br/>
        <w:t xml:space="preserve">   B. Commands executed</w:t>
        <w:br/>
        <w:t xml:space="preserve">   C. Reproducibility warning</w:t>
        <w:br/>
        <w:t xml:space="preserve">   D. Submission checklist</w:t>
      </w:r>
    </w:p>
    <w:tbl>
      <w:tblPr>
        <w:tblW w:w="9458"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4729"/>
        <w:gridCol w:w="4729"/>
      </w:tblGrid>
      <w:tr>
        <w:trPr/>
        <w:tc>
          <w:tcPr>
            <w:tcW w:w="4729" w:type="dxa"/>
            <w:tcBorders/>
          </w:tcPr>
          <w:p>
            <w:pPr>
              <w:pStyle w:val="Normal"/>
              <w:spacing w:lineRule="auto" w:line="240" w:before="0" w:after="0"/>
              <w:jc w:val="start"/>
              <w:rPr/>
            </w:pPr>
            <w:r>
              <w:rPr>
                <w:rFonts w:eastAsia="Times New Roman" w:ascii="Times New Roman" w:hAnsi="Times New Roman"/>
                <w:b w:val="false"/>
                <w:i w:val="false"/>
                <w:color w:val="000000"/>
                <w:sz w:val="22"/>
              </w:rPr>
              <w:t>Abstract</w:t>
            </w:r>
          </w:p>
        </w:tc>
        <w:tc>
          <w:tcPr>
            <w:tcW w:w="4729" w:type="dxa"/>
            <w:tcBorders/>
          </w:tcPr>
          <w:p>
            <w:pPr>
              <w:pStyle w:val="Normal"/>
              <w:spacing w:lineRule="auto" w:line="240" w:before="0" w:after="0"/>
              <w:jc w:val="end"/>
              <w:rPr/>
            </w:pPr>
            <w:r>
              <w:rPr>
                <w:rFonts w:eastAsia="Times New Roman" w:ascii="Times New Roman" w:hAnsi="Times New Roman"/>
                <w:b w:val="false"/>
                <w:i w:val="false"/>
                <w:color w:val="000000"/>
                <w:sz w:val="22"/>
              </w:rPr>
              <w:t>3</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1  Introduction</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5</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2  Literature Review</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7</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3  Methodology</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10</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4  Results and Discussion</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13</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5  Conclusion</w:t>
            </w:r>
          </w:p>
        </w:tc>
        <w:tc>
          <w:tcPr>
            <w:tcW w:w="4729" w:type="dxa"/>
            <w:tcBorders/>
          </w:tcPr>
          <w:p>
            <w:r>
              <w:t>19</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References</w:t>
            </w:r>
          </w:p>
        </w:tc>
        <w:tc>
          <w:tcPr>
            <w:tcW w:w="4729" w:type="dxa"/>
            <w:tcBorders/>
          </w:tcPr>
          <w:p>
            <w:r>
              <w:t>20</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Appendix</w:t>
            </w:r>
          </w:p>
        </w:tc>
        <w:tc>
          <w:tcPr>
            <w:tcW w:w="4729" w:type="dxa"/>
            <w:tcBorders/>
          </w:tcPr>
          <w:p>
            <w:r>
              <w:t>22</w:t>
            </w:r>
          </w:p>
        </w:tc>
      </w:tr>
    </w:tbl>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CHAPTER 1</w:t>
        <w:br/>
        <w:t>INTRODUCTION</w:t>
      </w:r>
    </w:p>
    <w:p>
      <w:pPr>
        <w:pStyle w:val="Normal"/>
        <w:spacing w:lineRule="auto" w:line="360" w:before="0" w:after="160"/>
        <w:ind w:firstLine="432"/>
        <w:jc w:val="both"/>
        <w:rPr/>
      </w:pPr>
      <w:r>
        <w:t>The abstract gives the main result. This introduction explains why the result matters. A person using voice authentication expects the system to recognise a familiar voice. The system must also reject a recording, a text-to-speech sample, or a converted voice. Speaker embeddings are strong identity representations [1]-[3]. A high speaker score does not prove that the audio is genuine.</w:t>
      </w:r>
    </w:p>
    <w:p>
      <w:pPr>
        <w:pStyle w:val="Normal"/>
        <w:spacing w:lineRule="auto" w:line="360" w:before="0" w:after="160"/>
        <w:ind w:firstLine="432"/>
        <w:jc w:val="both"/>
        <w:rPr/>
      </w:pPr>
      <w:r>
        <w:t>Spoofing-aware speaker verification (SASV) addresses this gap. It evaluates target, nontarget, and spoof trials together [11]. A spoof can sound like the claimed speaker and still be rejected by a countermeasure. ASVspoof benchmarks make this threat concrete [9], [10]. The practical question is whether authentication remains safe while genuine users are still accepted.</w:t>
      </w:r>
    </w:p>
    <w:p>
      <w:pPr>
        <w:pStyle w:val="Normal"/>
        <w:spacing w:lineRule="auto" w:line="360" w:before="0" w:after="160"/>
        <w:ind w:firstLine="432"/>
        <w:jc w:val="both"/>
        <w:rPr/>
      </w:pPr>
      <w:r>
        <w:t>Emotion adds another source of variation. Anger, fear, happiness, sadness, and surprise change pitch, energy, timing, and spectrum. These changes can affect both speaker verification and anti-spoofing. Emotion is therefore treated as uncertain context. It is not treated as proof of identity.</w:t>
      </w:r>
    </w:p>
    <w:p>
      <w:pPr>
        <w:pStyle w:val="Normal"/>
        <w:spacing w:lineRule="auto" w:line="360" w:before="0" w:after="160"/>
        <w:ind w:firstLine="432"/>
        <w:jc w:val="both"/>
        <w:rPr/>
      </w:pPr>
      <w:r>
        <w:t>This project tests emotion-conditioned fusion as a falsifiable idea. It does not assume that the idea works. The comparison includes a speaker-only control, linear fusion, additive features, interaction features, and a gated model. These controls help separate emotion information from model capacity and confidence cues.</w:t>
      </w:r>
    </w:p>
    <w:p>
      <w:pPr>
        <w:pStyle w:val="Normal"/>
        <w:spacing w:lineRule="auto" w:line="360" w:before="0" w:after="160"/>
        <w:ind w:firstLine="432"/>
        <w:jc w:val="both"/>
        <w:rPr/>
      </w:pPr>
      <w:r>
        <w:t>The last point leads to the study design. A small gain is not useful if it comes from test leakage or a shortcut. The pipeline separates training, development, and test data. It audits speaker, generator, and emotion overlap. It also reports uncertainty.</w:t>
      </w:r>
    </w:p>
    <w:p>
      <w:pPr>
        <w:pStyle w:val="Normal"/>
        <w:spacing w:lineRule="auto" w:line="360" w:before="0" w:after="160"/>
        <w:ind w:firstLine="432"/>
        <w:jc w:val="both"/>
        <w:rPr/>
      </w:pPr>
      <w:r>
        <w:t>The study asks four research questions. RQ1 asks whether vulnerability differs across clone generators. RQ2 asks whether countermeasures trained on one spoofing domain transfer to emotional clones. RQ3 asks whether emotion-conditioned fusion improves SASV beyond normal fusion and capacity-matched controls. RQ4 asks whether the result holds for held-out emotions. Chapter 2 reviews prior work. Chapter 3 gives the method. Chapter 4 answers the questions. Chapter 5 gives the conclusion and limits.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Pr>
                <w:b/>
              </w:rPr>
              <w:t>Research question</w:t>
            </w:r>
          </w:p>
        </w:tc>
        <w:tc>
          <w:tcPr>
            <w:tcW w:type="dxa" w:w="4680"/>
            <w:shd w:fill="D9EAF7"/>
            <w:vAlign w:val="center"/>
          </w:tcPr>
          <w:p>
            <w:r>
              <w:rPr>
                <w:b/>
              </w:rPr>
              <w:t>Measured answer</w:t>
            </w:r>
          </w:p>
        </w:tc>
      </w:tr>
      <w:tr>
        <w:tc>
          <w:tcPr>
            <w:tcW w:type="dxa" w:w="4680"/>
            <w:vAlign w:val="center"/>
          </w:tcPr>
          <w:p>
            <w:r>
              <w:t>RQ1: Generator vulnerability</w:t>
            </w:r>
          </w:p>
        </w:tc>
        <w:tc>
          <w:tcPr>
            <w:tcW w:type="dxa" w:w="4680"/>
            <w:vAlign w:val="center"/>
          </w:tcPr>
          <w:p>
            <w:r>
              <w:t>Yes. Clone acceptance ranges from 5.9% to 59.0%.</w:t>
            </w:r>
          </w:p>
        </w:tc>
      </w:tr>
      <w:tr>
        <w:tc>
          <w:tcPr>
            <w:tcW w:type="dxa" w:w="4680"/>
            <w:vAlign w:val="center"/>
          </w:tcPr>
          <w:p>
            <w:r>
              <w:t>RQ2: Countermeasure transfer</w:t>
            </w:r>
          </w:p>
        </w:tc>
        <w:tc>
          <w:tcPr>
            <w:tcW w:type="dxa" w:w="4680"/>
            <w:vAlign w:val="center"/>
          </w:tcPr>
          <w:p>
            <w:r>
              <w:t>No. ASVspoof-trained AASIST does not transfer well.</w:t>
            </w:r>
          </w:p>
        </w:tc>
      </w:tr>
      <w:tr>
        <w:tc>
          <w:tcPr>
            <w:tcW w:type="dxa" w:w="4680"/>
            <w:vAlign w:val="center"/>
          </w:tcPr>
          <w:p>
            <w:r>
              <w:t>RQ3: Emotion-conditioned gain</w:t>
            </w:r>
          </w:p>
        </w:tc>
        <w:tc>
          <w:tcPr>
            <w:tcW w:type="dxa" w:w="4680"/>
            <w:vAlign w:val="center"/>
          </w:tcPr>
          <w:p>
            <w:r>
              <w:t>Not supported. Confidence and calibration explain the edge.</w:t>
            </w:r>
          </w:p>
        </w:tc>
      </w:tr>
      <w:tr>
        <w:tc>
          <w:tcPr>
            <w:tcW w:type="dxa" w:w="4680"/>
            <w:vAlign w:val="center"/>
          </w:tcPr>
          <w:p>
            <w:r>
              <w:t>RQ4: Held-out emotions</w:t>
            </w:r>
          </w:p>
        </w:tc>
        <w:tc>
          <w:tcPr>
            <w:tcW w:type="dxa" w:w="4680"/>
            <w:vAlign w:val="center"/>
          </w:tcPr>
          <w:p>
            <w:r>
              <w:t>Yes, with no meaningful loss. This also weakens the emotion claim.</w:t>
            </w:r>
          </w:p>
        </w:tc>
      </w:tr>
    </w:tbl>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CHAPTER 2</w:t>
        <w:br/>
        <w:t>LITERATURE REVIEW</w:t>
      </w:r>
    </w:p>
    <w:p>
      <w:pPr>
        <w:pStyle w:val="Normal"/>
        <w:spacing w:lineRule="auto" w:line="360" w:before="0" w:after="160"/>
        <w:jc w:val="both"/>
        <w:rPr/>
      </w:pPr>
      <w:r>
        <w:rPr>
          <w:rFonts w:eastAsia="Times New Roman" w:ascii="Times New Roman" w:hAnsi="Times New Roman"/>
          <w:b w:val="false"/>
          <w:i w:val="false"/>
          <w:color w:val="000000"/>
          <w:sz w:val="24"/>
        </w:rPr>
        <w:t>The literature is organised by the technical problems addressed by the project rather than as a list of papers. Each theme relates prior work to a concrete design decision or caution in the present implementation.</w:t>
      </w:r>
    </w:p>
    <w:p>
      <w:pPr>
        <w:pStyle w:val="Normal"/>
        <w:keepNext w:val="true"/>
        <w:spacing w:lineRule="auto" w:line="360" w:before="160" w:after="160"/>
        <w:jc w:val="start"/>
        <w:rPr/>
      </w:pPr>
      <w:r>
        <w:rPr>
          <w:rFonts w:eastAsia="Times New Roman" w:ascii="Times New Roman" w:hAnsi="Times New Roman"/>
          <w:b/>
          <w:i w:val="false"/>
          <w:color w:val="000000"/>
          <w:sz w:val="24"/>
        </w:rPr>
        <w:t>2.1 Speaker verification representations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Speaker verification changed substantially when systems moved from hand-designed acoustic statistics to fixed-dimensional speaker embeddings. Factor-analysis approaches established a useful baseline for comparison [1], while the x-vector architecture demonstrated how temporal neural features and statistics pooling could create a speaker representation from variable-length speech [2]. ECAPA-TDNN refined this family with channel attention, multi-scale processing, and attentive pooling [3]. These studies explain why a scalar speaker score is a sensible input to a later fusion stage: it carries a compact estimate of agreement between a claimed identity and a test utterance.</w:t>
      </w:r>
    </w:p>
    <w:p>
      <w:pPr>
        <w:pStyle w:val="Normal"/>
        <w:spacing w:lineRule="auto" w:line="360" w:before="0" w:after="160"/>
        <w:ind w:firstLine="432"/>
        <w:jc w:val="both"/>
        <w:rPr/>
      </w:pPr>
      <w:r>
        <w:rPr>
          <w:rFonts w:eastAsia="Times New Roman" w:ascii="Times New Roman" w:hAnsi="Times New Roman"/>
          <w:b w:val="false"/>
          <w:i w:val="false"/>
          <w:color w:val="000000"/>
          <w:sz w:val="24"/>
        </w:rPr>
        <w:t>At the same time, the speaker-embedding literature also exposes a limitation relevant to this project. An embedding is optimised to discriminate speakers, not to establish whether an utterance is genuine. Large speaker corpora such as VoxCeleb and VoxCeleb2 enabled increasingly strong representations [20], [21], but they do not remove the need for a spoofing countermeasure. The EASV code consequently treats a speaker score as one source of evidence rather than as the entire authentication decision.</w:t>
      </w:r>
    </w:p>
    <w:p>
      <w:pPr>
        <w:pStyle w:val="Normal"/>
        <w:keepNext w:val="true"/>
        <w:spacing w:lineRule="auto" w:line="360" w:before="160" w:after="160"/>
        <w:jc w:val="start"/>
        <w:rPr/>
      </w:pPr>
      <w:r>
        <w:rPr>
          <w:rFonts w:eastAsia="Times New Roman" w:ascii="Times New Roman" w:hAnsi="Times New Roman"/>
          <w:b/>
          <w:i w:val="false"/>
          <w:color w:val="000000"/>
          <w:sz w:val="24"/>
        </w:rPr>
        <w:t>2.2 Self-supervised speech representations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Self-supervised learning broadened the range of information available in a speech representation. wav2vec 2.0 learned speech features from masked latent targets [6], HuBERT used hidden-unit prediction [5], and WavLM combined masked prediction with a denoising objective designed for full-stack speech processing [4]. These models are relevant because speech carries linguistic, speaker, channel, and paralinguistic variation at the same time. A common upstream encoder could eventually supply inputs to speaker, spoofing, and emotion branches.</w:t>
      </w:r>
    </w:p>
    <w:p>
      <w:pPr>
        <w:pStyle w:val="Normal"/>
        <w:spacing w:lineRule="auto" w:line="360" w:before="0" w:after="160"/>
        <w:ind w:firstLine="432"/>
        <w:jc w:val="both"/>
        <w:rPr/>
      </w:pPr>
      <w:r>
        <w:rPr>
          <w:rFonts w:eastAsia="Times New Roman" w:ascii="Times New Roman" w:hAnsi="Times New Roman"/>
          <w:b w:val="false"/>
          <w:i w:val="false"/>
          <w:color w:val="000000"/>
          <w:sz w:val="24"/>
        </w:rPr>
        <w:t>However, a broadly useful representation is not evidence that one shared encoder is best for every task. The present evaluation keeps the speaker, countermeasure, and emotion branches separable so that their contributions can be tested without changing the evaluation code. The executed real-data experiment records the selected checkpoints, sample rate, score protocol, and train/development/test separation. A future replication should additionally document pooling choices and whether each encoder is frozen or fine-tuned before comparing systems.</w:t>
      </w:r>
    </w:p>
    <w:p>
      <w:pPr>
        <w:pStyle w:val="Normal"/>
        <w:keepNext w:val="true"/>
        <w:spacing w:lineRule="auto" w:line="360" w:before="160" w:after="160"/>
        <w:jc w:val="start"/>
        <w:rPr/>
      </w:pPr>
      <w:r>
        <w:rPr>
          <w:rFonts w:eastAsia="Times New Roman" w:ascii="Times New Roman" w:hAnsi="Times New Roman"/>
          <w:b/>
          <w:i w:val="false"/>
          <w:color w:val="000000"/>
          <w:sz w:val="24"/>
        </w:rPr>
        <w:t>2.3 Spoofing and countermeasure research</w:t>
      </w:r>
    </w:p>
    <w:p>
      <w:pPr>
        <w:pStyle w:val="Normal"/>
        <w:spacing w:lineRule="auto" w:line="360" w:before="0" w:after="160"/>
        <w:ind w:firstLine="432"/>
        <w:jc w:val="both"/>
        <w:rPr/>
      </w:pPr>
      <w:r>
        <w:rPr>
          <w:rFonts w:eastAsia="Times New Roman" w:ascii="Times New Roman" w:hAnsi="Times New Roman"/>
          <w:b w:val="false"/>
          <w:i w:val="false"/>
          <w:color w:val="000000"/>
          <w:sz w:val="24"/>
        </w:rPr>
        <w:t>Anti-spoofing research considers attacks that exploit the gap between a human voice and an authentication model. The ASVspoof series provides common protocols for logical-access, physical-access, and deepfake conditions [9], [10], [23], while t-DCF formalises the cost of a countermeasure paired with an ASV system [13]. End-to-end countermeasures such as RawNet2 [8] and graph-attention architectures such as AASIST [7] model artifacts that may occur across temporal and spectral dimensions. In this evaluation, the countermeasure branch uses an AASIST-style score producer; these model families motivate the design and the cross-generator transfer tests reported in Chapter 4.</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central lesson is that evaluation must reflect the intended threat. A countermeasure may appear accurate on a known attack type but fail after codec changes, replay conditions, or a new generator. The manifest schema in this project records attack system and split explicitly so that a cross-generator claim can be audited rather than assumed. It also avoids reporting a meaningless EER for a single-class attack subset, using spoof-acceptance rate where appropriate.</w:t>
      </w:r>
    </w:p>
    <w:p>
      <w:pPr>
        <w:pStyle w:val="Normal"/>
        <w:keepNext w:val="true"/>
        <w:spacing w:lineRule="auto" w:line="360" w:before="160" w:after="160"/>
        <w:jc w:val="start"/>
        <w:rPr/>
      </w:pPr>
      <w:r>
        <w:rPr>
          <w:rFonts w:eastAsia="Times New Roman" w:ascii="Times New Roman" w:hAnsi="Times New Roman"/>
          <w:b/>
          <w:i w:val="false"/>
          <w:color w:val="000000"/>
          <w:sz w:val="24"/>
        </w:rPr>
        <w:t>2.4 Integrated SASV and score fusion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first SASV challenge placed target, nontarget, and spoof trials in one joint evaluation [11]. Its baselines compared score fusion and embedding fusion [12], and subsequent work explored neural score fusion, integrated projection, and multi-level fusion [29]-[31]. These studies show that a conventional linear score fusion is a necessary baseline, because it tests whether any complex model improves on a simple combination of ASV and CM evidence.</w:t>
      </w:r>
    </w:p>
    <w:p>
      <w:pPr>
        <w:pStyle w:val="Normal"/>
        <w:spacing w:lineRule="auto" w:line="360" w:before="0" w:after="160"/>
        <w:ind w:firstLine="432"/>
        <w:jc w:val="both"/>
        <w:rPr/>
      </w:pPr>
      <w:r>
        <w:rPr>
          <w:rFonts w:eastAsia="Times New Roman" w:ascii="Times New Roman" w:hAnsi="Times New Roman"/>
          <w:b w:val="false"/>
          <w:i w:val="false"/>
          <w:color w:val="000000"/>
          <w:sz w:val="24"/>
        </w:rPr>
        <w:t>EASV implements that comparison as a fixed ladder. The speaker-only and linear models establish lower-complexity baselines. The additive model asks whether extra emotion features help without conditioning the score weights. The interaction model asks whether any gain is due simply to greater capacity. The gated model is then interpretable as a hypothesis: predicted emotion and uncertainty may select non-negative, trial-specific weights for speaker and CM evidence. This is an experimental design choice, not a verified contribution claim.</w:t>
      </w:r>
    </w:p>
    <w:p>
      <w:pPr>
        <w:pStyle w:val="Normal"/>
        <w:keepNext w:val="true"/>
        <w:spacing w:lineRule="auto" w:line="360" w:before="160" w:after="160"/>
        <w:jc w:val="start"/>
        <w:rPr/>
      </w:pPr>
      <w:r>
        <w:rPr>
          <w:rFonts w:eastAsia="Times New Roman" w:ascii="Times New Roman" w:hAnsi="Times New Roman"/>
          <w:b/>
          <w:i w:val="false"/>
          <w:color w:val="000000"/>
          <w:sz w:val="24"/>
        </w:rPr>
        <w:t>2.5 Emotion-aware speech and the remaining question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Emotion recognition has been studied as a semantic signal for deepfake detection. Conti et al. used emotion-related descriptors as high-level features for audio deepfake detection [15]. More recently, Mahapatra et al. documented emotion dependent weaknesses in anti-spoofing and proposed a gated ensemble of emotion-specialised countermeasures [16]. Emotion has also been considered in style-dependent speaker verification [17], [18]. Together, these studies make it plausible that emotion changes the reliability of authentication evidence, but they also make it unsafe to assert that an emotion-conditioned SASV fusion design has not already been covered by prior work.</w:t>
      </w:r>
    </w:p>
    <w:p>
      <w:pPr>
        <w:pStyle w:val="Normal"/>
        <w:spacing w:lineRule="auto" w:line="360" w:before="0" w:after="160"/>
        <w:ind w:firstLine="432"/>
        <w:jc w:val="both"/>
        <w:rPr/>
      </w:pPr>
      <w:r>
        <w:rPr>
          <w:rFonts w:eastAsia="Times New Roman" w:ascii="Times New Roman" w:hAnsi="Times New Roman"/>
          <w:b w:val="false"/>
          <w:i w:val="false"/>
          <w:color w:val="000000"/>
          <w:sz w:val="24"/>
        </w:rPr>
        <w:t>Accordingly, the project retains a novelty gate. The closest papers must be read in full, compared on inputs, fusion point, datasets, splits, metrics, and generalisation conditions, and recorded in a traceable matrix before a novelty statement is written. The defensible current position is modest: the repository supplies a leakage-aware real-data evaluation of a particular score-level hypothesis. The three-generator study finds no evidence that its gated-arm advantage is emotion conditioning; replication on a larger independent corpus and comparison with a matched published SASV baseline remain open empirical tasks.</w:t>
      </w:r>
    </w:p>
    <w:p>
      <w:pPr>
        <w:pStyle w:val="Normal"/>
        <w:keepNext w:val="true"/>
        <w:spacing w:lineRule="auto" w:line="360" w:before="160" w:after="160"/>
        <w:jc w:val="start"/>
        <w:rPr/>
      </w:pPr>
      <w:r>
        <w:rPr>
          <w:rFonts w:eastAsia="Times New Roman" w:ascii="Times New Roman" w:hAnsi="Times New Roman"/>
          <w:b/>
          <w:i w:val="false"/>
          <w:color w:val="000000"/>
          <w:sz w:val="24"/>
        </w:rPr>
        <w:t>2.6 Evaluation discipline and reproducibility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value of a spoofing-aware result depends on the protocol that produced it. The ASVspoof evaluation plans make the attack setting, priors, and score conventions explicit [9], [10], while tandem and architecture-agnostic cost functions connect error rates to an authentication decision [13], [14]. These measures are not interchangeable. A small EER difference can conceal a poor operating point, and a countermeasure result alone cannot show whether a spoof is still accepted as the claimed speaker. For that reason, EASV retains the raw score sources, uses development data for threshold selection, and reports target, nontarget, and spoof behaviour together.</w:t>
      </w:r>
    </w:p>
    <w:p>
      <w:pPr>
        <w:pStyle w:val="Normal"/>
        <w:spacing w:lineRule="auto" w:line="360" w:before="0" w:after="160"/>
        <w:ind w:firstLine="432"/>
        <w:jc w:val="both"/>
        <w:rPr/>
      </w:pPr>
      <w:r>
        <w:rPr>
          <w:rFonts w:eastAsia="Times New Roman" w:ascii="Times New Roman" w:hAnsi="Times New Roman"/>
          <w:b w:val="false"/>
          <w:i w:val="false"/>
          <w:color w:val="000000"/>
          <w:sz w:val="24"/>
        </w:rPr>
        <w:t>Reproducibility also requires the negative result to be visible. Toolkits such as SpeechBrain [19] make it easier to reuse standard score producers, but a reproducible claim still requires the checkpoint, corpus version, trial list, split rule, and calibration procedure. The present project operationalises this principle through a manifest audit and a recorded configuration rather than claiming that code alone is a completed experiment. This literature theme motivates the audit-first methodology in the next chapter: before comparing models, the study must be able to show what every trial represents and why it belongs in its assigned split.</w:t>
      </w:r>
    </w:p>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CHAPTER 3</w:t>
        <w:br/>
        <w:t>METHODOLOGY</w:t>
      </w:r>
    </w:p>
    <w:p>
      <w:pPr>
        <w:pStyle w:val="Normal"/>
        <w:spacing w:lineRule="auto" w:line="360" w:before="0" w:after="160"/>
        <w:jc w:val="both"/>
        <w:rPr/>
      </w:pPr>
      <w:r>
        <w:rPr>
          <w:rFonts w:eastAsia="Times New Roman" w:ascii="Times New Roman" w:hAnsi="Times New Roman"/>
          <w:b w:val="false"/>
          <w:i w:val="false"/>
          <w:color w:val="000000"/>
          <w:sz w:val="24"/>
        </w:rPr>
        <w:t>This chapter documents the executed real-data evaluation protocol and the score-level framework used to answer the four research questions. Audio front ends produce auditable scores; the EASV layer validates metadata, trains only on training data, selects thresholds on development data, and reports the held-out test split.</w:t>
      </w:r>
    </w:p>
    <w:tbl>
      <w:tblPr>
        <w:tblW w:w="9458" w:type="dxa"/>
        <w:jc w:val="center"/>
        <w:tblInd w:w="0" w:type="dxa"/>
        <w:tblLayout w:type="fixed"/>
        <w:tblCellMar>
          <w:top w:w="100" w:type="dxa"/>
          <w:start w:w="130" w:type="dxa"/>
          <w:bottom w:w="100" w:type="dxa"/>
          <w:end w:w="130" w:type="dxa"/>
        </w:tblCellMar>
        <w:tblLook w:noHBand="0" w:noVBand="1" w:firstColumn="1" w:lastRow="0" w:lastColumn="0" w:firstRow="1" w:val="04a0"/>
      </w:tblPr>
      <w:tblGrid>
        <w:gridCol w:w="9458"/>
      </w:tblGrid>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i w:val="false"/>
                <w:color w:val="000000"/>
                <w:sz w:val="20"/>
              </w:rPr>
              <w:t>Input trial and claimed identity</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val="false"/>
                <w:i w:val="false"/>
                <w:color w:val="000000"/>
                <w:sz w:val="20"/>
              </w:rPr>
              <w:t>Score producers: speaker score, countermeasure score, predicted emotion probabilities</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val="false"/>
                <w:i w:val="false"/>
                <w:color w:val="000000"/>
                <w:sz w:val="20"/>
              </w:rPr>
              <w:t>Manifest and score audit: schema, split, speaker, generator, and emotion checks</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val="false"/>
                <w:i w:val="false"/>
                <w:color w:val="000000"/>
                <w:sz w:val="20"/>
              </w:rPr>
              <w:t>Fusion ladder trained only on train split</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val="false"/>
                <w:i w:val="false"/>
                <w:color w:val="000000"/>
                <w:sz w:val="20"/>
              </w:rPr>
              <w:t>Development split selects the operating threshold</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i w:val="false"/>
                <w:color w:val="000000"/>
                <w:sz w:val="20"/>
              </w:rPr>
              <w:t>One-time test reporting with SASV-EER, DCF, calibration, and group breakdowns</w:t>
            </w:r>
          </w:p>
        </w:tc>
      </w:tr>
    </w:tbl>
    <w:p>
      <w:pPr>
        <w:pStyle w:val="Normal"/>
        <w:spacing w:before="0" w:after="80"/>
        <w:rPr/>
      </w:pPr>
      <w:r>
        <w:rPr/>
      </w:r>
    </w:p>
    <w:p>
      <w:pPr>
        <w:pStyle w:val="Normal"/>
        <w:keepNext w:val="true"/>
        <w:spacing w:lineRule="auto" w:line="360" w:before="160" w:after="160"/>
        <w:jc w:val="start"/>
        <w:rPr/>
      </w:pPr>
      <w:r>
        <w:rPr>
          <w:rFonts w:eastAsia="Times New Roman" w:ascii="Times New Roman" w:hAnsi="Times New Roman"/>
          <w:b/>
          <w:i w:val="false"/>
          <w:color w:val="000000"/>
          <w:sz w:val="24"/>
        </w:rPr>
        <w:t>3.1 Scope and system boundary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implemented system begins after audio models have produced scores. It does not train WavLM, HuBERT, ECAPA-TDNN, AASIST, or a speech-emotion recogniser. For each trial, the score file contains a speaker score, a countermeasure score, and optional predicted emotion-probability columns. The separate manifest contains the experimental truth: trial identity, split, actual and claimed speaker, trial type, emotion label, attack system, source, and path. Keeping these files separate makes it easier to show that ground-truth labels were not passed to the fusion model.</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intended decision is acceptance for bona fide target trials and rejection for bona fide nontarget or spoof trials. A larger speaker score means a closer claimed-speaker match; a larger CM score means more evidence of bona fide speech. Every fusion model returns an acceptance logit, and the rule is accept when the logit is at least the development-selected threshold. Score directions are documented once so that a sign reversal cannot create an apparently successful but invalid run.</w:t>
      </w:r>
    </w:p>
    <w:p>
      <w:pPr>
        <w:pStyle w:val="Normal"/>
        <w:keepNext w:val="true"/>
        <w:spacing w:lineRule="auto" w:line="360" w:before="160" w:after="160"/>
        <w:jc w:val="start"/>
        <w:rPr/>
      </w:pPr>
      <w:r>
        <w:rPr>
          <w:rFonts w:eastAsia="Times New Roman" w:ascii="Times New Roman" w:hAnsi="Times New Roman"/>
          <w:b/>
          <w:i w:val="false"/>
          <w:color w:val="000000"/>
          <w:sz w:val="24"/>
        </w:rPr>
        <w:t>3.2 Audit and split discipline</w:t>
      </w:r>
    </w:p>
    <w:p>
      <w:pPr>
        <w:pStyle w:val="Normal"/>
        <w:spacing w:lineRule="auto" w:line="360" w:before="0" w:after="160"/>
        <w:ind w:firstLine="432"/>
        <w:jc w:val="both"/>
        <w:rPr/>
      </w:pPr>
      <w:r>
        <w:rPr>
          <w:rFonts w:eastAsia="Times New Roman" w:ascii="Times New Roman" w:hAnsi="Times New Roman"/>
          <w:b w:val="false"/>
          <w:i w:val="false"/>
          <w:color w:val="000000"/>
          <w:sz w:val="24"/>
        </w:rPr>
        <w:t>Before fitting a model, the audit checks manifest schema and trial consistency. It verifies that target trials use the claimed speaker, nontarget trials do not, each score row joins exactly once by trial identifier, and class counts are visible by split. It also reports overlap in speaker identities, generators, and emotions. An overlap finding is not silently ignored; it is reported as an error or warning so the investigator can state exactly what a generalisation result does and does not show.</w:t>
      </w:r>
    </w:p>
    <w:p>
      <w:pPr>
        <w:pStyle w:val="Normal"/>
        <w:spacing w:lineRule="auto" w:line="360" w:before="0" w:after="160"/>
        <w:ind w:firstLine="432"/>
        <w:jc w:val="both"/>
        <w:rPr/>
      </w:pPr>
      <w:r>
        <w:rPr>
          <w:rFonts w:eastAsia="Times New Roman" w:ascii="Times New Roman" w:hAnsi="Times New Roman"/>
          <w:b w:val="false"/>
          <w:i w:val="false"/>
          <w:color w:val="000000"/>
          <w:sz w:val="24"/>
        </w:rPr>
        <w:t>Training, development, and test data have distinct roles. Model parameters and feature scalers are fitted on train only. The development split selects a threshold by EER or a stated false-accept budget. The test split is then evaluated once. This prevents threshold leakage and keeps model selection from consuming the held-out result. Grouped bootstrap resampling uses claimed speakers as the unit, because trials from one speaker are correlated rather than independent.</w:t>
      </w:r>
    </w:p>
    <w:p>
      <w:pPr>
        <w:pStyle w:val="Normal"/>
        <w:keepNext w:val="true"/>
        <w:spacing w:lineRule="auto" w:line="360" w:before="160" w:after="160"/>
        <w:jc w:val="start"/>
        <w:rPr/>
      </w:pPr>
      <w:r>
        <w:rPr>
          <w:rFonts w:eastAsia="Times New Roman" w:ascii="Times New Roman" w:hAnsi="Times New Roman"/>
          <w:b/>
          <w:i w:val="false"/>
          <w:color w:val="000000"/>
          <w:sz w:val="24"/>
        </w:rPr>
        <w:t>3.3 Fusion model ladder</w:t>
      </w:r>
    </w:p>
    <w:p>
      <w:pPr>
        <w:pStyle w:val="Normal"/>
        <w:spacing w:lineRule="auto" w:line="360" w:before="0" w:after="160"/>
        <w:ind w:firstLine="432"/>
        <w:jc w:val="both"/>
        <w:rPr/>
      </w:pPr>
      <w:r>
        <w:rPr>
          <w:rFonts w:eastAsia="Times New Roman" w:ascii="Times New Roman" w:hAnsi="Times New Roman"/>
          <w:b w:val="false"/>
          <w:i w:val="false"/>
          <w:color w:val="000000"/>
          <w:sz w:val="24"/>
        </w:rPr>
        <w:t>Five models are fitted under one configuration. Speaker-only logistic fusion receives only the ASV score. The conventional linear baseline receives speaker and CM scores and is fitted with L2-regularised logistic regression using L-BFGS. The additive model appends emotion probabilities, normalised entropy, and maximum probability. The interaction model adds speaker-by-emotion and CM-by-emotion terms, providing a capacity control for the proposed model.</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emotion-gated model computes a small tanh hidden representation from predicted emotion probabilities and, when enabled, normalised entropy and confidence. A softplus transformation yields non-negative per-trial weights on standardised speaker and CM scores, together with an emotion-conditioned bias. It is trained with logistic loss, L2 penalties, Adam updates, and an internal training-only validation fraction for early stopping. The saved JSON state includes scalers and parameters so a new score file can be evaluated without refitting.</w:t>
      </w:r>
    </w:p>
    <w:p>
      <w:pPr>
        <w:pStyle w:val="Normal"/>
        <w:keepNext w:val="true"/>
        <w:spacing w:lineRule="auto" w:line="360" w:before="160" w:after="160"/>
        <w:jc w:val="start"/>
        <w:rPr/>
      </w:pPr>
      <w:r>
        <w:rPr>
          <w:rFonts w:eastAsia="Times New Roman" w:ascii="Times New Roman" w:hAnsi="Times New Roman"/>
          <w:b/>
          <w:i w:val="false"/>
          <w:color w:val="000000"/>
          <w:sz w:val="24"/>
        </w:rPr>
        <w:t>3.4 Metrics and reporting</w:t>
      </w:r>
    </w:p>
    <w:p>
      <w:pPr>
        <w:pStyle w:val="Normal"/>
        <w:spacing w:lineRule="auto" w:line="360" w:before="0" w:after="160"/>
        <w:ind w:firstLine="432"/>
        <w:jc w:val="both"/>
        <w:rPr/>
      </w:pPr>
      <w:r>
        <w:rPr>
          <w:rFonts w:eastAsia="Times New Roman" w:ascii="Times New Roman" w:hAnsi="Times New Roman"/>
          <w:b w:val="false"/>
          <w:i w:val="false"/>
          <w:color w:val="000000"/>
          <w:sz w:val="24"/>
        </w:rPr>
        <w:t>SASV-EER is the primary threshold-free measure: target trials form the positive class, while nontarget and spoof trials form the negative class. SV-EER and spoofing EER remain diagnostic components. The implementation also computes minimum a-DCF, minimum t-DCF under documented normalisations, FAR, FRR, precision, recall, F1, Brier score, and expected calibration error. Threshold-dependent quantities are always reported with their development-set threshold policy.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report generator writes a Markdown and JSON record with model descriptions, settings, per-trial test scores, split summaries, per-emotion breakdowns, per-attack spoof-acceptance rates, grouped-bootstrap confidence intervals, and paired comparisons against the linear baseline. This supports a useful audit trail: a reviewer can tell whether a reported gain is absolute, statistically uncertain, concentrated in one subset, or accompanied by a harmful rise in false rejection.</w:t>
      </w:r>
    </w:p>
    <w:p>
      <w:pPr>
        <w:pStyle w:val="Normal"/>
        <w:keepNext w:val="true"/>
        <w:spacing w:lineRule="auto" w:line="360" w:before="160" w:after="160"/>
        <w:jc w:val="start"/>
        <w:rPr/>
      </w:pPr>
      <w:r>
        <w:rPr>
          <w:rFonts w:eastAsia="Times New Roman" w:ascii="Times New Roman" w:hAnsi="Times New Roman"/>
          <w:b/>
          <w:i w:val="false"/>
          <w:color w:val="000000"/>
          <w:sz w:val="24"/>
        </w:rPr>
        <w:t>3.5 Real-data protocol and synthetic smoke test</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executed study combines the ESD English subset for bona fide speech with EmoSpoof-TTS clones from StyleTTS2, F5-TTS, and CosyVoice. The merged real manifest contains 53,900 trials and a speaker-disjoint 4/2/4 train/development/test split. ECAPA-TDNN supplies speaker scores, wav2vec2-superb-ER supplies emotion probabilities, and the comparison uses in-domain, out-of-domain, and cross-generator countermeasure regimes. The data and score provenance are recorded so that every reported result can be traced to a reproducible configuration.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repository also retains a synthetic end-to-end demonstration. It is used only as a software smoke test for the audit, fusion, and reporting paths. Its numbers are never interpreted as scientific evidence and are kept separate from the real-data results in Chapter 4.</w:t>
      </w:r>
    </w:p>
    <w:p>
      <w:pPr>
        <w:keepNext/>
      </w:pPr>
      <w:r>
        <w:rPr>
          <w:b/>
        </w:rPr>
        <w:t>3.6 Reproducibility and data availability</w:t>
      </w:r>
    </w:p>
    <w:p>
      <w:pPr/>
      <w:r>
        <w:rPr>
          <w:b w:val="0"/>
        </w:rPr>
        <w:t>The implementation and configuration files are stored in the project repository. The committed report version is 2147c04. The real study uses 53,900 trials, a speaker-disjoint 4/2/4 split, and the score producers described in this chapter. The report records model settings, split checks, thresholds, and bootstrap settings.</w:t>
      </w:r>
    </w:p>
    <w:p>
      <w:pPr/>
      <w:r>
        <w:rPr>
          <w:b w:val="0"/>
        </w:rPr>
        <w:t>The audio and clone files are not redistributed with this report. Access depends on the source dataset and its licence. A future release should include a data-access note, checksums, and a clean reproduction script. This limit is stated rather than hidden.</w:t>
      </w:r>
    </w:p>
    <w:p/>
    <w:p/>
    <w:p/>
    <w:p>
      <w:pPr>
        <w:pStyle w:val="Normal"/>
        <w:keepNext w:val="true"/>
        <w:spacing w:lineRule="auto" w:line="360" w:before="160" w:after="160"/>
        <w:jc w:val="start"/>
        <w:rPr/>
      </w:pPr>
      <w:r>
        <w:rPr>
          <w:rFonts w:eastAsia="Times New Roman" w:ascii="Times New Roman" w:hAnsi="Times New Roman"/>
          <w:b/>
          <w:i w:val="false"/>
          <w:color w:val="000000"/>
          <w:sz w:val="24"/>
        </w:rPr>
        <w:t>3.6 Example input representation</w:t>
      </w:r>
    </w:p>
    <w:p>
      <w:pPr>
        <w:pStyle w:val="Normal"/>
        <w:spacing w:lineRule="auto" w:line="360" w:before="0" w:after="160"/>
        <w:jc w:val="both"/>
        <w:rPr/>
      </w:pPr>
      <w:r>
        <w:rPr>
          <w:rFonts w:eastAsia="Times New Roman" w:ascii="Times New Roman" w:hAnsi="Times New Roman"/>
          <w:b w:val="false"/>
          <w:i w:val="false"/>
          <w:color w:val="000000"/>
          <w:sz w:val="24"/>
        </w:rPr>
        <w:t>Table 1 illustrates the score and manifest fields consumed by the framework. The numeric values in this example are synthetic, while the evaluated real-data runs use the same schema with externally sourced speech and recorded score producers. Emotion probabilities are model outputs; the manifest emotion is not an input feature.</w:t>
      </w:r>
    </w:p>
    <w:tbl>
      <w:tblPr>
        <w:tblW w:w="9458"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351"/>
        <w:gridCol w:w="1351"/>
        <w:gridCol w:w="1351"/>
        <w:gridCol w:w="1351"/>
        <w:gridCol w:w="1351"/>
        <w:gridCol w:w="1351"/>
        <w:gridCol w:w="1352"/>
      </w:tblGrid>
      <w:tr>
        <w:trPr>
          <w:tblHeader w:val="true"/>
        </w:trPr>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trial id</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split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trial type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speaker score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CM score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emotion probability summary</w:t>
            </w:r>
          </w:p>
        </w:tc>
        <w:tc>
          <w:tcPr>
            <w:tcW w:w="135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manifest emotion</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tr_001</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target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1.84</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1.10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neutral 0.71, entropy 0.49</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neutral</w:t>
            </w:r>
          </w:p>
        </w:tc>
      </w:tr>
      <w:tr>
        <w:trPr/>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tr_002</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nontarget</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-1.72</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0.93</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sad 0.52, entropy 0.68</w:t>
            </w:r>
          </w:p>
        </w:tc>
        <w:tc>
          <w:tcPr>
            <w:tcW w:w="135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sad</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tr_003</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test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spoof</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0.88</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-0.26</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happy 0.39, entropy 0.84</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surprise</w:t>
            </w:r>
          </w:p>
        </w:tc>
      </w:tr>
    </w:tbl>
    <w:p>
      <w:pPr>
        <w:pStyle w:val="Normal"/>
        <w:spacing w:before="0" w:after="60"/>
        <w:rPr/>
      </w:pPr>
      <w:r>
        <w:rPr/>
      </w:r>
    </w:p>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CHAPTER 4</w:t>
        <w:br/>
        <w:t>RESULTS AND DISCUSSION</w:t>
      </w:r>
    </w:p>
    <w:p>
      <w:pPr>
        <w:pStyle w:val="Normal"/>
        <w:spacing w:lineRule="auto" w:line="360" w:before="0" w:after="160"/>
        <w:jc w:val="both"/>
        <w:rPr/>
      </w:pPr>
      <w:r>
        <w:rPr>
          <w:rFonts w:eastAsia="Times New Roman" w:ascii="Times New Roman" w:hAnsi="Times New Roman"/>
          <w:b/>
          <w:i w:val="false"/>
          <w:color w:val="000000"/>
          <w:sz w:val="24"/>
        </w:rPr>
        <w:t>This chapter answers the research questions with the executed real-data study. The synthetic demonstration is retained in Sections 4.1–4.3 only to validate software behaviour; it is not used to support the research conclusions. Section 4.4 reports the real ESD/EmoSpoof-TTS evidence, and Section 4.5 distinguishes supported findings from unsupported claims.</w:t>
      </w:r>
    </w:p>
    <w:p>
      <w:pPr>
        <w:pStyle w:val="Normal"/>
        <w:keepNext w:val="true"/>
        <w:spacing w:lineRule="auto" w:line="360" w:before="160" w:after="160"/>
        <w:jc w:val="start"/>
        <w:rPr/>
      </w:pPr>
      <w:r>
        <w:rPr>
          <w:rFonts w:eastAsia="Times New Roman" w:ascii="Times New Roman" w:hAnsi="Times New Roman"/>
          <w:b/>
          <w:i w:val="false"/>
          <w:color w:val="000000"/>
          <w:sz w:val="24"/>
        </w:rPr>
        <w:t>4.1 Audit execution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repository was executed in its supplied virtual environment. The full automated suite completed successfully: 99 tests passed. The tests cover manifest validation, score alignment, metric direction conventions, threshold separation, fusion serialisation, grouped evaluation, and command-line behaviour. Passing tests show that the implemented functions meet their encoded expectations; they do not replace independent real-data validation.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command-line demonstration then generated 1,660 synthetic trials and trained every fusion arm. A separate audit of the generated manifest found zero errors and one warning: the test split contains the held-out emotion surprise. The warning is intentional in the demonstration because it exercises cross-emotion reporting. It also illustrates the value of a visible audit: a real report must state whether such a condition is intentional and whether the emotion recogniser was trained on that category.</w:t>
      </w:r>
    </w:p>
    <w:p>
      <w:pPr>
        <w:pStyle w:val="Normal"/>
        <w:keepNext w:val="true"/>
        <w:spacing w:lineRule="auto" w:line="360" w:before="160" w:after="160"/>
        <w:jc w:val="start"/>
        <w:rPr/>
      </w:pPr>
      <w:r>
        <w:rPr>
          <w:rFonts w:eastAsia="Times New Roman" w:ascii="Times New Roman" w:hAnsi="Times New Roman"/>
          <w:b/>
          <w:i w:val="false"/>
          <w:color w:val="000000"/>
          <w:sz w:val="24"/>
        </w:rPr>
        <w:t>4.2 Synthetic pipeline smoke test</w:t>
      </w:r>
    </w:p>
    <w:p>
      <w:pPr>
        <w:pStyle w:val="Normal"/>
        <w:spacing w:lineRule="auto" w:line="360" w:before="0" w:after="160"/>
        <w:ind w:firstLine="432"/>
        <w:jc w:val="both"/>
        <w:rPr/>
      </w:pPr>
      <w:r>
        <w:rPr>
          <w:rFonts w:eastAsia="Times New Roman" w:ascii="Times New Roman" w:hAnsi="Times New Roman"/>
          <w:b w:val="false"/>
          <w:i w:val="false"/>
          <w:color w:val="000000"/>
          <w:sz w:val="24"/>
        </w:rPr>
        <w:t>Table 2 records the held-out synthetic run exactly as generated by the repository. Its purpose is operational verification: all fusion arms train, threshold selection remains development-only, and the report exposes both metrics and uncertainty. The values are retained for reproducibility but are not interpreted as evidence that one biometric system is better than another.</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simulated generator intentionally changes countermeasure reliability by emotion and uncertainty. That designed condition is useful for exercising code paths, but it can also benefit a gated model by construction. Accordingly, this section makes no research-performance claim; the evidence relevant to the project question begins in the real-data execution in Section 4.4.</w:t>
      </w:r>
    </w:p>
    <w:p>
      <w:pPr>
        <w:pStyle w:val="Normal"/>
        <w:rPr/>
      </w:pPr>
      <w:r>
        <w:rPr/>
      </w:r>
      <w:r>
        <w:br w:type="page"/>
      </w:r>
    </w:p>
    <w:tbl>
      <w:tblPr>
        <w:tblW w:w="9460"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892"/>
        <w:gridCol w:w="1892"/>
        <w:gridCol w:w="1892"/>
        <w:gridCol w:w="1892"/>
        <w:gridCol w:w="1892"/>
      </w:tblGrid>
      <w:tr>
        <w:trPr>
          <w:tblHeader w:val="true"/>
        </w:trPr>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pageBreakBefore/>
              <w:spacing w:lineRule="auto" w:line="240" w:before="0" w:after="0"/>
              <w:jc w:val="center"/>
              <w:rPr/>
            </w:pPr>
            <w:r>
              <w:rPr>
                <w:rFonts w:eastAsia="Times New Roman" w:ascii="Times New Roman" w:hAnsi="Times New Roman"/>
                <w:b/>
                <w:i w:val="false"/>
                <w:color w:val="FFFFFF"/>
                <w:sz w:val="18"/>
              </w:rPr>
              <w:t>model</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synthetic SASV-EER</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95% CI</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min a-DCF</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parameters</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speaker only</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0.3583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0.3152-0.3833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0.9025</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w:t>
            </w:r>
          </w:p>
        </w:tc>
      </w:tr>
      <w:tr>
        <w:trPr/>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linear baseline</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0.3167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0.2819-0.3417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0.8328</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3</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additive</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0.3083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0.2750-0.3460</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0.8236</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10</w:t>
            </w:r>
          </w:p>
        </w:tc>
      </w:tr>
      <w:tr>
        <w:trPr/>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interaction</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0.2833</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0.2417-0.3167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0.7583</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25</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gated</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0.2917</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0.2583-0.3250</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0.7207</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47</w:t>
            </w:r>
          </w:p>
        </w:tc>
      </w:tr>
    </w:tbl>
    <w:p>
      <w:pPr>
        <w:pStyle w:val="Normal"/>
        <w:spacing w:before="0" w:after="60"/>
        <w:rPr/>
      </w:pPr>
      <w:r>
        <w:rPr/>
      </w:r>
    </w:p>
    <w:p>
      <w:pPr>
        <w:pStyle w:val="Normal"/>
        <w:spacing w:lineRule="auto" w:line="240" w:before="40" w:after="60"/>
        <w:jc w:val="center"/>
        <w:rPr/>
      </w:pPr>
      <w:r>
        <w:rPr/>
        <w:drawing>
          <wp:inline distT="0" distB="0" distL="0" distR="0">
            <wp:extent cx="539496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2971800"/>
                    </a:xfrm>
                    <a:prstGeom prst="rect">
                      <a:avLst/>
                    </a:prstGeom>
                    <a:noFill/>
                  </pic:spPr>
                </pic:pic>
              </a:graphicData>
            </a:graphic>
          </wp:inline>
        </w:drawing>
      </w:r>
    </w:p>
    <w:p>
      <w:pPr>
        <w:pStyle w:val="Normal"/>
        <w:spacing w:lineRule="auto" w:line="360" w:before="0" w:after="160"/>
        <w:jc w:val="center"/>
        <w:rPr/>
      </w:pPr>
      <w:r>
        <w:rPr>
          <w:rFonts w:eastAsia="Times New Roman" w:ascii="Times New Roman" w:hAnsi="Times New Roman"/>
          <w:b w:val="false"/>
          <w:i/>
          <w:color w:val="000000"/>
          <w:sz w:val="20"/>
        </w:rPr>
        <w:t>Figure 1. Synthetic SASV-EER comparison from the supplied repository demo. Lower is better; these values are not real-speech results.</w:t>
      </w:r>
    </w:p>
    <w:p>
      <w:pPr>
        <w:pStyle w:val="Normal"/>
        <w:keepNext w:val="true"/>
        <w:spacing w:lineRule="auto" w:line="360" w:before="160" w:after="160"/>
        <w:jc w:val="start"/>
        <w:rPr/>
      </w:pPr>
      <w:r>
        <w:rPr>
          <w:rFonts w:eastAsia="Times New Roman" w:ascii="Times New Roman" w:hAnsi="Times New Roman"/>
          <w:b/>
          <w:i w:val="false"/>
          <w:color w:val="000000"/>
          <w:sz w:val="24"/>
        </w:rPr>
        <w:t>4.3 Synthetic smoke-test interpretation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test split comprises 120 target, 120 nontarget, and 240 spoof trials. It uses 20 speakers, two unseen attack systems, and six emotion conditions. The report gives emotion-wise SASV-EER when both classes are present and attack-wise spoof acceptance rate when an attack group contains only spoof trials. This distinction is important: an EER requires both positive and negative classes, and reporting one for a spoof-only group would be mathematically misleading.</w:t>
      </w:r>
    </w:p>
    <w:p>
      <w:pPr>
        <w:pStyle w:val="Normal"/>
        <w:spacing w:lineRule="auto" w:line="360" w:before="0" w:after="160"/>
        <w:ind w:firstLine="432"/>
        <w:jc w:val="both"/>
        <w:rPr/>
      </w:pPr>
      <w:r>
        <w:rPr>
          <w:rFonts w:eastAsia="Times New Roman" w:ascii="Times New Roman" w:hAnsi="Times New Roman"/>
          <w:b w:val="false"/>
          <w:i w:val="false"/>
          <w:color w:val="000000"/>
          <w:sz w:val="24"/>
        </w:rPr>
        <w:t>For the gated synthetic model, spoof acceptance is 0.442 for the simulated TTS generator and 0.433 for the simulated VC generator at the development-selected threshold. These are deliberately imperfect values; they demonstrate that the report does not hide weaknesses. The run also reports the gate weights by ground-truth emotion solely for interpretation after evaluation. The classifier inputs remain predicted emotion probabilities, not those ground-truth labels.</w:t>
      </w:r>
    </w:p>
    <w:tbl>
      <w:tblPr>
        <w:tblW w:w="9458"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351"/>
        <w:gridCol w:w="1351"/>
        <w:gridCol w:w="1351"/>
        <w:gridCol w:w="1351"/>
        <w:gridCol w:w="1351"/>
        <w:gridCol w:w="1351"/>
        <w:gridCol w:w="1352"/>
      </w:tblGrid>
      <w:tr>
        <w:trPr>
          <w:tblHeader w:val="true"/>
        </w:trPr>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split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target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nontarget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spoof</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emotions</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attacks</w:t>
            </w:r>
          </w:p>
        </w:tc>
        <w:tc>
          <w:tcPr>
            <w:tcW w:w="135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speakers</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600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5</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3</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40</w:t>
            </w:r>
          </w:p>
        </w:tc>
      </w:tr>
      <w:tr>
        <w:trPr/>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development</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5</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w:t>
            </w:r>
          </w:p>
        </w:tc>
        <w:tc>
          <w:tcPr>
            <w:tcW w:w="135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12</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test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120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120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240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6</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w:t>
            </w:r>
          </w:p>
        </w:tc>
      </w:tr>
    </w:tbl>
    <w:p>
      <w:pPr>
        <w:pStyle w:val="Normal"/>
        <w:spacing w:before="0" w:after="60"/>
        <w:rPr/>
      </w:pPr>
      <w:r>
        <w:rPr/>
      </w:r>
    </w:p>
    <w:p>
      <w:pPr>
        <w:spacing w:after="120" w:line="360" w:lineRule="auto"/>
      </w:pPr>
      <w:r>
        <w:rPr>
          <w:rFonts w:ascii="Times New Roman" w:hAnsi="Times New Roman"/>
          <w:b/>
          <w:i w:val="0"/>
          <w:sz w:val="24"/>
        </w:rPr>
        <w:t>4.4 Real-data results (executed 22-23 October 2026)</w:t>
      </w:r>
    </w:p>
    <w:p>
      <w:pPr>
        <w:spacing w:after="120" w:line="360" w:lineRule="auto"/>
        <w:jc w:val="both"/>
      </w:pPr>
      <w:r>
        <w:rPr>
          <w:rFonts w:ascii="Times New Roman" w:hAnsi="Times New Roman"/>
          <w:b w:val="0"/>
          <w:i w:val="0"/>
          <w:sz w:val="24"/>
        </w:rPr>
        <w:t>The pipeline was then executed on real speech. Bona fide trials come from the ESD English subset (speakers 0011-0020, emotion labels from the corpus folders); spoof trials come from the EmoSpoof-TTS generators StyleTTS2, F5-TTS and CosyVoice (12,000 utterances each). After the audit and the speaker-disjoint 4/2/4 split, the merged manifest holds 53,900 trials: 17,500 bona fide targets, 400 derived cross-speaker nontargets and 36,000 clones. Scores were produced by SpeechBrain ECAPA-TDNN (speaker), wav2vec2-base-superb-ER (emotion) and countermeasures: the official ASVspoof-2019 AASIST checkpoint, a log-mel CNN trained on the train split, a log-mel CNN trained with one generator held out, and an AASIST retrained in-domain on ASVspoof 2019 LA audio. All thresholds were chosen on the development split; the test split was reported once.</w:t>
      </w:r>
    </w:p>
    <w:p>
      <w:pPr>
        <w:spacing w:after="40" w:line="360" w:lineRule="auto"/>
      </w:pPr>
      <w:r>
        <w:rPr>
          <w:rFonts w:ascii="Times New Roman" w:hAnsi="Times New Roman"/>
          <w:b w:val="0"/>
          <w:i/>
          <w:sz w:val="20"/>
        </w:rPr>
        <w:t>Table 3. Measured component quality on the real merged manifest (test split).</w:t>
      </w:r>
    </w:p>
    <w:tbl>
      <w:tblPr>
        <w:tblStyle w:val="TableGrid"/>
        <w:tblW w:type="auto" w:w="0"/>
        <w:tblLayout w:type="autofit"/>
        <w:tblLook w:firstColumn="1" w:firstRow="1" w:lastColumn="0" w:lastRow="0" w:noHBand="0" w:noVBand="1" w:val="04A0"/>
      </w:tblPr>
      <w:tblGrid>
        <w:gridCol w:w="2364"/>
        <w:gridCol w:w="2364"/>
        <w:gridCol w:w="2364"/>
        <w:gridCol w:w="2364"/>
      </w:tblGrid>
      <w:tr>
        <w:tc>
          <w:tcPr>
            <w:tcW w:type="dxa" w:w="2364"/>
          </w:tcPr>
          <w:p>
            <w:r/>
            <w:r>
              <w:rPr>
                <w:rFonts w:ascii="Times New Roman" w:hAnsi="Times New Roman"/>
                <w:b/>
                <w:sz w:val="18"/>
              </w:rPr>
              <w:t>component</w:t>
            </w:r>
          </w:p>
        </w:tc>
        <w:tc>
          <w:tcPr>
            <w:tcW w:type="dxa" w:w="2364"/>
          </w:tcPr>
          <w:p>
            <w:r/>
            <w:r>
              <w:rPr>
                <w:rFonts w:ascii="Times New Roman" w:hAnsi="Times New Roman"/>
                <w:b/>
                <w:sz w:val="18"/>
              </w:rPr>
              <w:t>model</w:t>
            </w:r>
          </w:p>
        </w:tc>
        <w:tc>
          <w:tcPr>
            <w:tcW w:type="dxa" w:w="2364"/>
          </w:tcPr>
          <w:p>
            <w:r/>
            <w:r>
              <w:rPr>
                <w:rFonts w:ascii="Times New Roman" w:hAnsi="Times New Roman"/>
                <w:b/>
                <w:sz w:val="18"/>
              </w:rPr>
              <w:t>EER on test</w:t>
            </w:r>
          </w:p>
        </w:tc>
        <w:tc>
          <w:tcPr>
            <w:tcW w:type="dxa" w:w="2364"/>
          </w:tcPr>
          <w:p>
            <w:r/>
            <w:r>
              <w:rPr>
                <w:rFonts w:ascii="Times New Roman" w:hAnsi="Times New Roman"/>
                <w:b/>
                <w:sz w:val="18"/>
              </w:rPr>
              <w:t>note</w:t>
            </w:r>
          </w:p>
        </w:tc>
      </w:tr>
      <w:tr>
        <w:tc>
          <w:tcPr>
            <w:tcW w:type="dxa" w:w="2364"/>
          </w:tcPr>
          <w:p>
            <w:r/>
            <w:r>
              <w:rPr>
                <w:rFonts w:ascii="Times New Roman" w:hAnsi="Times New Roman"/>
                <w:sz w:val="18"/>
              </w:rPr>
              <w:t>ASV</w:t>
            </w:r>
          </w:p>
        </w:tc>
        <w:tc>
          <w:tcPr>
            <w:tcW w:type="dxa" w:w="2364"/>
          </w:tcPr>
          <w:p>
            <w:r/>
            <w:r>
              <w:rPr>
                <w:rFonts w:ascii="Times New Roman" w:hAnsi="Times New Roman"/>
                <w:sz w:val="18"/>
              </w:rPr>
              <w:t>ECAPA-TDNN, cosine to centroid</w:t>
            </w:r>
          </w:p>
        </w:tc>
        <w:tc>
          <w:tcPr>
            <w:tcW w:type="dxa" w:w="2364"/>
          </w:tcPr>
          <w:p>
            <w:r/>
            <w:r>
              <w:rPr>
                <w:rFonts w:ascii="Times New Roman" w:hAnsi="Times New Roman"/>
                <w:sz w:val="18"/>
              </w:rPr>
              <w:t>3.12 % SV-EER</w:t>
            </w:r>
          </w:p>
        </w:tc>
        <w:tc>
          <w:tcPr>
            <w:tcW w:type="dxa" w:w="2364"/>
          </w:tcPr>
          <w:p>
            <w:r>
              <w:t>accepts 82.9 % of targets and 38.8 % of clones (CosyVoice 59.0 %, F5-TTS 51.5 %, StyleTTS2 5.9 %)</w:t>
            </w:r>
          </w:p>
        </w:tc>
      </w:tr>
      <w:tr>
        <w:tc>
          <w:tcPr>
            <w:tcW w:type="dxa" w:w="2364"/>
          </w:tcPr>
          <w:p>
            <w:r/>
            <w:r>
              <w:rPr>
                <w:rFonts w:ascii="Times New Roman" w:hAnsi="Times New Roman"/>
                <w:sz w:val="18"/>
              </w:rPr>
              <w:t>SER</w:t>
            </w:r>
          </w:p>
        </w:tc>
        <w:tc>
          <w:tcPr>
            <w:tcW w:type="dxa" w:w="2364"/>
          </w:tcPr>
          <w:p>
            <w:r/>
            <w:r>
              <w:rPr>
                <w:rFonts w:ascii="Times New Roman" w:hAnsi="Times New Roman"/>
                <w:sz w:val="18"/>
              </w:rPr>
              <w:t>wav2vec2-base-superb-ER</w:t>
            </w:r>
          </w:p>
        </w:tc>
        <w:tc>
          <w:tcPr>
            <w:tcW w:type="dxa" w:w="2364"/>
          </w:tcPr>
          <w:p>
            <w:r>
              <w:t>41.2 % / 32.8 % accuracy</w:t>
            </w:r>
          </w:p>
        </w:tc>
        <w:tc>
          <w:tcPr>
            <w:tcW w:type="dxa" w:w="2364"/>
          </w:tcPr>
          <w:p>
            <w:r>
              <w:t>bona fide / clones; clones saturate it at 0.82 confidence</w:t>
            </w:r>
          </w:p>
        </w:tc>
      </w:tr>
      <w:tr>
        <w:tc>
          <w:tcPr>
            <w:tcW w:type="dxa" w:w="2364"/>
          </w:tcPr>
          <w:p>
            <w:r/>
            <w:r>
              <w:rPr>
                <w:rFonts w:ascii="Times New Roman" w:hAnsi="Times New Roman"/>
                <w:sz w:val="18"/>
              </w:rPr>
              <w:t>CM (in-domain)</w:t>
            </w:r>
          </w:p>
        </w:tc>
        <w:tc>
          <w:tcPr>
            <w:tcW w:type="dxa" w:w="2364"/>
          </w:tcPr>
          <w:p>
            <w:r/>
            <w:r>
              <w:rPr>
                <w:rFonts w:ascii="Times New Roman" w:hAnsi="Times New Roman"/>
                <w:sz w:val="18"/>
              </w:rPr>
              <w:t>log-mel CNN, train split only</w:t>
            </w:r>
          </w:p>
        </w:tc>
        <w:tc>
          <w:tcPr>
            <w:tcW w:type="dxa" w:w="2364"/>
          </w:tcPr>
          <w:p>
            <w:r/>
            <w:r>
              <w:rPr>
                <w:rFonts w:ascii="Times New Roman" w:hAnsi="Times New Roman"/>
                <w:sz w:val="18"/>
              </w:rPr>
              <w:t>0.09 % SPF-EER</w:t>
            </w:r>
          </w:p>
        </w:tc>
        <w:tc>
          <w:tcPr>
            <w:tcW w:type="dxa" w:w="2364"/>
          </w:tcPr>
          <w:p>
            <w:r>
              <w:t>optimistic by construction: it trains on the same generators it is scored on</w:t>
            </w:r>
          </w:p>
        </w:tc>
      </w:tr>
      <w:tr>
        <w:tc>
          <w:tcPr>
            <w:tcW w:type="dxa" w:w="2364"/>
          </w:tcPr>
          <w:p>
            <w:r/>
            <w:r>
              <w:rPr>
                <w:rFonts w:ascii="Times New Roman" w:hAnsi="Times New Roman"/>
                <w:sz w:val="18"/>
              </w:rPr>
              <w:t>CM (AASIST-LA)</w:t>
            </w:r>
          </w:p>
        </w:tc>
        <w:tc>
          <w:tcPr>
            <w:tcW w:type="dxa" w:w="2364"/>
          </w:tcPr>
          <w:p>
            <w:r/>
            <w:r>
              <w:rPr>
                <w:rFonts w:ascii="Times New Roman" w:hAnsi="Times New Roman"/>
                <w:sz w:val="18"/>
              </w:rPr>
              <w:t>official 2019 LA checkpoint</w:t>
            </w:r>
          </w:p>
        </w:tc>
        <w:tc>
          <w:tcPr>
            <w:tcW w:type="dxa" w:w="2364"/>
          </w:tcPr>
          <w:p>
            <w:r/>
            <w:r>
              <w:rPr>
                <w:rFonts w:ascii="Times New Roman" w:hAnsi="Times New Roman"/>
                <w:sz w:val="18"/>
              </w:rPr>
              <w:t>50.8 % SPF-EER</w:t>
            </w:r>
          </w:p>
        </w:tc>
        <w:tc>
          <w:tcPr>
            <w:tcW w:type="dxa" w:w="2364"/>
          </w:tcPr>
          <w:p>
            <w:r/>
            <w:r>
              <w:rPr>
                <w:rFonts w:ascii="Times New Roman" w:hAnsi="Times New Roman"/>
                <w:sz w:val="18"/>
              </w:rPr>
              <w:t>no transfer to EmoSpoof-TTS clones</w:t>
            </w:r>
          </w:p>
        </w:tc>
      </w:tr>
      <w:tr>
        <w:tc>
          <w:tcPr>
            <w:tcW w:type="dxa" w:w="2364"/>
          </w:tcPr>
          <w:p>
            <w:r/>
            <w:r>
              <w:rPr>
                <w:rFonts w:ascii="Times New Roman" w:hAnsi="Times New Roman"/>
                <w:sz w:val="18"/>
              </w:rPr>
              <w:t>CM (AASIST-LA retrained)</w:t>
            </w:r>
          </w:p>
        </w:tc>
        <w:tc>
          <w:tcPr>
            <w:tcW w:type="dxa" w:w="2364"/>
          </w:tcPr>
          <w:p>
            <w:r/>
            <w:r>
              <w:rPr>
                <w:rFonts w:ascii="Times New Roman" w:hAnsi="Times New Roman"/>
                <w:sz w:val="18"/>
              </w:rPr>
              <w:t>AASIST trained on LA train audio</w:t>
            </w:r>
          </w:p>
        </w:tc>
        <w:tc>
          <w:tcPr>
            <w:tcW w:type="dxa" w:w="2364"/>
          </w:tcPr>
          <w:p>
            <w:r/>
            <w:r>
              <w:rPr>
                <w:rFonts w:ascii="Times New Roman" w:hAnsi="Times New Roman"/>
                <w:sz w:val="18"/>
              </w:rPr>
              <w:t>2.11 % SPOOF-EER on held-out LA</w:t>
            </w:r>
          </w:p>
        </w:tc>
        <w:tc>
          <w:tcPr>
            <w:tcW w:type="dxa" w:w="2364"/>
          </w:tcPr>
          <w:p>
            <w:r/>
            <w:r>
              <w:rPr>
                <w:rFonts w:ascii="Times New Roman" w:hAnsi="Times New Roman"/>
                <w:sz w:val="18"/>
              </w:rPr>
              <w:t>43.8 % SPOOF-EER on EASV test: no transfer either</w:t>
            </w:r>
          </w:p>
        </w:tc>
      </w:tr>
    </w:tbl>
    <w:p>
      <w:pPr>
        <w:spacing w:after="40" w:line="360" w:lineRule="auto"/>
      </w:pPr>
      <w:r>
        <w:rPr>
          <w:rFonts w:ascii="Times New Roman" w:hAnsi="Times New Roman"/>
          <w:b w:val="0"/>
          <w:i/>
          <w:sz w:val="20"/>
        </w:rPr>
        <w:t>Table 4. Real SASV-EER for the full arm ladder under two countermeasure regimes, identical manifest and ASV/SER scores.</w:t>
      </w:r>
    </w:p>
    <w:tbl>
      <w:tblPr>
        <w:tblStyle w:val="TableGrid"/>
        <w:tblW w:type="auto" w:w="0"/>
        <w:tblLayout w:type="autofit"/>
        <w:tblLook w:firstColumn="1" w:firstRow="1" w:lastColumn="0" w:lastRow="0" w:noHBand="0" w:noVBand="1" w:val="04A0"/>
      </w:tblPr>
      <w:tblGrid>
        <w:gridCol w:w="3153"/>
        <w:gridCol w:w="3153"/>
        <w:gridCol w:w="3153"/>
      </w:tblGrid>
      <w:tr>
        <w:tc>
          <w:tcPr>
            <w:tcW w:type="dxa" w:w="3153"/>
          </w:tcPr>
          <w:p>
            <w:r/>
            <w:r>
              <w:rPr>
                <w:rFonts w:ascii="Times New Roman" w:hAnsi="Times New Roman"/>
                <w:b/>
                <w:sz w:val="18"/>
              </w:rPr>
              <w:t>fusion arm</w:t>
            </w:r>
          </w:p>
        </w:tc>
        <w:tc>
          <w:tcPr>
            <w:tcW w:type="dxa" w:w="3153"/>
          </w:tcPr>
          <w:p>
            <w:r/>
            <w:r>
              <w:rPr>
                <w:rFonts w:ascii="Times New Roman" w:hAnsi="Times New Roman"/>
                <w:b/>
                <w:sz w:val="18"/>
              </w:rPr>
              <w:t>SASV-EER, in-domain CM</w:t>
            </w:r>
          </w:p>
        </w:tc>
        <w:tc>
          <w:tcPr>
            <w:tcW w:type="dxa" w:w="3153"/>
          </w:tcPr>
          <w:p>
            <w:r/>
            <w:r>
              <w:rPr>
                <w:rFonts w:ascii="Times New Roman" w:hAnsi="Times New Roman"/>
                <w:b/>
                <w:sz w:val="18"/>
              </w:rPr>
              <w:t>SASV-EER, AASIST-LA CM</w:t>
            </w:r>
          </w:p>
        </w:tc>
      </w:tr>
      <w:tr>
        <w:tc>
          <w:tcPr>
            <w:tcW w:type="dxa" w:w="3153"/>
          </w:tcPr>
          <w:p>
            <w:r/>
            <w:r>
              <w:rPr>
                <w:rFonts w:ascii="Times New Roman" w:hAnsi="Times New Roman"/>
                <w:sz w:val="18"/>
              </w:rPr>
              <w:t>speaker only</w:t>
            </w:r>
          </w:p>
        </w:tc>
        <w:tc>
          <w:tcPr>
            <w:tcW w:type="dxa" w:w="3153"/>
          </w:tcPr>
          <w:p>
            <w:r/>
            <w:r>
              <w:rPr>
                <w:rFonts w:ascii="Times New Roman" w:hAnsi="Times New Roman"/>
                <w:sz w:val="18"/>
              </w:rPr>
              <w:t>0.3309</w:t>
            </w:r>
          </w:p>
        </w:tc>
        <w:tc>
          <w:tcPr>
            <w:tcW w:type="dxa" w:w="3153"/>
          </w:tcPr>
          <w:p>
            <w:r/>
            <w:r>
              <w:rPr>
                <w:rFonts w:ascii="Times New Roman" w:hAnsi="Times New Roman"/>
                <w:sz w:val="18"/>
              </w:rPr>
              <w:t>0.3309</w:t>
            </w:r>
          </w:p>
        </w:tc>
      </w:tr>
      <w:tr>
        <w:tc>
          <w:tcPr>
            <w:tcW w:type="dxa" w:w="3153"/>
          </w:tcPr>
          <w:p>
            <w:r/>
            <w:r>
              <w:rPr>
                <w:rFonts w:ascii="Times New Roman" w:hAnsi="Times New Roman"/>
                <w:sz w:val="18"/>
              </w:rPr>
              <w:t>linear (baseline)</w:t>
            </w:r>
          </w:p>
        </w:tc>
        <w:tc>
          <w:tcPr>
            <w:tcW w:type="dxa" w:w="3153"/>
          </w:tcPr>
          <w:p>
            <w:r/>
            <w:r>
              <w:rPr>
                <w:rFonts w:ascii="Times New Roman" w:hAnsi="Times New Roman"/>
                <w:sz w:val="18"/>
              </w:rPr>
              <w:t>0.0060</w:t>
            </w:r>
          </w:p>
        </w:tc>
        <w:tc>
          <w:tcPr>
            <w:tcW w:type="dxa" w:w="3153"/>
          </w:tcPr>
          <w:p>
            <w:r/>
            <w:r>
              <w:rPr>
                <w:rFonts w:ascii="Times New Roman" w:hAnsi="Times New Roman"/>
                <w:sz w:val="18"/>
              </w:rPr>
              <w:t>0.3244</w:t>
            </w:r>
          </w:p>
        </w:tc>
      </w:tr>
      <w:tr>
        <w:tc>
          <w:tcPr>
            <w:tcW w:type="dxa" w:w="3153"/>
          </w:tcPr>
          <w:p>
            <w:r/>
            <w:r>
              <w:rPr>
                <w:rFonts w:ascii="Times New Roman" w:hAnsi="Times New Roman"/>
                <w:sz w:val="18"/>
              </w:rPr>
              <w:t>emotion additive</w:t>
            </w:r>
          </w:p>
        </w:tc>
        <w:tc>
          <w:tcPr>
            <w:tcW w:type="dxa" w:w="3153"/>
          </w:tcPr>
          <w:p>
            <w:r/>
            <w:r>
              <w:rPr>
                <w:rFonts w:ascii="Times New Roman" w:hAnsi="Times New Roman"/>
                <w:sz w:val="18"/>
              </w:rPr>
              <w:t>0.0066</w:t>
            </w:r>
          </w:p>
        </w:tc>
        <w:tc>
          <w:tcPr>
            <w:tcW w:type="dxa" w:w="3153"/>
          </w:tcPr>
          <w:p>
            <w:r/>
            <w:r>
              <w:rPr>
                <w:rFonts w:ascii="Times New Roman" w:hAnsi="Times New Roman"/>
                <w:sz w:val="18"/>
              </w:rPr>
              <w:t>0.2654</w:t>
            </w:r>
          </w:p>
        </w:tc>
      </w:tr>
      <w:tr>
        <w:tc>
          <w:tcPr>
            <w:tcW w:type="dxa" w:w="3153"/>
          </w:tcPr>
          <w:p>
            <w:r/>
            <w:r>
              <w:rPr>
                <w:rFonts w:ascii="Times New Roman" w:hAnsi="Times New Roman"/>
                <w:sz w:val="18"/>
              </w:rPr>
              <w:t>emotion interaction</w:t>
            </w:r>
          </w:p>
        </w:tc>
        <w:tc>
          <w:tcPr>
            <w:tcW w:type="dxa" w:w="3153"/>
          </w:tcPr>
          <w:p>
            <w:r/>
            <w:r>
              <w:rPr>
                <w:rFonts w:ascii="Times New Roman" w:hAnsi="Times New Roman"/>
                <w:sz w:val="18"/>
              </w:rPr>
              <w:t>0.0055</w:t>
            </w:r>
          </w:p>
        </w:tc>
        <w:tc>
          <w:tcPr>
            <w:tcW w:type="dxa" w:w="3153"/>
          </w:tcPr>
          <w:p>
            <w:r/>
            <w:r>
              <w:rPr>
                <w:rFonts w:ascii="Times New Roman" w:hAnsi="Times New Roman"/>
                <w:sz w:val="18"/>
              </w:rPr>
              <w:t>0.2661</w:t>
            </w:r>
          </w:p>
        </w:tc>
      </w:tr>
      <w:tr>
        <w:tc>
          <w:tcPr>
            <w:tcW w:type="dxa" w:w="3153"/>
          </w:tcPr>
          <w:p>
            <w:r/>
            <w:r>
              <w:rPr>
                <w:rFonts w:ascii="Times New Roman" w:hAnsi="Times New Roman"/>
                <w:sz w:val="18"/>
              </w:rPr>
              <w:t>emotion gated (proposed)</w:t>
            </w:r>
          </w:p>
        </w:tc>
        <w:tc>
          <w:tcPr>
            <w:tcW w:type="dxa" w:w="3153"/>
          </w:tcPr>
          <w:p>
            <w:r/>
            <w:r>
              <w:rPr>
                <w:rFonts w:ascii="Times New Roman" w:hAnsi="Times New Roman"/>
                <w:sz w:val="18"/>
              </w:rPr>
              <w:t>0.0073</w:t>
            </w:r>
          </w:p>
        </w:tc>
        <w:tc>
          <w:tcPr>
            <w:tcW w:type="dxa" w:w="3153"/>
          </w:tcPr>
          <w:p>
            <w:r/>
            <w:r>
              <w:rPr>
                <w:rFonts w:ascii="Times New Roman" w:hAnsi="Times New Roman"/>
                <w:sz w:val="18"/>
              </w:rPr>
              <w:t>0.2610</w:t>
            </w:r>
          </w:p>
        </w:tc>
      </w:tr>
    </w:tbl>
    <w:p>
      <w:pPr>
        <w:spacing w:after="120" w:line="360" w:lineRule="auto"/>
        <w:jc w:val="both"/>
      </w:pPr>
      <w:r>
        <w:rPr>
          <w:rFonts w:ascii="Times New Roman" w:hAnsi="Times New Roman"/>
          <w:b w:val="0"/>
          <w:i w:val="0"/>
          <w:sz w:val="24"/>
        </w:rPr>
        <w:t>The real-data evidence answers the research questions. First, vulnerability is both real and generator-specific. On the complete corpus, the speaker front end accepts 82.9% of bona fide targets and 38.8% of clones, but the clone rate ranges from 5.9% for StyleTTS2 to 59.0% for CosyVoice. This generator spread is a stronger finding than the pooled value alone, and it shows why a single aggregate clone rate is incomplete.</w:t>
      </w:r>
    </w:p>
    <w:p>
      <w:pPr>
        <w:spacing w:after="120" w:line="360" w:lineRule="auto"/>
        <w:jc w:val="both"/>
      </w:pPr>
      <w:r>
        <w:rPr>
          <w:rFonts w:ascii="Times New Roman" w:hAnsi="Times New Roman"/>
          <w:b w:val="0"/>
          <w:i w:val="0"/>
          <w:sz w:val="24"/>
        </w:rPr>
        <w:t>The second regime explains why an apparent gain must be read carefully. The pretrained AASIST checkpoint, trained on ASVspoof-2019 attack families, scores at chance on these clones (SPF-EER 50.8 %). When that failing countermeasure is used, the emotion arms improve SASV-EER by about 5.5 points with p &lt; 0.001. The mechanism is not emotion conditioning: the emotion recogniser is confidently wrong on synthetic speech — 30.7 % accuracy at 0.83 mean confidence on the two-generator corpus, 32.8 % at 0.82 on the full three-generator corpus, against 41.2 % on genuine speech — so its probability vector implicitly encodes whether the audio is synthetic. Emotion features act as a substitute spoof detector, which is a confound rather than the proposed effect. That was tested directly: replacing the four-way emotion vector with the single maximum predicted probability, while keeping the fusion ladder identical, recovers +1.6 of the +5.4 points (95 % CI 0.70-2.74, p &lt; 0.001) on this regime, and the full vector remains significantly better than that scalar (−3.7 points, CI −7.68 to −0.78). Roughly a third of the apparent gain is therefore a spoof cue, and the remainder is the per-class structure of an out-of-domain emotion output rather than demonstrated emotion semantics. In the three-generator regime the same ablation is decisive against the mechanism: the gated arm reaches 1.49 % with the scalar alone against 1.54 % with the full vector, a difference of 0.02 points whose interval spans zero (p = 0.76), so its advantage does not require emotion information at all.</w:t>
      </w:r>
    </w:p>
    <w:p>
      <w:pPr>
        <w:spacing w:after="120" w:line="360" w:lineRule="auto"/>
        <w:jc w:val="both"/>
      </w:pPr>
      <w:r>
        <w:rPr>
          <w:rFonts w:ascii="Times New Roman" w:hAnsi="Times New Roman"/>
          <w:sz w:val="24"/>
        </w:rPr>
        <w:t>A third regime tests generalisation instead of assuming it. The countermeasure was retrained with the F5-TTS generator excluded from training and from the development-based early stopping, so every F5-TTS clone is scored as an unseen attack system. That model reaches 6.27 % EER on the held-out generator (3.19 % on the generator it trained on, 4.28 % overall), against 50.8 % for the ASVspoof-pretrained AASIST: training on an adjacent neural generator transfers an order of magnitude better than the ASVspoof lineage. Under this countermeasure the fusion arms reach 4.11 % (linear), 3.81 % (interaction, +0.38 points, p &lt; 0.001) and 3.93 % (gated, +0.27 points with an interval from -0.23 to +0.86, p = 0.23) SASV-EER. The proposed arm therefore still does not clear the significance bar even in the cross-generator condition, which is the condition most favourable to its original motivation.</w:t>
      </w:r>
    </w:p>
    <w:p>
      <w:pPr>
        <w:spacing w:after="120" w:line="360" w:lineRule="auto"/>
        <w:jc w:val="both"/>
      </w:pPr>
      <w:r>
        <w:rPr>
          <w:rFonts w:ascii="Times New Roman" w:hAnsi="Times New Roman"/>
          <w:sz w:val="24"/>
        </w:rPr>
        <w:t>A fourth regime uses the completed three-generator corpus and the countermeasure that treats StyleTTS2 as an unseen system: it is trained on the ESD bona fide, F5-TTS and CosyVoice trials only, with StyleTTS2 excluded from training and from development-based early stopping, and it detects the unseen generator at 2.50 % EER (1.60 % overall). Under this countermeasure the arm ladder is 27.1 % (speaker only), 2.27 % (linear), 2.51 % (additive), 2.09 % (interaction) and 1.54 % (gated) SASV-EER. The gated arm beats linear by 0.68 points (95 % CI 0.15-1.12, p = 0.002) and, in a paired contrast the evaluation CLI does not run by default, the interaction control by 0.48 points (0.06-0.99). This is the one regime in which the proposed arm wins, and it wins significantly.</w:t>
      </w:r>
    </w:p>
    <w:p>
      <w:pPr>
        <w:spacing w:after="120" w:line="360" w:lineRule="auto"/>
        <w:jc w:val="both"/>
      </w:pPr>
      <w:r>
        <w:rPr>
          <w:rFonts w:ascii="Times New Roman" w:hAnsi="Times New Roman"/>
          <w:sz w:val="24"/>
        </w:rPr>
        <w:t>Two qualifications keep that result honest. First, the learned gate weights are nearly identical across all five emotion conditions (speaker weight 4.02-4.05, countermeasure weight 9.69-9.73, a spread below 0.5 %), so the model is not conditioning its decision on emotion; the gain comes from a better-fitting, better-calibrated decision function, and the same collapse appears in every other regime, including an exact tie across emotions in the in-domain regime. Second, the arm's edge over the interaction control is only significant once the third generator is present, so the two-generator and three-generator results have to be reported side by side rather than merged, and the paper's mechanism claim remains unsupported even where its predictive arm wins.</w:t>
      </w:r>
    </w:p>
    <w:p>
      <w:pPr>
        <w:spacing w:after="120" w:line="360" w:lineRule="auto"/>
        <w:jc w:val="both"/>
      </w:pPr>
      <w:r>
        <w:rPr>
          <w:rFonts w:ascii="Times New Roman" w:hAnsi="Times New Roman"/>
          <w:sz w:val="24"/>
        </w:rPr>
        <w:t>Finally, the ASVspoof 2019 LA training set (16,000 utterances, 2,576 held out by speaker) was used to retrain the published AASIST architecture in-domain, so that the countermeasure's failure could not be blamed on a missing checkpoint. The selected model reaches 2.11 % EER on held-out LA speakers, i.e. it is a working LA countermeasure, yet it scores 43.82 % SPF-EER on the EASV test split (49.37 % on dev). The negative transfer result therefore does not depend on which LA checkpoint is used: ASVspoof-2019 supervision, in either form, does not describe these neural clones, while a log-mel countermeasure trained on two adjacent generators detects the third at 2.50 % EER.</w:t>
      </w:r>
    </w:p>
    <w:p>
      <w:pPr>
        <w:spacing w:after="120" w:line="360" w:lineRule="auto"/>
        <w:jc w:val="both"/>
      </w:pPr>
      <w:r>
        <w:rPr>
          <w:rFonts w:ascii="Times New Roman" w:hAnsi="Times New Roman"/>
          <w:sz w:val="24"/>
        </w:rPr>
        <w:t>Two further folds test the cross-emotion claim directly. In each, one emotion (angry, then neutral) is removed from every stage that could learn it: the countermeasure's training and development-based early stopping, and the fusion fit's train and dev splits, while the test split is left intact, so the held-out trials are scored by a pipeline that never encountered that emotion. Removing it costs nothing. The countermeasure detects the held-out emotion at 0.03 % EER (0.08 % overall), and on that emotion's 5,040 test trials the largest change in SASV-EER between fitting with and without it is 0.03 points, with every paired bootstrap interval containing zero (gated, angry: −0.01 points, interval −0.06 to 0.00; gated, neutral: +0.03, interval 0.00 to 0.13). The pipeline therefore generalises to an emotion it has never seen. The reason is not that the emotion features generalise well but that they carry little emotion-specific structure: an arm that genuinely conditioned on emotion would lose something when an entire condition is removed, and these lose nothing measurable. That is the third independent line of evidence against the mechanism, alongside the flat gate weights and the confidence-scalar reproduction.</w:t>
      </w:r>
    </w:p>
    <w:p>
      <w:pPr>
        <w:pStyle w:val="Normal"/>
        <w:keepNext w:val="true"/>
        <w:spacing w:lineRule="auto" w:line="360" w:before="160" w:after="160"/>
        <w:jc w:val="start"/>
        <w:rPr/>
      </w:pPr>
      <w:r>
        <w:rPr>
          <w:rFonts w:eastAsia="Times New Roman" w:ascii="Times New Roman" w:hAnsi="Times New Roman"/>
          <w:b/>
          <w:i w:val="false"/>
          <w:color w:val="000000"/>
          <w:sz w:val="24"/>
        </w:rPr>
        <w:t>4.5 Evidence-supported conclusions and limitations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completed work demonstrates a reproducible real-data SASV evaluation pipeline, an explicit five-arm fusion ladder, data audits, trained score producers, cross-generator countermeasure evaluation, confidence intervals, and held-out-emotion folds. It supports measurement findings about generator-specific vulnerability and countermeasure transfer. It does not support the original claim that emotion-conditioned gating itself improves SASV: the gate weights are flat across emotions, a confidence scalar reproduces the observed edge, and excluding emotions from training produces no measurable loss.</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practical conclusion is deliberately limited. The three-generator cross-generator run shows an observed gated-arm advantage, but the mechanism analysis attributes that advantage to calibration or non-emotion cues rather than emotion identity. The pilot corpus has ten speakers, the ESD licence documentation is unresolved, success margins were not pre-registered, and a matched published baseline has not been reproduced. These limits make the work a strong course-project measurement study and a workshop-style negative-result candidate, not a journal-ready claim of a new emotion-aware method.</w:t>
      </w:r>
    </w:p>
    <w:p>
      <w:pPr>
        <w:spacing w:before="80" w:after="60" w:line="360" w:lineRule="auto"/>
        <w:jc w:val="center"/>
      </w:pPr>
      <w:r>
        <w:t>Table 5. Main contributions and limitations.</w:t>
      </w:r>
    </w:p>
    <w:p>
      <w:pPr>
        <w:keepNext/>
      </w:pPr>
      <w:r>
        <w:rPr>
          <w:b/>
        </w:rPr>
        <w:t>4.6 Threats to validity</w:t>
      </w:r>
    </w:p>
    <w:p>
      <w:pPr/>
      <w:r>
        <w:rPr>
          <w:b w:val="0"/>
        </w:rPr>
        <w:t>External validity: The study has about ten speakers and four test speakers. It uses three clone generators. The results should not be generalised to every speaker or every neural voice system.</w:t>
      </w:r>
    </w:p>
    <w:p>
      <w:pPr/>
      <w:r>
        <w:rPr>
          <w:b w:val="0"/>
        </w:rPr>
        <w:t>Construct validity: The emotion recogniser is out of domain for some clones. Its output may carry spoof or confidence cues instead of emotion meaning. The scalar-confidence ablation exposes this risk.</w:t>
      </w:r>
    </w:p>
    <w:p>
      <w:pPr/>
      <w:r>
        <w:rPr>
          <w:b w:val="0"/>
        </w:rPr>
        <w:t>Statistical validity: The intervals use grouped bootstrap resampling by speaker. This respects trial dependence. The small speaker count still limits precision.</w:t>
      </w:r>
    </w:p>
    <w:p>
      <w:pPr/>
      <w:r>
        <w:rPr>
          <w:b w:val="0"/>
        </w:rPr>
        <w:t>Reproducibility validity: The study does not reproduce a matched published SASV baseline. Dataset and licence documentation also needs to be completed before a journal submission.</w:t>
      </w:r>
    </w:p>
    <w:p/>
    <w:p/>
    <w:p/>
    <w:p/>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53"/>
        <w:gridCol w:w="3153"/>
        <w:gridCol w:w="3153"/>
      </w:tblGrid>
      <w:tr>
        <w:trPr>
          <w:tblHeader w:val="true"/>
        </w:trPr>
        <w:tc>
          <w:tcPr>
            <w:tcW w:type="dxa" w:w="3153"/>
            <w:shd w:fill="1F4E78"/>
            <w:tcMar>
              <w:top w:w="75" w:type="dxa"/>
              <w:start w:w="95" w:type="dxa"/>
              <w:bottom w:w="75" w:type="dxa"/>
              <w:end w:w="95" w:type="dxa"/>
            </w:tcMar>
            <w:vAlign w:val="center"/>
          </w:tcPr>
          <w:p>
            <w:pPr>
              <w:spacing w:before="0" w:after="0" w:line="240" w:lineRule="auto"/>
              <w:jc w:val="center"/>
            </w:pPr>
            <w:r>
              <w:rPr>
                <w:rFonts w:ascii="Times New Roman" w:hAnsi="Times New Roman" w:eastAsia="Times New Roman"/>
                <w:b/>
                <w:i w:val="0"/>
                <w:color w:val="FFFFFF"/>
                <w:sz w:val="17"/>
              </w:rPr>
              <w:t>Evidence</w:t>
            </w:r>
          </w:p>
        </w:tc>
        <w:tc>
          <w:tcPr>
            <w:tcW w:type="dxa" w:w="3153"/>
            <w:shd w:fill="1F4E78"/>
            <w:tcMar>
              <w:top w:w="75" w:type="dxa"/>
              <w:start w:w="95" w:type="dxa"/>
              <w:bottom w:w="75" w:type="dxa"/>
              <w:end w:w="95" w:type="dxa"/>
            </w:tcMar>
            <w:vAlign w:val="center"/>
          </w:tcPr>
          <w:p>
            <w:pPr>
              <w:spacing w:before="0" w:after="0" w:line="240" w:lineRule="auto"/>
              <w:jc w:val="center"/>
            </w:pPr>
            <w:r>
              <w:rPr>
                <w:rFonts w:ascii="Times New Roman" w:hAnsi="Times New Roman" w:eastAsia="Times New Roman"/>
                <w:b/>
                <w:i w:val="0"/>
                <w:color w:val="FFFFFF"/>
                <w:sz w:val="17"/>
              </w:rPr>
              <w:t>Supported conclusion</w:t>
            </w:r>
          </w:p>
        </w:tc>
        <w:tc>
          <w:tcPr>
            <w:tcW w:type="dxa" w:w="3153"/>
            <w:shd w:fill="1F4E78"/>
            <w:tcMar>
              <w:top w:w="75" w:type="dxa"/>
              <w:start w:w="95" w:type="dxa"/>
              <w:bottom w:w="75" w:type="dxa"/>
              <w:end w:w="95" w:type="dxa"/>
            </w:tcMar>
            <w:vAlign w:val="center"/>
          </w:tcPr>
          <w:p>
            <w:pPr>
              <w:spacing w:before="0" w:after="0" w:line="240" w:lineRule="auto"/>
              <w:jc w:val="center"/>
            </w:pPr>
            <w:r>
              <w:rPr>
                <w:rFonts w:ascii="Times New Roman" w:hAnsi="Times New Roman" w:eastAsia="Times New Roman"/>
                <w:b/>
                <w:i w:val="0"/>
                <w:color w:val="FFFFFF"/>
                <w:sz w:val="17"/>
              </w:rPr>
              <w:t>Limit or interpretation</w:t>
            </w:r>
          </w:p>
        </w:tc>
      </w:tr>
      <w:tr>
        <w:tc>
          <w:tcPr>
            <w:tcW w:type="dxa" w:w="2376"/>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53,900 real trials; three clone generators</w:t>
            </w:r>
          </w:p>
        </w:tc>
        <w:tc>
          <w:tcPr>
            <w:tcW w:type="dxa" w:w="3672"/>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ASV vulnerability is generator-specific: clone acceptance ranges from 5.9% to 59.0%.</w:t>
            </w:r>
          </w:p>
        </w:tc>
        <w:tc>
          <w:tcPr>
            <w:tcW w:type="dxa" w:w="3384"/>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Pilot corpus; 10 speakers and four test speakers.</w:t>
            </w:r>
          </w:p>
        </w:tc>
      </w:tr>
      <w:tr>
        <w:tc>
          <w:tcPr>
            <w:tcW w:type="dxa" w:w="2376"/>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ASVspoof LA AASIST at 50.8% EER; LA-retrained control at 43.8%</w:t>
            </w:r>
          </w:p>
        </w:tc>
        <w:tc>
          <w:tcPr>
            <w:tcW w:type="dxa" w:w="3672"/>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Countermeasure transfer depends on synthesis-family proximity, not only benchmark lineage.</w:t>
            </w:r>
          </w:p>
        </w:tc>
        <w:tc>
          <w:tcPr>
            <w:tcW w:type="dxa" w:w="3384"/>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A matched published SASV baseline remains unreproduced.</w:t>
            </w:r>
          </w:p>
        </w:tc>
      </w:tr>
      <w:tr>
        <w:tc>
          <w:tcPr>
            <w:tcW w:type="dxa" w:w="2376"/>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Gated 1.54% vs linear 2.27% SASV-EER with StyleTTS2 held out</w:t>
            </w:r>
          </w:p>
        </w:tc>
        <w:tc>
          <w:tcPr>
            <w:tcW w:type="dxa" w:w="3672"/>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The gated arm improves the observed three-generator cross-generator run.</w:t>
            </w:r>
          </w:p>
        </w:tc>
        <w:tc>
          <w:tcPr>
            <w:tcW w:type="dxa" w:w="3384"/>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Flat weights and confidence-scalar ablation show that this is not emotion conditioning.</w:t>
            </w:r>
          </w:p>
        </w:tc>
      </w:tr>
      <w:tr>
        <w:tc>
          <w:tcPr>
            <w:tcW w:type="dxa" w:w="2376"/>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Held-out angry and neutral folds</w:t>
            </w:r>
          </w:p>
        </w:tc>
        <w:tc>
          <w:tcPr>
            <w:tcW w:type="dxa" w:w="3672"/>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No measurable loss occurs when the held-out emotion is removed from training and fusion.</w:t>
            </w:r>
          </w:p>
        </w:tc>
        <w:tc>
          <w:tcPr>
            <w:tcW w:type="dxa" w:w="3384"/>
            <w:shd w:fill="EAF2F8"/>
            <w:tcMar>
              <w:top w:w="75" w:type="dxa"/>
              <w:start w:w="95" w:type="dxa"/>
              <w:bottom w:w="75" w:type="dxa"/>
              <w:end w:w="95" w:type="dxa"/>
            </w:tcMar>
            <w:vAlign w:val="center"/>
          </w:tcPr>
          <w:p>
            <w:pPr>
              <w:spacing w:before="0" w:after="0" w:line="240" w:lineRule="auto"/>
              <w:jc w:val="left"/>
            </w:pPr>
            <w:r>
              <w:rPr>
                <w:rFonts w:ascii="Times New Roman" w:hAnsi="Times New Roman" w:eastAsia="Times New Roman"/>
                <w:b w:val="0"/>
                <w:i w:val="0"/>
                <w:color w:val="000000"/>
                <w:sz w:val="16"/>
              </w:rPr>
              <w:t>This supports a negative mechanism result, not an emotion-aware improvement claim.</w:t>
            </w:r>
          </w:p>
        </w:tc>
      </w:tr>
    </w:tbl>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CHAPTER 5</w:t>
        <w:br/>
        <w:t>CONCLUSION</w:t>
      </w:r>
    </w:p>
    <w:p>
      <w:pPr>
        <w:pStyle w:val="Normal"/>
        <w:spacing w:lineRule="auto" w:line="360" w:before="0" w:after="160"/>
        <w:ind w:firstLine="432"/>
        <w:jc w:val="both"/>
        <w:rPr/>
      </w:pPr>
      <w:r>
        <w:t>The results now answer the questions set in Chapter 1. This project evaluates spoofing-aware speaker verification across emotional neural voice clones. Its main contribution is a traceable measurement pipeline. It is not a claim that emotion conditioning solves SASV. The study shows generator-specific ASV vulnerability and weak transfer from ASVspoof-trained countermeasures.</w:t>
      </w:r>
    </w:p>
    <w:p>
      <w:pPr>
        <w:pStyle w:val="Normal"/>
        <w:spacing w:lineRule="auto" w:line="360" w:before="0" w:after="160"/>
        <w:ind w:firstLine="432"/>
        <w:jc w:val="both"/>
        <w:rPr/>
      </w:pPr>
      <w:r>
        <w:t>The real results give a clear answer to the main hypothesis. The gated arm performs well in one cross-generator condition. Yet the gate is almost constant across emotions. A confidence scalar reproduces the improvement. Held-out-emotion tests also show no meaningful loss. The evidence therefore rejects the intended emotion mechanism.</w:t>
      </w:r>
    </w:p>
    <w:p>
      <w:pPr>
        <w:pStyle w:val="Normal"/>
        <w:spacing w:lineRule="auto" w:line="360" w:before="0" w:after="160"/>
        <w:ind w:firstLine="432"/>
        <w:jc w:val="both"/>
        <w:rPr/>
      </w:pPr>
      <w:r>
        <w:t>This finding has a practical consequence. A voice-authentication system should record score provenance and attack-family coverage. It should test countermeasures on new generators. It should also compare auxiliary features with calibration controls.</w:t>
      </w:r>
    </w:p>
    <w:p>
      <w:pPr>
        <w:pStyle w:val="Normal"/>
        <w:spacing w:lineRule="auto" w:line="360" w:before="0" w:after="160"/>
        <w:ind w:firstLine="432"/>
        <w:jc w:val="both"/>
        <w:rPr/>
      </w:pPr>
      <w:r>
        <w:t>The next study should use a larger speaker-disjoint corpus. It should regenerate clones under the same protocol. It should reproduce a strong published SASV baseline. It should resolve licence documentation and include an external replication. These steps are needed before making a broad journal claim.</w:t>
      </w:r>
    </w:p>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REFERENCES</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 P. Dehak, P. J. Kenny, R. Dehak, P. Dumouchel, and P. Ouellet, “Front-end factor analysis for speaker verification,” IEEE Transactions on Audio, Speech, and Language Processing, vol. 19, no. 4, pp. 788-798, 2011.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 D. Snyder et al., “X-vectors: Robust DNN embeddings for speaker recognition,” in Proc. ICASSP, 2018, pp. 5329-5333.</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 B. Desplanques, J. Thienpondt, and K. Demuynck, “ECAPA-TDNN: Emphasized channel attention, propagation and aggregation in TDNN based speaker verification,” in Proc. Interspeech, 2020, pp. 3830-3834.</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[4] S. Chen et al., “WavLM: Large-scale self-supervised pre-training for full stack speech processing,” IEEE Journal of Selected Topics in Signal Processing, vol. 16, no. 6, pp. 1505-1518, 2022.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[5] W.-N. Hsu et al., “HuBERT: Self-supervised speech representation learning by masked prediction of hidden units,” IEEE/ACM Transactions on Audio, Speech, and Language Processing, vol. 29, pp. 3451-3460, 2021.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[6] A. Baevski, H. Zhou, A. Mohamed, and M. Auli, “wav2vec 2.0: A framework for self-supervised learning of speech representations,” in Proc. NeurIPS, 2020.</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[7] J.-w. Jung et al., “AASIST: Audio anti-spoofing using integrated spectro-temporal graph attention networks,” in Proc. ICASSP, 2022, pp. 6367-6371.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[8] H. Tak et al., “End-to-end anti-spoofing with RawNet2,” in Proc. ICASSP, 2021, pp. 6369-6373.</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[9] J. Yamagishi et al., “ASVspoof 2021: Accelerating progress in spoofed and deepfake speech detection,” in Proc. ASVspoof 2021 Workshop, 2021.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[10] H. Delgado et al., “ASVspoof 2021: Automatic speaker verification spoofing and countermeasures challenge evaluation plan,” 2021.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[11] J.-w. Jung et al., “SASV 2022: The first spoofing-aware speaker verification challenge,” in Proc. Interspeech, 2022, pp. 2893-2897.</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[12] H.-j. Shim et al., “Baseline systems for the first spoofing-aware speaker verification challenge: Score and embedding fusion,” in Proc. Odyssey, 2022.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[13] T. Kinnunen et al., “t-DCF: A detection cost function for the tandem assessment of spoofing countermeasures and automatic speaker verification,” in Proc. Odyssey, 2018, pp. 312-319.</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[14] X. Wang et al., “a-DCF: An architecture-agnostic detection cost function for spoofing-aware speaker verification,” arXiv:2403.01355, 2024.</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[15] A. Conti, D. Salvi, M. Borrelli, S. Hosler, F. Bestagini, and S. Tubaro, “Deepfake speech detection through emotion recognition: A semantic approach,” in Proc. ICASSP, 2022, pp. 3064-3068.</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[16] A. Mahapatra, I. R. Ulgen, A. R. Naini, C. Busso, and B. Sisman, “Can emotion fool anti-spoofing?” in Proc. Interspeech, 2025.</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[17] D. Shizuoka, D. Daido, and C. Chiba, “Utterance-style-dependent speaker verification using emotional embedding with pretrained models,” Sensors, vol. 25, no. 17, art. 5284, 2025.</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[18] T. Takayama, K. Nishida, K. Tsuge, S. Kuroiwa, and S. Nishimura, “Utterance-style-dependent speaker verification by utilizing emotions,” in Proc. GCCE, 2023.</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[19] M. Ravanelli et al., “SpeechBrain: A general-purpose speech toolkit,” arXiv:2106.04624, 2021.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[20] A. Nagrani, J. S. Chung, and A. Zisserman, “VoxCeleb: A large-scale speaker identification dataset,” in Proc. Interspeech, 2017, pp. 2616-2620.</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[21] J. S. Chung, A. Nagrani, and A. Zisserman, “VoxCeleb2: Deep speaker recognition,” in Proc. Interspeech, 2018, pp. 1086-1090.</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[22] T. Kinnunen et al., “The ASVspoof 2017 challenge: Assessing the limits of replay spoofing attack detection,” in Proc. Interspeech, 2017, pp. 2-6.</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[23] M. Todisco, X. Wang, V. Vestman, M. Sahidullah, H. Delgado, A. Nautsch, J. Yamagishi, K. A. Lee, and N. Evans, “ASVspoof 2019: Future horizons in spoofed and fake audio detection,” in Proc. Interspeech, 2019, pp. 1008-1012.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[24] X. Wang et al., “ASVspoof 2019: A large-scale public database of synthesized, converted and replayed speech,” Computer Speech and Language, vol. 64, 2020.</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[25] M. Sahidullah, T. Kinnunen, and C. Hanilci, “A comparison of features for synthetic speech detection,” in Proc. Interspeech, 2015, pp. 2087-2091.</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[26] G. Lavrentyeva, S. Masyagin, A. Novoselov, and O. Shchemelinin, “STC antispoofing systems for the ASVspoof2019 challenge,” in Proc. Interspeech, 2019, pp. 1033-1037.</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[27] G. Ge, M. McCool, C. Sanderson, and P. Harandi, “Speaker verification by partial AAM-softmax,” in Proc. Interspeech, 2020.</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[28] X. Liu, M. Sahidullah, K. A. Lee, and T. Kinnunen, “Speaker-aware anti-spoofing,” arXiv:2303.01126, 2023.</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[29] J. Heo, J.-H. Kim, and H.-S. Shin, “Two methods for spoofing-aware speaker verification: Multi-layer perceptron score fusion model and integrated embedding projector,” in Proc. Interspeech, 2022.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[30] C. Wu, M. Todisco, X. Wang, N. Evans, J. Yamagishi, and T. Kinnunen, “Spoofing-aware speaker verification by multi-level fusion,” in Proc. Interspeech, 2022.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[31] Z. Teng, Q. Fu, J. White, M. Powell, and D. Schmidt, “SA-SASV: An end-to-end spoof-aggregated spoofing-aware speaker verification system,” in Proc. Interspeech, 2022.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[32] Y. Zhang, J. Lu, Z. Shang, W. Wang, and P. Zhang, “Improving short utterance anti-spoofing with AASIST2,” arXiv:2309.08279, 2023.</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[33] F. Bahmaninezhad, C. Zhang, S. R. K. M. Ravi, S. Khudanpur, and T. N. Sainath, “A comprehensive study of self-supervised speech representations for speaker verification,” in Proc. ICASSP, 2022.</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[34] J. Zhang, X. Jiang, X. Zhang, Y. Zhu, and S. Li, “Improving time delay neural network based speaker recognition with convolutional block and feature aggregation methods,” in Proc. Interspeech, 2021, pp. 3410-3414.</w:t>
      </w:r>
    </w:p>
    <w:p>
      <w:pPr>
        <w:pStyle w:val="Normal"/>
        <w:spacing w:lineRule="auto" w:line="360" w:before="0" w:after="60"/>
        <w:ind w:hanging="360" w:start="360"/>
        <w:jc w:val="both"/>
        <w:rPr/>
      </w:pPr>
      <w:r>
        <w:rPr>
          <w:rFonts w:eastAsia="Times New Roman" w:ascii="Times New Roman" w:hAnsi="Times New Roman"/>
          <w:b w:val="false"/>
          <w:i w:val="false"/>
          <w:color w:val="000000"/>
          <w:sz w:val="24"/>
        </w:rPr>
        <w:t>[35] J. M. P. L. M. Santos et al., “Self-supervised learning for speech emotion recognition: A review,” Speech Communication, vol. 152, pp. 1-18, 2023.</w:t>
      </w:r>
    </w:p>
    <w:p>
      <w:pPr>
        <w:pStyle w:val="Normal"/>
        <w:rPr/>
      </w:pPr>
      <w:r>
        <w:rPr/>
      </w:r>
      <w:r>
        <w:br w:type="page"/>
      </w:r>
    </w:p>
    <w:p>
      <w:pPr>
        <w:pStyle w:val="Normal"/>
        <w:keepNext w:val="true"/>
        <w:spacing w:lineRule="auto" w:line="360" w:before="0" w:after="160"/>
        <w:jc w:val="center"/>
        <w:rPr/>
      </w:pPr>
      <w:r>
        <w:rPr>
          <w:rFonts w:eastAsia="Times New Roman" w:ascii="Times New Roman" w:hAnsi="Times New Roman"/>
          <w:b/>
          <w:i w:val="false"/>
          <w:color w:val="000000"/>
          <w:sz w:val="28"/>
        </w:rPr>
        <w:t>APPENDIX</w:t>
      </w:r>
    </w:p>
    <w:p>
      <w:pPr>
        <w:pStyle w:val="Normal"/>
        <w:keepNext w:val="true"/>
        <w:spacing w:lineRule="auto" w:line="360" w:before="160" w:after="160"/>
        <w:jc w:val="start"/>
        <w:rPr/>
      </w:pPr>
      <w:r>
        <w:rPr>
          <w:rFonts w:eastAsia="Times New Roman" w:ascii="Times New Roman" w:hAnsi="Times New Roman"/>
          <w:b/>
          <w:i w:val="false"/>
          <w:color w:val="000000"/>
          <w:sz w:val="24"/>
        </w:rPr>
        <w:t>A. Repository audit trail</w:t>
      </w:r>
    </w:p>
    <w:p>
      <w:pPr>
        <w:pStyle w:val="Normal"/>
        <w:spacing w:lineRule="auto" w:line="360" w:before="0" w:after="160"/>
        <w:jc w:val="both"/>
        <w:rPr/>
      </w:pPr>
      <w:r>
        <w:rPr>
          <w:rFonts w:eastAsia="Times New Roman" w:ascii="Times New Roman" w:hAnsi="Times New Roman"/>
          <w:b w:val="false"/>
          <w:i w:val="false"/>
          <w:color w:val="000000"/>
          <w:sz w:val="24"/>
        </w:rPr>
        <w:t>Core implementation modules are located in src/easv/: manifest.py validates trial metadata; scores.py aligns score files; audit.py reports leakage and coverage; metrics.py computes EER, DCF, threshold, calibration, and bootstrap quantities; fusion.py implements the five-model ladder; evaluation.py writes results; and cli.py exposes audit, evaluate, demo, predict, and manifest-template commands.</w:t>
      </w:r>
    </w:p>
    <w:p>
      <w:pPr>
        <w:pStyle w:val="Normal"/>
        <w:keepNext w:val="true"/>
        <w:spacing w:lineRule="auto" w:line="360" w:before="160" w:after="160"/>
        <w:jc w:val="start"/>
        <w:rPr/>
      </w:pPr>
      <w:r>
        <w:rPr>
          <w:rFonts w:eastAsia="Times New Roman" w:ascii="Times New Roman" w:hAnsi="Times New Roman"/>
          <w:b/>
          <w:i w:val="false"/>
          <w:color w:val="000000"/>
          <w:sz w:val="24"/>
        </w:rPr>
        <w:t>B. Commands executed for this report</w:t>
      </w:r>
    </w:p>
    <w:p>
      <w:pPr>
        <w:pStyle w:val="Normal"/>
        <w:spacing w:lineRule="auto" w:line="360" w:before="0" w:after="160"/>
        <w:jc w:val="both"/>
        <w:rPr/>
      </w:pPr>
      <w:r>
        <w:rPr>
          <w:rFonts w:eastAsia="Times New Roman" w:ascii="Times New Roman" w:hAnsi="Times New Roman"/>
          <w:b w:val="false"/>
          <w:i w:val="false"/>
          <w:color w:val="000000"/>
          <w:sz w:val="24"/>
        </w:rPr>
        <w:t>1. .venv/bin/python -m pytest -q  -&gt;  99 tests passed.</w:t>
        <w:br/>
        <w:t>2. .venv/bin/python -m easv demo --out &lt;temporary directory&gt; --config configs/demo.yaml  -&gt;  1,660 synthetic trials and five fitted models (pipeline smoke test only).</w:t>
        <w:br/>
        <w:t>3. .venv/bin/python -m easv audit --manifest results/e2e/merged_manifest.csv --out results/e2e/audit_real  -&gt;  0 errors, 4 expected warnings on the 53,900-trial real manifest.</w:t>
        <w:br/>
        <w:t>4. scripts/producer_asv.py and scripts/producer_ser.py over the merged manifest (53,900 score rows each); scripts/train_cm_indomain.py for the in-domain and StyleTTS2-held-out countermeasures; scripts/producer_cm_aasist.py for the pretrained checkpoint; scripts/train_cm_aasist_la.py plus scripts/build_manifests.py asvspoof for the LA retrain.</w:t>
        <w:br/>
        <w:t>5. .venv/bin/python -m easv.cli evaluate --manifest results/e2e/merged_manifest.csv --scores &lt;combined scores&gt; --config configs/real_run.yaml --out results/real/run4_3gen_crossgen  -&gt;  the three-generator tables in 4.4.</w:t>
        <w:br/>
        <w:t>6. .venv/bin/python scripts/compare_arms.py --results results/real/run4_3gen_crossgen --manifest results/e2e/merged_manifest.csv --a emotion_gated --b emotion_interaction  -&gt;  the arm-vs-arm contrast.</w:t>
        <w:br/>
        <w:t>7. scripts/train_cm_indomain.py --holdout-emotion &lt;angry|neutral&gt;, then easv.cli evaluate with and without --set folds.holdout_emotion=&lt;emotion&gt;, then scripts/compare_arms.py --emotion &lt;emotion&gt;  -&gt;  the held-out-emotion folds.</w:t>
      </w:r>
    </w:p>
    <w:p>
      <w:pPr>
        <w:pStyle w:val="Normal"/>
        <w:keepNext w:val="true"/>
        <w:spacing w:lineRule="auto" w:line="360" w:before="160" w:after="160"/>
        <w:jc w:val="start"/>
        <w:rPr/>
      </w:pPr>
      <w:r>
        <w:rPr>
          <w:rFonts w:eastAsia="Times New Roman" w:ascii="Times New Roman" w:hAnsi="Times New Roman"/>
          <w:b/>
          <w:i w:val="false"/>
          <w:color w:val="000000"/>
          <w:sz w:val="24"/>
        </w:rPr>
        <w:t>C. Reproducibility warning</w:t>
      </w:r>
    </w:p>
    <w:p>
      <w:pPr>
        <w:pStyle w:val="Normal"/>
        <w:spacing w:lineRule="auto" w:line="360" w:before="0" w:after="160"/>
        <w:jc w:val="both"/>
        <w:rPr/>
      </w:pPr>
      <w:r>
        <w:rPr>
          <w:rFonts w:eastAsia="Times New Roman" w:ascii="Times New Roman" w:hAnsi="Times New Roman"/>
          <w:b w:val="false"/>
          <w:i w:val="false"/>
          <w:color w:val="000000"/>
          <w:sz w:val="24"/>
        </w:rPr>
        <w:t>The synthetic demo should not be cited as a benchmark result. Section 4.4 is the real experiment: externally sourced speech, documented score producers, metric definitions and split rules fixed before the test report, and a test split evaluated once. (The numeric success margins were not pre-registered before the first test report; PROTOCOL section 6 records that limitation explicitly.) Its per-trial scores, fitted models and reports live in results/real/ (git-ignored because they encode corpus paths) and the audio corpora live outside the repository; docs/REAL_RESULTS.md records every number with its split, threshold policy and interval, and docs/PROGRESS_LOG.md records how the corpora were obtained. The synthetic demonstration is kept only as the pipeline smoke test.</w:t>
      </w:r>
    </w:p>
    <w:p>
      <w:pPr/>
      <w:r>
        <w:rPr>
          <w:b/>
        </w:rPr>
        <w:t>D. Submission checklist</w:t>
      </w:r>
    </w:p>
    <w:p>
      <w:pPr/>
      <w:r>
        <w:rPr>
          <w:b w:val="0"/>
        </w:rPr>
        <w:t>1. Confirm the repository commit and configuration files.</w:t>
      </w:r>
    </w:p>
    <w:p>
      <w:pPr/>
      <w:r>
        <w:rPr>
          <w:b w:val="0"/>
        </w:rPr>
        <w:t>2. Confirm the 53,900-trial manifest and speaker-disjoint split.</w:t>
      </w:r>
    </w:p>
    <w:p>
      <w:pPr/>
      <w:r>
        <w:rPr>
          <w:b w:val="0"/>
        </w:rPr>
        <w:t>3. Run the audit before fitting any fusion model.</w:t>
      </w:r>
    </w:p>
    <w:p>
      <w:pPr/>
      <w:r>
        <w:rPr>
          <w:b w:val="0"/>
        </w:rPr>
        <w:t>4. Select thresholds on development data only.</w:t>
      </w:r>
    </w:p>
    <w:p>
      <w:pPr/>
      <w:r>
        <w:rPr>
          <w:b w:val="0"/>
        </w:rPr>
        <w:t>5. Report the held-out test split once.</w:t>
      </w:r>
    </w:p>
    <w:p>
      <w:pPr/>
      <w:r>
        <w:rPr>
          <w:b w:val="0"/>
        </w:rPr>
        <w:t>6. Include generator, emotion, calibration, and bootstrap results.</w:t>
      </w:r>
    </w:p>
    <w:p>
      <w:pPr/>
      <w:r>
        <w:rPr>
          <w:b w:val="0"/>
        </w:rPr>
        <w:t>7. Record dataset access and licence conditions.</w:t>
      </w:r>
    </w:p>
    <w:p/>
    <w:p/>
    <w:p/>
    <w:p/>
    <w:p/>
    <w:p/>
    <w:p/>
    <w:p/>
    <w:sectPr>
      <w:footerReference w:type="even" r:id="rId4"/>
      <w:footerReference w:type="default" r:id="rId5"/>
      <w:footerReference w:type="first" r:id="rId6"/>
      <w:type w:val="nextPage"/>
      <w:pgSz w:w="11906" w:h="16838"/>
      <w:pgMar w:left="1440" w:right="1440"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Rounded MT Bold">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t xml:space="preserve">Course Project Report | EASV | Page </w:t>
    </w:r>
    <w:fldSimple w:instr="PAG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Times New Roman" w:hAnsi="Times New Roman"/>
        <w:color w:val="000000"/>
        <w:sz w:val="18"/>
      </w:rPr>
      <w:t>Course Project Report | EASV | Page</w:t>
    </w:r>
    <w:r>
      <w:rPr/>
      <w:fldChar w:fldCharType="begin"/>
    </w:r>
    <w:r>
      <w:rPr/>
      <w:instrText xml:space="preserve"> PAGE </w:instrText>
    </w:r>
    <w:r>
      <w:rPr/>
      <w:fldChar w:fldCharType="separate"/>
    </w:r>
    <w:r>
      <w:rPr/>
      <w:t>19</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120"/>
      <w:jc w:val="start"/>
    </w:pPr>
    <w:rPr>
      <w:rFonts w:ascii="Times New Roman" w:hAnsi="Times New Roman" w:eastAsia="Times New Roman" w:cs="" w:asciiTheme="minorHAnsi" w:cstheme="minorBidi" w:eastAsiaTheme="minorHAnsi" w:hAnsiTheme="minorHAnsi"/>
      <w:color w:val="auto"/>
      <w:kern w:val="0"/>
      <w:sz w:val="24"/>
      <w:szCs w:val="22"/>
      <w:lang w:val="en-IN"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d7d9b"/>
    <w:rPr/>
  </w:style>
  <w:style w:type="character" w:styleId="FooterChar" w:customStyle="1">
    <w:name w:val="Footer Char"/>
    <w:basedOn w:val="DefaultParagraphFont"/>
    <w:link w:val="Footer"/>
    <w:uiPriority w:val="99"/>
    <w:qFormat/>
    <w:rsid w:val="00ad7d9b"/>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ad7d9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7d9b"/>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2e42e5"/>
    <w:pPr>
      <w:spacing w:before="0" w:after="160"/>
      <w:ind w:start="720"/>
      <w:contextualSpacing/>
    </w:pPr>
    <w:rPr>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18b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E707C-0DBD-4A2C-8D70-C5B4550D8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LibreOffice/26.2.5.2$Linux_X86_64 LibreOffice_project/cd7284b4cbbfeb507e630c1aac019f4157393acb</Application>
  <AppVersion>15.0000</AppVersion>
  <Pages>12</Pages>
  <Words>4866</Words>
  <Characters>29363</Characters>
  <CharactersWithSpaces>33990</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2026-10-15T04:20:00Z</dcterms:created>
  <dc:creator>Admin</dc:creator>
  <dc:description/>
  <dc:language>en-US</dc:language>
  <cp:lastModifiedBy>Dega Nagaraju</cp:lastModifiedBy>
  <dcterms:modified xsi:type="dcterms:W3CDTF">2026-10-15T05:09:00Z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