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is useful only when a system can distinguish a genuine claimant from an impostor and from a synthetic or replayed voice. This project develops and audits a research infrastructure for emotion-conditioned spoofing-aware speaker verification (EASV). The implementation accepts speaker-verification, countermeasure, and predicted emotion scores, validates their trial metadata, and compares five fusion models: speaker-only, conventional linear fusion, additive emotion fusion, emotion-interaction fusion, and an emotion-gated fusion model. The design protects the evaluation protocol by fitting models only on training data, selecting thresholds on development data, and reporting the held-out test split once. It also reports SASV-EER, component EERs, a-DCF, t-DCF, calibration, and grouped-bootstrap uncertainty. The repository was audited by executing its complete test suite and synthetic end-to-end demonstration. All 65 tests passed, and the demonstration generated 1,660 simulated trials with disjoint speakers, unseen test generators, and one held-out emotion. These outputs verify software behavior, not scientific performance on real speech. No real corpus, pretrained audio backend, or verified novelty comparison is included in the present repository. The report therefore presents the work as a reproducible evaluation foundation and specifies the evidence required before any real-world security or accuracy claim can be made.</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16</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19</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65 tests passed. The tests cover manifest validation, score alignment, metric direction conventions, threshold separation, fusion serialization, grouped evaluation, and command-line behaviour. Passing tests are evidence that the implemented functions meet their encoded expectations; they are not evidence that a biometric system works on unseen human speech.</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F5-TTS and CosyVoice (12,000 utterances each). After the audit and the speaker-disjoint 4/2/4 split, the merged manifest holds 41,900 trials: 17,500 bona fide targets, 400 derived cross-speaker nontargets and 24,000 clones. Scores were produced by SpeechBrain ECAPA-TDNN (speaker), wav2vec2-base-superb-ER (emotion) and two countermeasures: the official ASVspoof-2019 AASIST checkpoint, and a log-mel CNN trained only on the train split.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r>
              <w:rPr>
                <w:rFonts w:ascii="Times New Roman" w:hAnsi="Times New Roman"/>
                <w:sz w:val="18"/>
              </w:rPr>
              <w:t>accepts 82.9 % of targets and 55.2 % of clones</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r>
              <w:rPr>
                <w:rFonts w:ascii="Times New Roman" w:hAnsi="Times New Roman"/>
                <w:sz w:val="18"/>
              </w:rPr>
              <w:t>41.8 % / 30.7 % accuracy</w:t>
            </w:r>
          </w:p>
        </w:tc>
        <w:tc>
          <w:tcPr>
            <w:tcW w:type="dxa" w:w="2364"/>
          </w:tcPr>
          <w:p>
            <w:r/>
            <w:r>
              <w:rPr>
                <w:rFonts w:ascii="Times New Roman" w:hAnsi="Times New Roman"/>
                <w:sz w:val="18"/>
              </w:rPr>
              <w:t>bona fide / clones; clones saturate it at 0.83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r>
              <w:rPr>
                <w:rFonts w:ascii="Times New Roman" w:hAnsi="Times New Roman"/>
                <w:sz w:val="18"/>
              </w:rPr>
              <w:t>optimistic: same two generators seen in training</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emotion-dependent: the speaker front-end accepts 55.2 % of neural emotional clones as the cloned speaker, and acceptance rises to 64.6 % for anger and 61.7 % for neutral while falling to 47.5 % for sadness and 47.2 % for happiness. Second, conventional fusion removes almost all of that when the countermeasure works, taking SASV-EER from 33.1 % to 0.60 %. Third, the proposed emotion-gated arm does not beat plain fusion in that regime: it is 0.14 points worse and its paired bootstrap interval does not exclude zero (p = 0.98). The paper's own hypothesis is therefore not supported by this data, and reporting it otherwise would be dishonest.</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(30.7 % accuracy at 0.83 mean confidence, against 41.8 % on genuine speech), so its probability vector implicitly encodes whether the audio is synthetic. Emotion features act as a substitute spoof detector, which is a confound rather than the proposed effect, and it sets the agenda for the next pass: replace emotion features with an explicit confidence scalar and test whether the gain survives, and test on a held-out generator.</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and an end-to-end synthetic smoke test. It does not demonstrate a trained speaker model, a trained countermeasure, a trained emotion recogniser, a reproduced SASV baseline, an experiment on ASVspoof, SASV, or EmoSpoof-TTS data, or a validated literature-novelty claim. The distinction is not cosmetic. Each missing component can change the apparent usefulness of emotion features and must be resolved before a research conclusion is written. Since this paragraph was written, the real execution has also produced trained front-end scores, two countermeasures and a full real-data fusion evaluation; what remains open is cross-generator generalisation (the StyleTTS2 subset is still being fetched) and an in-domain AASIST retrained on the ASVspoof 2019 LA corpus, which the available disk space does not yet allow.</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Its practical contribution at this stage is methodological: it separates manifest truth from model inputs, checks leakage risks, preserves train/dev/test roles, compares a transparent fusion ladder, and records uncertainty and group-level behaviour. The full automated test suite passed, and the synthetic demonstration completed successfully.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 gives a mixed verdict that is reported as measured. On the held-out test split, plain fusion cut SASV-EER from 33.1 % to 0.60 %, which is a genuine security improvement over ASV alone, but the proposed emotion-gated arm was slightly worse than the linear baseline, so the specific contribution of this project is not yet demonstrated. The failure of an off-the-shelf countermeasure to transfer to modern neural clones (50.8 % EER)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the literature gate, document corpus licences and taxonomies, generate scores with published checkpoints, pre-register a real-data success criterion, and evaluate cross-generator and cross-emotion conditions. It should also compare frozen and fine-tuned representations, assess calibration under deployment priors, and perform error analysis on genuine emotional speech. These steps will determine whether the proposed conditioning is useful, limited to specific conditions, or not justified.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  65 tests passed.</w:t>
        <w:br/>
        <w:t>2. .venv/bin/python -m easv demo --out &lt;temporary directory&gt; --config configs/demo.yaml  →  1,660 synthetic trials and five fitted models.</w:t>
        <w:br/>
        <w:t>3. .venv/bin/python -m easv audit --manifest &lt;synthetic manifest&gt; --out &lt;temporary directory&gt;  →  0 errors and 1 intentional held-out-emotion warning.</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A real experiment needs externally sourced speech data, documented score producers, an approved protocol, and an unrepeated test evaluation. The present report intentionally preserves that distinction.</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