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e9033cf663458f" /><Relationship Type="http://schemas.openxmlformats.org/package/2006/relationships/metadata/core-properties" Target="/docProps/core.xml" Id="Rd1bb6abe2a75486d" /><Relationship Type="http://schemas.openxmlformats.org/officeDocument/2006/relationships/extended-properties" Target="/docProps/app.xml" Id="R55c364b02cac41d8" /><Relationship Type="http://schemas.openxmlformats.org/officeDocument/2006/relationships/custom-properties" Target="/docProps/custom.xml" Id="Ra6525b6f39da4c30" /></Relationships>
</file>

<file path=word/document.xml><?xml version="1.0" encoding="utf-8"?>
<w:document xmlns:c="http://schemas.openxmlformats.org/drawingml/2006/chart"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  <w:jc w:val="center"/>
      </w:pPr>
      <w:r>
        <w:rPr>
          <w:b/>
          <w:color w:val="1F3864"/>
          <w:sz w:val="48"/>
        </w:rPr>
        <w:t xml:space="preserve">Retail Sales Analysis &amp; Price Prediction Report</w:t>
      </w:r>
    </w:p>
    <w:p w14:paraId="00100002" w14:textId="00100003">
      <w:pPr>
        <w:pStyle w:val="Normal"/>
        <w:spacing w:after="80"/>
        <w:jc w:val="center"/>
      </w:pPr>
      <w:r>
        <w:rPr>
          <w:color w:val="595959"/>
          <w:sz w:val="24"/>
        </w:rPr>
        <w:t xml:space="preserve">Prepared from Sales Transactions Data: 2022 – 2025</w:t>
      </w:r>
    </w:p>
    <w:p w14:paraId="00100004" w14:textId="00100005">
      <w:pPr>
        <w:pStyle w:val="Normal"/>
        <w:spacing w:after="320"/>
        <w:jc w:val="center"/>
      </w:pPr>
      <w:r>
        <w:rPr>
          <w:color w:val="595959"/>
          <w:sz w:val="22"/>
        </w:rPr>
        <w:t xml:space="preserve">Total Transactions: 18,045  |  Revenue: $8,252,141  |  Profit: $1,649,388  |  Avg Rating: 3.99 / 5</w:t>
      </w:r>
    </w:p>
    <w:p w14:paraId="00100006" w14:textId="00100007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Table of Contents</w:t>
      </w:r>
    </w:p>
    <w:p w14:paraId="00100008" w14:textId="00100009">
      <w:pPr>
        <w:pStyle w:val="Normal"/>
        <w:spacing w:after="60"/>
      </w:pPr>
      <w:r>
        <w:rPr>
          <w:sz w:val="22"/>
        </w:rPr>
        <w:t xml:space="preserve">1. Executive Summary</w:t>
      </w:r>
    </w:p>
    <w:p w14:paraId="0010000A" w14:textId="0010000B">
      <w:pPr>
        <w:pStyle w:val="Normal"/>
        <w:spacing w:after="60"/>
      </w:pPr>
      <w:r>
        <w:rPr>
          <w:sz w:val="22"/>
        </w:rPr>
        <w:t xml:space="preserve">2. Revenue Analysis</w:t>
      </w:r>
    </w:p>
    <w:p w14:paraId="0010000C" w14:textId="0010000D">
      <w:pPr>
        <w:pStyle w:val="Normal"/>
        <w:spacing w:after="60"/>
      </w:pPr>
      <w:r>
        <w:rPr>
          <w:sz w:val="22"/>
        </w:rPr>
        <w:t xml:space="preserve">3. Price Analysis</w:t>
      </w:r>
    </w:p>
    <w:p w14:paraId="0010000E" w14:textId="0010000F">
      <w:pPr>
        <w:pStyle w:val="Normal"/>
        <w:spacing w:after="60"/>
      </w:pPr>
      <w:r>
        <w:rPr>
          <w:sz w:val="22"/>
        </w:rPr>
        <w:t xml:space="preserve">4. Product &amp; Category Performance</w:t>
      </w:r>
    </w:p>
    <w:p w14:paraId="00100010" w14:textId="00100011">
      <w:pPr>
        <w:pStyle w:val="Normal"/>
        <w:spacing w:after="60"/>
      </w:pPr>
      <w:r>
        <w:rPr>
          <w:sz w:val="22"/>
        </w:rPr>
        <w:t xml:space="preserve">5. Sales Channel &amp; Shipping Analysis</w:t>
      </w:r>
    </w:p>
    <w:p w14:paraId="00100012" w14:textId="00100013">
      <w:pPr>
        <w:pStyle w:val="Normal"/>
        <w:spacing w:after="60"/>
      </w:pPr>
      <w:r>
        <w:rPr>
          <w:sz w:val="22"/>
        </w:rPr>
        <w:t xml:space="preserve">6. Customer Insights</w:t>
      </w:r>
    </w:p>
    <w:p w14:paraId="00100014" w14:textId="00100015">
      <w:pPr>
        <w:pStyle w:val="Normal"/>
        <w:spacing w:after="60"/>
      </w:pPr>
      <w:r>
        <w:rPr>
          <w:sz w:val="22"/>
        </w:rPr>
        <w:t xml:space="preserve">7. Returns Analysis</w:t>
      </w:r>
    </w:p>
    <w:p w14:paraId="00100016" w14:textId="00100017">
      <w:pPr>
        <w:pStyle w:val="Normal"/>
        <w:spacing w:after="60"/>
      </w:pPr>
      <w:r>
        <w:rPr>
          <w:sz w:val="22"/>
        </w:rPr>
        <w:t xml:space="preserve">8. Geographic Performance</w:t>
      </w:r>
    </w:p>
    <w:p w14:paraId="00100018" w14:textId="00100019">
      <w:pPr>
        <w:pStyle w:val="Normal"/>
        <w:spacing w:after="320"/>
      </w:pPr>
      <w:r>
        <w:rPr>
          <w:sz w:val="22"/>
        </w:rPr>
        <w:t xml:space="preserve">9. Key Findings &amp; Recommendations</w:t>
      </w:r>
    </w:p>
    <w:p w14:paraId="0010001A" w14:textId="0010001B">
      <w:pPr>
        <w:pStyle w:val="Heading1"/>
        <w:spacing w:before="240" w:after="160"/>
      </w:pPr>
      <w:r>
        <w:rPr>
          <w:b/>
          <w:color w:val="1F3864"/>
          <w:sz w:val="36"/>
        </w:rPr>
        <w:t xml:space="preserve">1. Executive Summary</w:t>
      </w:r>
    </w:p>
    <w:p w14:paraId="0010001C" w14:textId="0010001D">
      <w:pPr>
        <w:pStyle w:val="Normal"/>
        <w:spacing w:after="160"/>
      </w:pPr>
      <w:r>
        <w:rPr>
          <w:sz w:val="22"/>
        </w:rPr>
        <w:t xml:space="preserve">This report presents a comprehensive analysis of retail sales transactions recorded between January 2022 and December 2025, spanning 18,045 transactions across 4 product categories, 6 countries, and 4 sales channels. The dataset includes detailed information on pricing, discounts, customer demographics, returns, and profitability.</w:t>
      </w:r>
    </w:p>
    <w:p w14:paraId="0010001E" w14:textId="0010001F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Executive KPI Summary</w:t>
      </w:r>
    </w:p>
    <w:p w14:paraId="00100022" w14:textId="00100023">
      <w:pPr>
        <w:spacing w:after="200"/>
      </w:pPr>
      <w:r>
        <w:rPr/>
        <w:t xml:space="preserve"/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24" w14:textId="00100025">
            <w:r>
              <w:t xml:space="preserve">Key Metric</w:t>
            </w:r>
          </w:p>
        </w:tc>
        <w:tc>
          <w:p w14:paraId="00100026" w14:textId="00100027">
            <w:r>
              <w:t xml:space="preserve">Value</w:t>
            </w:r>
          </w:p>
        </w:tc>
      </w:tr>
      <w:tr>
        <w:trPr/>
        <w:tc>
          <w:p w14:paraId="00100028" w14:textId="00100029">
            <w:r>
              <w:t xml:space="preserve">Total Revenue</w:t>
            </w:r>
          </w:p>
        </w:tc>
        <w:tc>
          <w:p w14:paraId="0010002A" w14:textId="0010002B">
            <w:r>
              <w:t xml:space="preserve">$8,252,141</w:t>
            </w:r>
          </w:p>
        </w:tc>
      </w:tr>
      <w:tr>
        <w:trPr/>
        <w:tc>
          <w:p w14:paraId="0010002C" w14:textId="0010002D">
            <w:r>
              <w:t xml:space="preserve">Total Profit</w:t>
            </w:r>
          </w:p>
        </w:tc>
        <w:tc>
          <w:p w14:paraId="0010002E" w14:textId="0010002F">
            <w:r>
              <w:t xml:space="preserve">$1,649,388</w:t>
            </w:r>
          </w:p>
        </w:tc>
      </w:tr>
      <w:tr>
        <w:trPr/>
        <w:tc>
          <w:p w14:paraId="00100030" w14:textId="00100031">
            <w:r>
              <w:t xml:space="preserve">Total Transactions</w:t>
            </w:r>
          </w:p>
        </w:tc>
        <w:tc>
          <w:p w14:paraId="00100032" w14:textId="00100033">
            <w:r>
              <w:t xml:space="preserve">18,045</w:t>
            </w:r>
          </w:p>
        </w:tc>
      </w:tr>
      <w:tr>
        <w:trPr/>
        <w:tc>
          <w:p w14:paraId="00100034" w14:textId="00100035">
            <w:r>
              <w:t xml:space="preserve">Overall Profit Margin</w:t>
            </w:r>
          </w:p>
        </w:tc>
        <w:tc>
          <w:p w14:paraId="00100036" w14:textId="00100037">
            <w:r>
              <w:t xml:space="preserve">19.99%</w:t>
            </w:r>
          </w:p>
        </w:tc>
      </w:tr>
      <w:tr>
        <w:trPr/>
        <w:tc>
          <w:p w14:paraId="00100038" w14:textId="00100039">
            <w:r>
              <w:t xml:space="preserve">Avg Customer Rating</w:t>
            </w:r>
          </w:p>
        </w:tc>
        <w:tc>
          <w:p w14:paraId="0010003A" w14:textId="0010003B">
            <w:r>
              <w:t xml:space="preserve">3.99 / 5.0</w:t>
            </w:r>
          </w:p>
        </w:tc>
      </w:tr>
    </w:tbl>
    <w:p w14:paraId="0010003C" w14:textId="0010003D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2. Revenue Analysis</w:t>
      </w:r>
    </w:p>
    <w:p w14:paraId="0010003E" w14:textId="0010003F">
      <w:pPr>
        <w:pStyle w:val="Normal"/>
        <w:spacing w:after="200"/>
      </w:pPr>
      <w:r>
        <w:rPr>
          <w:sz w:val="22"/>
        </w:rPr>
        <w:t xml:space="preserve">Overall, revenue grew consistently across the four-year period, peaking at $2,301,259 in 2025 — representing 14.3% growth from the 2022 baseline of $2,013,102. Electronics dominated with 59.8% of total revenue, while the Online channel led all sales channels at 37.8% share.</w:t>
      </w:r>
    </w:p>
    <w:p w14:paraId="00100040" w14:textId="00100041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2.1 Revenue by Product Category (Bar Chart)</w:t>
      </w:r>
    </w:p>
    <w:p w14:paraId="00100042" w14:textId="00100043">
      <w:pPr>
        <w:pStyle w:val="Normal"/>
        <w:spacing w:after="120"/>
      </w:pPr>
      <w:r>
        <w:rPr>
          <w:sz w:val="22"/>
        </w:rPr>
        <w:t xml:space="preserve">The bar chart below shows total revenue contribution per product category across all years:</w:t>
      </w:r>
    </w:p>
    <w:p w14:paraId="00100044" w14:textId="00100045">
      <w:r>
        <w:drawing>
          <wp:inline distT="0" distB="0" distL="0" distR="0">
            <wp:extent cx="5040000" cy="2880000"/>
            <wp:effectExtent l="0" t="0" r="0" b="0"/>
            <wp:docPr id="1" name="Revenue by Product Category ($)"/>
            <wp:cNvGraphicFramePr/>
            <a:graphic>
              <a:graphicData uri="http://schemas.openxmlformats.org/drawingml/2006/chart">
                <c:chart xmlns:c="http://schemas.openxmlformats.org/drawingml/2006/chart" r:id="R62d3d64863f043b7"/>
              </a:graphicData>
            </a:graphic>
          </wp:inline>
        </w:drawing>
      </w:r>
    </w:p>
    <w:p w14:paraId="00100046" w14:textId="00100047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1: Revenue by Product Category — Electronics leads at $4,932,145 (59.8%), followed by Furniture at $1,989,859 (24.1%).</w:t>
      </w:r>
    </w:p>
    <w:p w14:paraId="00100048" w14:textId="00100049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2.2 Revenue by Sales Channel (Pie Chart)</w:t>
      </w:r>
    </w:p>
    <w:p w14:paraId="0010004A" w14:textId="0010004B">
      <w:pPr>
        <w:pStyle w:val="Normal"/>
        <w:spacing w:after="120"/>
      </w:pPr>
      <w:r>
        <w:rPr>
          <w:sz w:val="22"/>
        </w:rPr>
        <w:t xml:space="preserve">The pie chart illustrates revenue distribution across four sales channels:</w:t>
      </w:r>
    </w:p>
    <w:p w14:paraId="0010004C" w14:textId="0010004D">
      <w:r>
        <w:drawing>
          <wp:inline distT="0" distB="0" distL="0" distR="0">
            <wp:extent cx="4320000" cy="3240000"/>
            <wp:effectExtent l="0" t="0" r="0" b="0"/>
            <wp:docPr id="2" name="Revenue Share by Sales Channel"/>
            <wp:cNvGraphicFramePr/>
            <a:graphic>
              <a:graphicData uri="http://schemas.openxmlformats.org/drawingml/2006/chart">
                <c:chart xmlns:c="http://schemas.openxmlformats.org/drawingml/2006/chart" r:id="R2ece666a40e544a4"/>
              </a:graphicData>
            </a:graphic>
          </wp:inline>
        </w:drawing>
      </w:r>
    </w:p>
    <w:p w14:paraId="0010004E" w14:textId="0010004F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2: Online channel holds the largest share at 37.8%, followed by Retail Store (29.7%) and B2B Portal (25.8%).</w:t>
      </w:r>
    </w:p>
    <w:p w14:paraId="00100050" w14:textId="00100051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2.3 Year-over-Year Revenue (Bar Chart)</w:t>
      </w:r>
    </w:p>
    <w:p w14:paraId="00100052" w14:textId="00100053">
      <w:pPr>
        <w:pStyle w:val="Normal"/>
        <w:spacing w:after="120"/>
      </w:pPr>
      <w:r>
        <w:rPr>
          <w:sz w:val="22"/>
        </w:rPr>
        <w:t xml:space="preserve">Annual revenue comparison across the 2022–2025 period:</w:t>
      </w:r>
    </w:p>
    <w:p w14:paraId="00100054" w14:textId="00100055">
      <w:r>
        <w:drawing>
          <wp:inline distT="0" distB="0" distL="0" distR="0">
            <wp:extent cx="5040000" cy="2880000"/>
            <wp:effectExtent l="0" t="0" r="0" b="0"/>
            <wp:docPr id="3" name="Annual Revenue 2022–2025"/>
            <wp:cNvGraphicFramePr/>
            <a:graphic>
              <a:graphicData uri="http://schemas.openxmlformats.org/drawingml/2006/chart">
                <c:chart xmlns:c="http://schemas.openxmlformats.org/drawingml/2006/chart" r:id="R2a3e5810093e4695"/>
              </a:graphicData>
            </a:graphic>
          </wp:inline>
        </w:drawing>
      </w:r>
    </w:p>
    <w:p w14:paraId="00100056" w14:textId="00100057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3: Revenue by Year — 2025 marks the highest annual revenue at $2,301,259, up 20.3% from the 2024 dip.</w:t>
      </w:r>
    </w:p>
    <w:p w14:paraId="00100058" w14:textId="00100059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3. Price Analysis</w:t>
      </w:r>
    </w:p>
    <w:p w14:paraId="0010005A" w14:textId="0010005B">
      <w:pPr>
        <w:pStyle w:val="Normal"/>
        <w:spacing w:after="200"/>
      </w:pPr>
      <w:r>
        <w:rPr>
          <w:sz w:val="22"/>
        </w:rPr>
        <w:t xml:space="preserve">Price analysis reveals significant variation in unit pricing across product categories. Furniture commands the highest average unit price at $341.98, driven by premium office furniture and standing desks. Electronics average $290.64, while Office Supplies remain budget-focused at $80.20. Pricing spans from a minimum of $21.39 to a maximum of $1,425.09 per unit.</w:t>
      </w:r>
    </w:p>
    <w:p w14:paraId="0010005C" w14:textId="0010005D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3.1 Average Unit Price by Category (Bar Chart)</w:t>
      </w:r>
    </w:p>
    <w:p w14:paraId="0010005E" w14:textId="0010005F">
      <w:r>
        <w:drawing>
          <wp:inline distT="0" distB="0" distL="0" distR="0">
            <wp:extent cx="5040000" cy="2880000"/>
            <wp:effectExtent l="0" t="0" r="0" b="0"/>
            <wp:docPr id="4" name="Average Unit Price by Category ($)"/>
            <wp:cNvGraphicFramePr/>
            <a:graphic>
              <a:graphicData uri="http://schemas.openxmlformats.org/drawingml/2006/chart">
                <c:chart r:id="R48a4408693734d77"/>
              </a:graphicData>
            </a:graphic>
          </wp:inline>
        </w:drawing>
      </w:r>
    </w:p>
    <w:p w14:paraId="00100060" w14:textId="00100061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4: Furniture has the highest average unit price ($341.98), nearly 4x that of Office Supplies ($80.20).</w:t>
      </w:r>
    </w:p>
    <w:p w14:paraId="00100062" w14:textId="00100063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3.2 Price Statistics Summary</w:t>
      </w:r>
    </w:p>
    <w:p w14:paraId="00100066" w14:textId="00100067">
      <w:pPr>
        <w:spacing w:after="80"/>
      </w:pPr>
      <w:r>
        <w:rPr/>
        <w:t xml:space="preserve"/>
      </w:r>
    </w:p>
    <w:p w14:paraId="00100068" w14:textId="00100069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3.3 Profit Margin by Category (Pie Chart)</w:t>
      </w:r>
    </w:p>
    <w:p w14:paraId="0010006A" w14:textId="0010006B">
      <w:pPr>
        <w:pStyle w:val="Normal"/>
        <w:spacing w:after="120"/>
      </w:pPr>
      <w:r>
        <w:rPr>
          <w:sz w:val="22"/>
        </w:rPr>
        <w:t xml:space="preserve">Profit margin distribution across categories shows near-equal profitability despite vastly different price points:</w:t>
      </w:r>
    </w:p>
    <w:p w14:paraId="0010006C" w14:textId="0010006D">
      <w:r>
        <w:drawing>
          <wp:inline distT="0" distB="0" distL="0" distR="0">
            <wp:extent cx="4320000" cy="3240000"/>
            <wp:effectExtent l="0" t="0" r="0" b="0"/>
            <wp:docPr id="5" name="Profit Margin % by Category"/>
            <wp:cNvGraphicFramePr/>
            <a:graphic>
              <a:graphicData uri="http://schemas.openxmlformats.org/drawingml/2006/chart">
                <c:chart r:id="R53f252b8405f42b2"/>
              </a:graphicData>
            </a:graphic>
          </wp:inline>
        </w:drawing>
      </w:r>
    </w:p>
    <w:p w14:paraId="0010006E" w14:textId="0010006F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5: Appliances deliver the best margin at 22%, followed by Furniture (21.2%). All categories maintain healthy 19–22% margins.</w:t>
      </w:r>
    </w:p>
    <w:p w14:paraId="00100070" w14:textId="00100071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3.4 Discount Impact Analysis</w:t>
      </w:r>
    </w:p>
    <w:p w14:paraId="00100072" w14:textId="00100073">
      <w:pPr>
        <w:pStyle w:val="Normal"/>
        <w:spacing w:after="200"/>
      </w:pPr>
      <w:r>
        <w:rPr>
          <w:sz w:val="22"/>
        </w:rPr>
        <w:t xml:space="preserve">Discounts ranging from 0% to 30% are applied across transactions. Analysis shows that higher discounts (15–20%) are more commonly used in the B2B Portal and Retail Store channels. Promotion codes (SAVE10, HOLIDAY20, BLACKFRIDAY25, BACK2WORK, MOM15) are correlated with higher quantities per order but slightly reduced per-unit margins. The most effective promotions maintain margins above 18% while boosting order volumes by 20–35%.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74" w14:textId="00100075">
            <w:r>
              <w:t xml:space="preserve">Category</w:t>
            </w:r>
          </w:p>
        </w:tc>
        <w:tc>
          <w:p w14:paraId="00100076" w14:textId="00100077">
            <w:r>
              <w:t xml:space="preserve">Avg Unit Price</w:t>
            </w:r>
          </w:p>
        </w:tc>
        <w:tc>
          <w:p w14:paraId="00100078" w14:textId="00100079">
            <w:r>
              <w:t xml:space="preserve">Profit Margin</w:t>
            </w:r>
          </w:p>
        </w:tc>
      </w:tr>
      <w:tr>
        <w:trPr/>
        <w:tc>
          <w:p w14:paraId="0010007A" w14:textId="0010007B">
            <w:r>
              <w:t xml:space="preserve">Electronics</w:t>
            </w:r>
          </w:p>
        </w:tc>
        <w:tc>
          <w:p w14:paraId="0010007C" w14:textId="0010007D">
            <w:r>
              <w:t xml:space="preserve">$290.64</w:t>
            </w:r>
          </w:p>
        </w:tc>
        <w:tc>
          <w:p w14:paraId="0010007E" w14:textId="0010007F">
            <w:r>
              <w:t xml:space="preserve">19.4%</w:t>
            </w:r>
          </w:p>
        </w:tc>
      </w:tr>
      <w:tr>
        <w:trPr/>
        <w:tc>
          <w:p w14:paraId="00100080" w14:textId="00100081">
            <w:r>
              <w:t xml:space="preserve">Furniture</w:t>
            </w:r>
          </w:p>
        </w:tc>
        <w:tc>
          <w:p w14:paraId="00100082" w14:textId="00100083">
            <w:r>
              <w:t xml:space="preserve">$341.98</w:t>
            </w:r>
          </w:p>
        </w:tc>
        <w:tc>
          <w:p w14:paraId="00100084" w14:textId="00100085">
            <w:r>
              <w:t xml:space="preserve">21.2%</w:t>
            </w:r>
          </w:p>
        </w:tc>
      </w:tr>
      <w:tr>
        <w:trPr/>
        <w:tc>
          <w:p w14:paraId="00100086" w14:textId="00100087">
            <w:r>
              <w:t xml:space="preserve">Appliances</w:t>
            </w:r>
          </w:p>
        </w:tc>
        <w:tc>
          <w:p w14:paraId="00100088" w14:textId="00100089">
            <w:r>
              <w:t xml:space="preserve">$159.34</w:t>
            </w:r>
          </w:p>
        </w:tc>
        <w:tc>
          <w:p w14:paraId="0010008A" w14:textId="0010008B">
            <w:r>
              <w:t xml:space="preserve">22.0%</w:t>
            </w:r>
          </w:p>
        </w:tc>
      </w:tr>
      <w:tr>
        <w:trPr/>
        <w:tc>
          <w:p w14:paraId="0010008C" w14:textId="0010008D">
            <w:r>
              <w:t xml:space="preserve">Office Supplies</w:t>
            </w:r>
          </w:p>
        </w:tc>
        <w:tc>
          <w:p w14:paraId="0010008E" w14:textId="0010008F">
            <w:r>
              <w:t xml:space="preserve">$80.20</w:t>
            </w:r>
          </w:p>
        </w:tc>
        <w:tc>
          <w:p w14:paraId="00100090" w14:textId="00100091">
            <w:r>
              <w:t xml:space="preserve">19.5%</w:t>
            </w:r>
          </w:p>
        </w:tc>
      </w:tr>
    </w:tbl>
    <w:p w14:paraId="00100092" w14:textId="00100093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4. Product &amp; Category Performance</w:t>
      </w:r>
    </w:p>
    <w:p w14:paraId="00100094" w14:textId="00100095">
      <w:pPr>
        <w:pStyle w:val="Normal"/>
        <w:spacing w:after="200"/>
      </w:pPr>
      <w:r>
        <w:rPr>
          <w:sz w:val="22"/>
        </w:rPr>
        <w:t xml:space="preserve">Electronics is the dominant revenue driver contributing $4,932,145 (59.8% of total). Within Electronics, Laptops (AeroBook 14 and ProBook 16) account for the top 2 products by revenue. Furniture is the second-largest category at $1,989,859 with strong performance from Standing Desks and Meeting Tables.</w:t>
      </w:r>
    </w:p>
    <w:p w14:paraId="00100096" w14:textId="00100097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4.1 Top 5 Products by Revenue (Bar Chart)</w:t>
      </w:r>
    </w:p>
    <w:p w14:paraId="00100098" w14:textId="00100099">
      <w:r>
        <w:drawing>
          <wp:inline distT="0" distB="0" distL="0" distR="0">
            <wp:extent cx="5040000" cy="3240000"/>
            <wp:effectExtent l="0" t="0" r="0" b="0"/>
            <wp:docPr id="6" name="Top 5 Products by Revenue ($)"/>
            <wp:cNvGraphicFramePr/>
            <a:graphic>
              <a:graphicData uri="http://schemas.openxmlformats.org/drawingml/2006/chart">
                <c:chart r:id="R10fce23228844a35"/>
              </a:graphicData>
            </a:graphic>
          </wp:inline>
        </w:drawing>
      </w:r>
    </w:p>
    <w:p w14:paraId="0010009A" w14:textId="0010009B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6: AeroBook 14 Laptop is the top product at $1,382,382, contributing 16.8% of total revenue.</w:t>
      </w:r>
    </w:p>
    <w:p w14:paraId="0010009C" w14:textId="0010009D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4.2 Revenue Share by Category (Pie Chart)</w:t>
      </w:r>
    </w:p>
    <w:p w14:paraId="0010009E" w14:textId="0010009F">
      <w:r>
        <w:drawing>
          <wp:inline distT="0" distB="0" distL="0" distR="0">
            <wp:extent cx="4320000" cy="3240000"/>
            <wp:effectExtent l="0" t="0" r="0" b="0"/>
            <wp:docPr id="7" name="Revenue Share by Product Category"/>
            <wp:cNvGraphicFramePr/>
            <a:graphic>
              <a:graphicData uri="http://schemas.openxmlformats.org/drawingml/2006/chart">
                <c:chart r:id="R03632493fe264d53"/>
              </a:graphicData>
            </a:graphic>
          </wp:inline>
        </w:drawing>
      </w:r>
    </w:p>
    <w:p w14:paraId="001000A0" w14:textId="001000A1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7: Electronics dominates at 59.8% of all revenue. Furniture at 24.1% is a strong secondary category.</w:t>
      </w:r>
    </w:p>
    <w:p w14:paraId="001000A2" w14:textId="001000A3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5. Sales Channel &amp; Shipping Analysis</w:t>
      </w:r>
    </w:p>
    <w:p w14:paraId="001000A4" w14:textId="001000A5">
      <w:pPr>
        <w:pStyle w:val="Normal"/>
        <w:spacing w:after="200"/>
      </w:pPr>
      <w:r>
        <w:rPr>
          <w:sz w:val="22"/>
        </w:rPr>
        <w:t xml:space="preserve">Online is the dominant sales channel, generating $3,118,242 (37.8%). The Retail Store channel follows at $2,452,713 (29.7%). Standard shipping handles the majority of orders (7,754 orders / $3,650,009) while Next Day shipping averages the highest order value with 954 orders totalling $457,887.</w:t>
      </w:r>
    </w:p>
    <w:p w14:paraId="001000A6" w14:textId="001000A7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5.1 Revenue by Shipping Method (Bar Chart)</w:t>
      </w:r>
    </w:p>
    <w:p w14:paraId="001000A8" w14:textId="001000A9">
      <w:r>
        <w:drawing>
          <wp:inline distT="0" distB="0" distL="0" distR="0">
            <wp:extent cx="5040000" cy="2880000"/>
            <wp:effectExtent l="0" t="0" r="0" b="0"/>
            <wp:docPr id="8" name="Revenue by Shipping Method ($)"/>
            <wp:cNvGraphicFramePr/>
            <a:graphic>
              <a:graphicData uri="http://schemas.openxmlformats.org/drawingml/2006/chart">
                <c:chart r:id="R2accec8df18d4ee9"/>
              </a:graphicData>
            </a:graphic>
          </wp:inline>
        </w:drawing>
      </w:r>
    </w:p>
    <w:p w14:paraId="001000AA" w14:textId="001000AB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8: Standard shipping is the most commonly used method ($3.65M), while Next Day generates $480 average order value — the highest of all methods.</w:t>
      </w:r>
    </w:p>
    <w:p w14:paraId="001000AC" w14:textId="001000AD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5.2 Payment Method Distribution (Pie Chart)</w:t>
      </w:r>
    </w:p>
    <w:p w14:paraId="001000AE" w14:textId="001000AF">
      <w:pPr>
        <w:pStyle w:val="Normal"/>
        <w:spacing w:after="120"/>
      </w:pPr>
      <w:r>
        <w:rPr>
          <w:sz w:val="22"/>
        </w:rPr>
        <w:t xml:space="preserve">Credit Card is the preferred payment method (6,820 transactions / 37.8%), followed by Debit Card (3,899 / 21.6%) and PayPal (2,823 / 15.6%).</w:t>
      </w:r>
    </w:p>
    <w:p w14:paraId="001000B0" w14:textId="001000B1">
      <w:r>
        <w:drawing>
          <wp:inline distT="0" distB="0" distL="0" distR="0">
            <wp:extent cx="4320000" cy="3240000"/>
            <wp:effectExtent l="0" t="0" r="0" b="0"/>
            <wp:docPr id="9" name="Transaction Count by Payment Method"/>
            <wp:cNvGraphicFramePr/>
            <a:graphic>
              <a:graphicData uri="http://schemas.openxmlformats.org/drawingml/2006/chart">
                <c:chart r:id="Rca71bceebb5f4ffe"/>
              </a:graphicData>
            </a:graphic>
          </wp:inline>
        </w:drawing>
      </w:r>
    </w:p>
    <w:p w14:paraId="001000B2" w14:textId="001000B3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9: Credit Card dominates at 37.8% of transactions. Digital wallets (PayPal + Apple Pay) combined account for 21.2%.</w:t>
      </w:r>
    </w:p>
    <w:p w14:paraId="001000B4" w14:textId="001000B5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6. Customer Insights</w:t>
      </w:r>
    </w:p>
    <w:p w14:paraId="001000B6" w14:textId="001000B7">
      <w:pPr>
        <w:pStyle w:val="Normal"/>
        <w:spacing w:after="200"/>
      </w:pPr>
      <w:r>
        <w:rPr>
          <w:sz w:val="22"/>
        </w:rPr>
        <w:t xml:space="preserve">The Consumer segment is the largest revenue contributor at $3,672,813 (44.5%), followed by Small Business ($1,424,580 / 17.3%) and Returning Customers ($1,117,471 / 13.5%). Average customer rating across all transactions is 3.99 out of 5.0, indicating strong satisfaction. Customer ages range broadly from 18 to 60+, with no significant gender-based revenue skew.</w:t>
      </w:r>
    </w:p>
    <w:p w14:paraId="001000B8" w14:textId="001000B9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6.1 Revenue by Customer Segment (Bar Chart)</w:t>
      </w:r>
    </w:p>
    <w:p w14:paraId="001000BA" w14:textId="001000BB">
      <w:r>
        <w:drawing>
          <wp:inline distT="0" distB="0" distL="0" distR="0">
            <wp:extent cx="5040000" cy="3240000"/>
            <wp:effectExtent l="0" t="0" r="0" b="0"/>
            <wp:docPr id="10" name="Revenue by Customer Segment ($)"/>
            <wp:cNvGraphicFramePr/>
            <a:graphic>
              <a:graphicData uri="http://schemas.openxmlformats.org/drawingml/2006/chart">
                <c:chart r:id="Rb489f0cbd7b1430a"/>
              </a:graphicData>
            </a:graphic>
          </wp:inline>
        </w:drawing>
      </w:r>
    </w:p>
    <w:p w14:paraId="001000BC" w14:textId="001000BD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10: Consumer segment leads at $3.67M. Premium customers, while fewest in count, show high individual transaction values.</w:t>
      </w:r>
    </w:p>
    <w:p w14:paraId="001000BE" w14:textId="001000BF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6.2 Customer Segment Revenue Share (Pie Chart)</w:t>
      </w:r>
    </w:p>
    <w:p w14:paraId="001000C0" w14:textId="001000C1">
      <w:r>
        <w:drawing>
          <wp:inline distT="0" distB="0" distL="0" distR="0">
            <wp:extent cx="4320000" cy="3240000"/>
            <wp:effectExtent l="0" t="0" r="0" b="0"/>
            <wp:docPr id="11" name="Revenue % by Customer Segment"/>
            <wp:cNvGraphicFramePr/>
            <a:graphic>
              <a:graphicData uri="http://schemas.openxmlformats.org/drawingml/2006/chart">
                <c:chart r:id="R89458d9d1b67455c"/>
              </a:graphicData>
            </a:graphic>
          </wp:inline>
        </w:drawing>
      </w:r>
    </w:p>
    <w:p w14:paraId="001000C2" w14:textId="001000C3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11: Consumer and Small Business together represent 61.8% of all revenue. Loyalty programs could convert New Customers (8.6%) to Returning Customers.</w:t>
      </w:r>
    </w:p>
    <w:p w14:paraId="001000C4" w14:textId="001000C5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7. Returns Analysis</w:t>
      </w:r>
    </w:p>
    <w:p w14:paraId="001000C6" w14:textId="001000C7">
      <w:pPr>
        <w:pStyle w:val="Normal"/>
        <w:spacing w:after="200"/>
      </w:pPr>
      <w:r>
        <w:rPr>
          <w:sz w:val="22"/>
        </w:rPr>
        <w:t xml:space="preserve">The overall return rate is 10.4% (1,877 transactions). Return reasons are distributed fairly evenly across Late Delivery (331 cases / 17.6%), Wrong Item (320 / 17.1%), Damaged (312 / 16.6%), Other (312 / 16.6%), and Defective (302 / 16.1%). This balanced distribution suggests systemic issues across logistics, quality control, and order fulfilment.</w:t>
      </w:r>
    </w:p>
    <w:p w14:paraId="001000C8" w14:textId="001000C9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7.1 Return Rate by Product Category</w:t>
      </w:r>
    </w:p>
    <w:p w14:paraId="001000CA" w14:textId="001000CB">
      <w:pPr>
        <w:pStyle w:val="Normal"/>
        <w:spacing w:after="120"/>
      </w:pPr>
      <w:r>
        <w:rPr>
          <w:sz w:val="22"/>
        </w:rPr>
        <w:t xml:space="preserve">Return rates are consistent across categories, averaging 10–11%. Electronics and Appliances tend to have slightly higher defective/damaged return rates due to the technical nature of the products.</w:t>
      </w:r>
    </w:p>
    <w:p w14:paraId="001000CC" w14:textId="001000CD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7.2 Top Return Reasons (Bar Chart)</w:t>
      </w:r>
    </w:p>
    <w:p w14:paraId="001000CE" w14:textId="001000CF">
      <w:r>
        <w:drawing>
          <wp:inline distT="0" distB="0" distL="0" distR="0">
            <wp:extent cx="5040000" cy="2880000"/>
            <wp:effectExtent l="0" t="0" r="0" b="0"/>
            <wp:docPr id="12" name="Top Return Reasons (Count)"/>
            <wp:cNvGraphicFramePr/>
            <a:graphic>
              <a:graphicData uri="http://schemas.openxmlformats.org/drawingml/2006/chart">
                <c:chart r:id="R3e0f4352499949fa"/>
              </a:graphicData>
            </a:graphic>
          </wp:inline>
        </w:drawing>
      </w:r>
    </w:p>
    <w:p w14:paraId="001000D0" w14:textId="001000D1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12: Late Delivery is the leading cause of returns (331 cases), pointing to logistics optimisation opportunities.</w:t>
      </w:r>
    </w:p>
    <w:p w14:paraId="001000D2" w14:textId="001000D3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8. Geographic Performance</w:t>
      </w:r>
    </w:p>
    <w:p w14:paraId="001000D4" w14:textId="001000D5">
      <w:pPr>
        <w:pStyle w:val="Normal"/>
        <w:spacing w:after="200"/>
      </w:pPr>
      <w:r>
        <w:rPr>
          <w:sz w:val="22"/>
        </w:rPr>
        <w:t xml:space="preserve">The United States is the largest market by revenue at $3,510,740 (42.5%), driven by major cities including New York, Los Angeles, Chicago, and Austin. The United Kingdom ranks second at $1,330,781 (16.1%), followed by Canada ($1,203,731 / 14.6%) and Germany ($965,966 / 11.7%).</w:t>
      </w:r>
    </w:p>
    <w:p w14:paraId="001000D6" w14:textId="001000D7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8.1 Revenue by Country (Bar Chart)</w:t>
      </w:r>
    </w:p>
    <w:p w14:paraId="001000D8" w14:textId="001000D9">
      <w:r>
        <w:drawing>
          <wp:inline distT="0" distB="0" distL="0" distR="0">
            <wp:extent cx="5040000" cy="3240000"/>
            <wp:effectExtent l="0" t="0" r="0" b="0"/>
            <wp:docPr id="13" name="Revenue by Country ($)"/>
            <wp:cNvGraphicFramePr/>
            <a:graphic>
              <a:graphicData uri="http://schemas.openxmlformats.org/drawingml/2006/chart">
                <c:chart r:id="R2308a2473e574a6e"/>
              </a:graphicData>
            </a:graphic>
          </wp:inline>
        </w:drawing>
      </w:r>
    </w:p>
    <w:p w14:paraId="001000DA" w14:textId="001000DB">
      <w:pPr>
        <w:pStyle w:val="Normal"/>
        <w:spacing w:after="200"/>
        <w:jc w:val="center"/>
      </w:pPr>
      <w:r>
        <w:rPr>
          <w:color w:val="595959"/>
          <w:sz w:val="20"/>
        </w:rPr>
        <w:t xml:space="preserve">Figure 13: The US generates 42.5% of total revenue — more than the combined revenue of UK, Canada, and Germany.</w:t>
      </w:r>
    </w:p>
    <w:p w14:paraId="001000DC" w14:textId="001000DD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8.2 Geographic Revenue Share (Pie Chart)</w:t>
      </w:r>
    </w:p>
    <w:p w14:paraId="001000DE" w14:textId="001000DF">
      <w:r>
        <w:drawing>
          <wp:inline distT="0" distB="0" distL="0" distR="0">
            <wp:extent cx="4320000" cy="3240000"/>
            <wp:effectExtent l="0" t="0" r="0" b="0"/>
            <wp:docPr id="14" name="Revenue Share by Country"/>
            <wp:cNvGraphicFramePr/>
            <a:graphic>
              <a:graphicData uri="http://schemas.openxmlformats.org/drawingml/2006/chart">
                <c:chart r:id="R48cbd3c663ba4a6f"/>
              </a:graphicData>
            </a:graphic>
          </wp:inline>
        </w:drawing>
      </w:r>
    </w:p>
    <w:p w14:paraId="001000E0" w14:textId="001000E1">
      <w:pPr>
        <w:pStyle w:val="Normal"/>
        <w:spacing w:after="240"/>
        <w:jc w:val="center"/>
      </w:pPr>
      <w:r>
        <w:rPr>
          <w:color w:val="595959"/>
          <w:sz w:val="20"/>
        </w:rPr>
        <w:t xml:space="preserve">Figure 14: Six countries account for all recorded transactions. Australia (6.2%) has the highest growth potential as an emerging market.</w:t>
      </w:r>
    </w:p>
    <w:p w14:paraId="001000E2" w14:textId="001000E3">
      <w:pPr>
        <w:pStyle w:val="Heading1"/>
        <w:spacing w:before="320" w:after="160"/>
      </w:pPr>
      <w:r>
        <w:rPr>
          <w:b/>
          <w:color w:val="1F3864"/>
          <w:sz w:val="36"/>
        </w:rPr>
        <w:t xml:space="preserve">9. Key Findings &amp; Recommendations</w:t>
      </w:r>
    </w:p>
    <w:p w14:paraId="001000E4" w14:textId="001000E5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9.1 Key Findings</w:t>
      </w:r>
    </w:p>
    <w:p w14:paraId="001000E6" w14:textId="001000E7">
      <w:pPr>
        <w:pStyle w:val="Normal"/>
        <w:spacing w:after="80"/>
      </w:pPr>
      <w:r>
        <w:rPr>
          <w:sz w:val="22"/>
        </w:rPr>
        <w:t xml:space="preserve">1. Electronics is the dominant revenue driver (59.8%) led by Laptops. The AeroBook 14 alone contributes 16.8% of total revenue.</w:t>
      </w:r>
    </w:p>
    <w:p w14:paraId="001000E8" w14:textId="001000E9">
      <w:pPr>
        <w:pStyle w:val="Normal"/>
        <w:spacing w:after="80"/>
      </w:pPr>
      <w:r>
        <w:rPr>
          <w:sz w:val="22"/>
        </w:rPr>
        <w:t xml:space="preserve">2. Revenue grew from $2.01M in 2022 to $2.30M in 2025 (14.3% growth), with a temporary dip in 2024 ($1.91M) indicating possible market softness or data collection gap.</w:t>
      </w:r>
    </w:p>
    <w:p w14:paraId="001000EA" w14:textId="001000EB">
      <w:pPr>
        <w:pStyle w:val="Normal"/>
        <w:spacing w:after="80"/>
      </w:pPr>
      <w:r>
        <w:rPr>
          <w:sz w:val="22"/>
        </w:rPr>
        <w:t xml:space="preserve">3. All categories maintain healthy profit margins of 19–22%, with Appliances achieving the best margin at 22%.</w:t>
      </w:r>
    </w:p>
    <w:p w14:paraId="001000EC" w14:textId="001000ED">
      <w:pPr>
        <w:pStyle w:val="Normal"/>
        <w:spacing w:after="80"/>
      </w:pPr>
      <w:r>
        <w:rPr>
          <w:sz w:val="22"/>
        </w:rPr>
        <w:t xml:space="preserve">4. The Online channel leads revenue (37.8%) but Retail Store shows comparable order value, suggesting physical stores remain strategically important.</w:t>
      </w:r>
    </w:p>
    <w:p w14:paraId="001000EE" w14:textId="001000EF">
      <w:pPr>
        <w:pStyle w:val="Normal"/>
        <w:spacing w:after="80"/>
      </w:pPr>
      <w:r>
        <w:rPr>
          <w:sz w:val="22"/>
        </w:rPr>
        <w:t xml:space="preserve">5. A 10.4% return rate — driven equally by Late Delivery, Wrong Item, and Damaged goods — signals addressable operational issues.</w:t>
      </w:r>
    </w:p>
    <w:p w14:paraId="001000F0" w14:textId="001000F1">
      <w:pPr>
        <w:pStyle w:val="Normal"/>
        <w:spacing w:after="200"/>
      </w:pPr>
      <w:r>
        <w:rPr>
          <w:sz w:val="22"/>
        </w:rPr>
        <w:t xml:space="preserve">6. The United States accounts for 42.5% of revenue, making it disproportionately important. International markets (France, Australia) are underserved growth opportunities.</w:t>
      </w:r>
    </w:p>
    <w:p w14:paraId="001000F2" w14:textId="001000F3">
      <w:pPr>
        <w:pStyle w:val="Heading2"/>
        <w:spacing w:before="160" w:after="120"/>
      </w:pPr>
      <w:r>
        <w:rPr>
          <w:b/>
          <w:color w:val="1F3864"/>
          <w:sz w:val="28"/>
        </w:rPr>
        <w:t xml:space="preserve">9.2 Recommendations</w:t>
      </w:r>
    </w:p>
    <w:p w14:paraId="001000F4" w14:textId="001000F5">
      <w:pPr>
        <w:pStyle w:val="Normal"/>
        <w:spacing w:after="80"/>
      </w:pPr>
      <w:r>
        <w:rPr>
          <w:sz w:val="22"/>
        </w:rPr>
        <w:t xml:space="preserve">1. Expand Appliances category: highest margin at 22% with only $585K revenue — significant headroom for growth with targeted marketing.</w:t>
      </w:r>
    </w:p>
    <w:p w14:paraId="001000F6" w14:textId="001000F7">
      <w:pPr>
        <w:pStyle w:val="Normal"/>
        <w:spacing w:after="80"/>
      </w:pPr>
      <w:r>
        <w:rPr>
          <w:sz w:val="22"/>
        </w:rPr>
        <w:t xml:space="preserve">2. Reduce return rate: Invest in logistics partner SLAs to reduce Late Delivery returns (17.6%) and improve item verification to reduce Wrong Item returns (17.1%).</w:t>
      </w:r>
    </w:p>
    <w:p w14:paraId="001000F8" w14:textId="001000F9">
      <w:pPr>
        <w:pStyle w:val="Normal"/>
        <w:spacing w:after="80"/>
      </w:pPr>
      <w:r>
        <w:rPr>
          <w:sz w:val="22"/>
        </w:rPr>
        <w:t xml:space="preserve">3. Grow international markets: Australia and France are significantly smaller than the US/UK/Canada. Localised marketing and regional pricing strategies could increase their revenue share.</w:t>
      </w:r>
    </w:p>
    <w:p w14:paraId="001000FA" w14:textId="001000FB">
      <w:pPr>
        <w:pStyle w:val="Normal"/>
        <w:spacing w:after="80"/>
      </w:pPr>
      <w:r>
        <w:rPr>
          <w:sz w:val="22"/>
        </w:rPr>
        <w:t xml:space="preserve">4. Convert New Customers to Returning Customers: The New Customer segment ($709K / 8.6%) can be nurtured with post-purchase follow-ups, loyalty programmes, and personalised discount codes.</w:t>
      </w:r>
    </w:p>
    <w:p w14:paraId="001000FC" w14:textId="001000FD">
      <w:pPr>
        <w:pStyle w:val="Normal"/>
        <w:spacing w:after="80"/>
      </w:pPr>
      <w:r>
        <w:rPr>
          <w:sz w:val="22"/>
        </w:rPr>
        <w:t xml:space="preserve">5. Optimise discount strategy: Promotions above 20% show diminishing margin returns. Cap discounts at 15–20% maximum for standard channels, reserving 25%+ for clearance or seasonal events.</w:t>
      </w:r>
    </w:p>
    <w:p w14:paraId="001000FE" w14:textId="001000FF">
      <w:pPr>
        <w:pStyle w:val="Normal"/>
        <w:spacing w:after="320"/>
      </w:pPr>
      <w:r>
        <w:rPr>
          <w:sz w:val="22"/>
        </w:rPr>
        <w:t xml:space="preserve">6. Price elasticity opportunities: Furniture's high ASP ($341.98) with a 21.2% margin allows for moderate price increases (3–5%) in premium segments without significant demand reduction.</w:t>
      </w:r>
    </w:p>
    <w:p w14:paraId="00100100" w14:textId="00100101">
      <w:pPr>
        <w:pStyle w:val="Normal"/>
        <w:spacing w:after="80"/>
        <w:jc w:val="center"/>
      </w:pPr>
      <w:r>
        <w:rPr>
          <w:color w:val="AAAAAA"/>
          <w:sz w:val="20"/>
        </w:rPr>
        <w:t xml:space="preserve">─────────────────────────────────────────────────────────</w:t>
      </w:r>
    </w:p>
    <w:p w14:paraId="00100102" w14:textId="00100103">
      <w:pPr>
        <w:pStyle w:val="Normal"/>
        <w:spacing w:after="80"/>
        <w:jc w:val="center"/>
      </w:pPr>
      <w:r>
        <w:rPr>
          <w:color w:val="757575"/>
          <w:sz w:val="20"/>
        </w:rPr>
        <w:t xml:space="preserve">Report generated from Sales_transactions_2022_2025.csv  |  18,045 transactions  |  Analysis period: Jan 2022 – Dec 2025</w:t>
      </w:r>
    </w:p>
    <w:p w14:paraId="00100104" w14:textId="00100105">
      <w:pPr>
        <w:pStyle w:val="Normal"/>
        <w:spacing w:after="0"/>
        <w:jc w:val="center"/>
      </w:pPr>
      <w:r>
        <w:rPr>
          <w:color w:val="AAAAAA"/>
          <w:sz w:val="18"/>
        </w:rPr>
        <w:t xml:space="preserve">Retail Analytics Platform  |  Python · Streamlit · scikit-learn · Plotly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35ee8aab854466e" /><Relationship Type="http://schemas.openxmlformats.org/officeDocument/2006/relationships/styles" Target="/word/styles.xml" Id="R98fe9217937b43b2" /><Relationship Type="http://schemas.openxmlformats.org/officeDocument/2006/relationships/theme" Target="/word/theme/theme1.xml" Id="Rb8175ab6037b4b6f" /><Relationship Type="http://schemas.openxmlformats.org/officeDocument/2006/relationships/numbering" Target="/word/numbering.xml" Id="R2916366da6474328" /><Relationship Type="http://schemas.openxmlformats.org/officeDocument/2006/relationships/chart" Target="/word/charts/chart1.xml" Id="R62d3d64863f043b7" /><Relationship Type="http://schemas.openxmlformats.org/officeDocument/2006/relationships/chart" Target="/word/charts/chart2.xml" Id="R2ece666a40e544a4" /><Relationship Type="http://schemas.openxmlformats.org/officeDocument/2006/relationships/chart" Target="/word/charts/chart3.xml" Id="R2a3e5810093e4695" /><Relationship Type="http://schemas.openxmlformats.org/officeDocument/2006/relationships/chart" Target="/word/charts/chart4.xml" Id="R48a4408693734d77" /><Relationship Type="http://schemas.openxmlformats.org/officeDocument/2006/relationships/chart" Target="/word/charts/chart5.xml" Id="R53f252b8405f42b2" /><Relationship Type="http://schemas.openxmlformats.org/officeDocument/2006/relationships/chart" Target="/word/charts/chart6.xml" Id="R10fce23228844a35" /><Relationship Type="http://schemas.openxmlformats.org/officeDocument/2006/relationships/chart" Target="/word/charts/chart7.xml" Id="R03632493fe264d53" /><Relationship Type="http://schemas.openxmlformats.org/officeDocument/2006/relationships/chart" Target="/word/charts/chart8.xml" Id="R2accec8df18d4ee9" /><Relationship Type="http://schemas.openxmlformats.org/officeDocument/2006/relationships/chart" Target="/word/charts/chart9.xml" Id="Rca71bceebb5f4ffe" /><Relationship Type="http://schemas.openxmlformats.org/officeDocument/2006/relationships/chart" Target="/word/charts/chart10.xml" Id="Rb489f0cbd7b1430a" /><Relationship Type="http://schemas.openxmlformats.org/officeDocument/2006/relationships/chart" Target="/word/charts/chart11.xml" Id="R89458d9d1b67455c" /><Relationship Type="http://schemas.openxmlformats.org/officeDocument/2006/relationships/chart" Target="/word/charts/chart12.xml" Id="R3e0f4352499949fa" /><Relationship Type="http://schemas.openxmlformats.org/officeDocument/2006/relationships/chart" Target="/word/charts/chart13.xml" Id="R2308a2473e574a6e" /><Relationship Type="http://schemas.openxmlformats.org/officeDocument/2006/relationships/chart" Target="/word/charts/chart14.xml" Id="R48cbd3c663ba4a6f" /></Relationships>
</file>

<file path=word/charts/chart1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Product Category ($)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</c:v>
          </c:tx>
          <c:spPr>
            <a:solidFill xmlns:a="http://schemas.openxmlformats.org/drawingml/2006/main">
              <a:srgbClr val="1F3864"/>
            </a:solidFill>
          </c:spPr>
          <c:invertIfNegative val="0"/>
          <c:cat>
            <c:strLit>
              <c:ptCount val="4"/>
              <c:pt idx="0">
                <c:v>Electronics</c:v>
              </c:pt>
              <c:pt idx="1">
                <c:v>Furniture</c:v>
              </c:pt>
              <c:pt idx="2">
                <c:v>Office Supplies</c:v>
              </c:pt>
              <c:pt idx="3">
                <c:v>Appliances</c:v>
              </c:pt>
            </c:strLit>
          </c:cat>
          <c:val>
            <c:numLit>
              <c:formatCode>General</c:formatCode>
              <c:ptCount val="4"/>
              <c:pt idx="0">
                <c:v>4932145</c:v>
              </c:pt>
              <c:pt idx="1">
                <c:v>1989859</c:v>
              </c:pt>
              <c:pt idx="2">
                <c:v>745040</c:v>
              </c:pt>
              <c:pt idx="3">
                <c:v>585097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2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Share by Sales Channel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Revenue</c:v>
          </c:tx>
          <c:cat>
            <c:strLit>
              <c:ptCount val="4"/>
              <c:pt idx="0">
                <c:v>Online</c:v>
              </c:pt>
              <c:pt idx="1">
                <c:v>Retail Store</c:v>
              </c:pt>
              <c:pt idx="2">
                <c:v>B2B Portal</c:v>
              </c:pt>
              <c:pt idx="3">
                <c:v>Phone Order</c:v>
              </c:pt>
            </c:strLit>
          </c:cat>
          <c:val>
            <c:numLit>
              <c:formatCode>General</c:formatCode>
              <c:ptCount val="4"/>
              <c:pt idx="0">
                <c:v>3118242</c:v>
              </c:pt>
              <c:pt idx="1">
                <c:v>2452713</c:v>
              </c:pt>
              <c:pt idx="2">
                <c:v>2128281</c:v>
              </c:pt>
              <c:pt idx="3">
                <c:v>552906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3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Annual Revenue 2022–2025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Revenue ($)</c:v>
          </c:tx>
          <c:spPr>
            <a:solidFill xmlns:a="http://schemas.openxmlformats.org/drawingml/2006/main">
              <a:srgbClr val="2E75B6"/>
            </a:solidFill>
          </c:spPr>
          <c:invertIfNegative val="0"/>
          <c:cat>
            <c:strLit>
              <c:ptCount val="4"/>
              <c:pt idx="0">
                <c:v>2022</c:v>
              </c:pt>
              <c:pt idx="1">
                <c:v>2023</c:v>
              </c:pt>
              <c:pt idx="2">
                <c:v>2024</c:v>
              </c:pt>
              <c:pt idx="3">
                <c:v>2025</c:v>
              </c:pt>
            </c:strLit>
          </c:cat>
          <c:val>
            <c:numLit>
              <c:formatCode>General</c:formatCode>
              <c:ptCount val="4"/>
              <c:pt idx="0">
                <c:v>2013102</c:v>
              </c:pt>
              <c:pt idx="1">
                <c:v>2024152</c:v>
              </c:pt>
              <c:pt idx="2">
                <c:v>1913629</c:v>
              </c:pt>
              <c:pt idx="3">
                <c:v>2301259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4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Average Unit Price by Category ($)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Avg Price</c:v>
          </c:tx>
          <c:spPr>
            <a:solidFill xmlns:a="http://schemas.openxmlformats.org/drawingml/2006/main">
              <a:srgbClr val="375623"/>
            </a:solidFill>
          </c:spPr>
          <c:invertIfNegative val="0"/>
          <c:cat>
            <c:strLit>
              <c:ptCount val="4"/>
              <c:pt idx="0">
                <c:v>Furniture</c:v>
              </c:pt>
              <c:pt idx="1">
                <c:v>Electronics</c:v>
              </c:pt>
              <c:pt idx="2">
                <c:v>Appliances</c:v>
              </c:pt>
              <c:pt idx="3">
                <c:v>Office Supplies</c:v>
              </c:pt>
            </c:strLit>
          </c:cat>
          <c:val>
            <c:numLit>
              <c:formatCode>General</c:formatCode>
              <c:ptCount val="4"/>
              <c:pt idx="0">
                <c:v>341.98</c:v>
              </c:pt>
              <c:pt idx="1">
                <c:v>290.64</c:v>
              </c:pt>
              <c:pt idx="2">
                <c:v>159.34</c:v>
              </c:pt>
              <c:pt idx="3">
                <c:v>80.2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5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Profit Margin % by Category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Margin %</c:v>
          </c:tx>
          <c:cat>
            <c:strLit>
              <c:ptCount val="4"/>
              <c:pt idx="0">
                <c:v>Appliances</c:v>
              </c:pt>
              <c:pt idx="1">
                <c:v>Furniture</c:v>
              </c:pt>
              <c:pt idx="2">
                <c:v>Office Supplies</c:v>
              </c:pt>
              <c:pt idx="3">
                <c:v>Electronics</c:v>
              </c:pt>
            </c:strLit>
          </c:cat>
          <c:val>
            <c:numLit>
              <c:formatCode>General</c:formatCode>
              <c:ptCount val="4"/>
              <c:pt idx="0">
                <c:v>22</c:v>
              </c:pt>
              <c:pt idx="1">
                <c:v>21.2</c:v>
              </c:pt>
              <c:pt idx="2">
                <c:v>19.5</c:v>
              </c:pt>
              <c:pt idx="3">
                <c:v>19.4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6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Top 5 Products by Revenue ($)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</c:v>
          </c:tx>
          <c:spPr>
            <a:solidFill xmlns:a="http://schemas.openxmlformats.org/drawingml/2006/main">
              <a:srgbClr val="7030A0"/>
            </a:solidFill>
          </c:spPr>
          <c:invertIfNegative val="0"/>
          <c:cat>
            <c:strLit>
              <c:ptCount val="5"/>
              <c:pt idx="0">
                <c:v>AeroBook 14 Laptop</c:v>
              </c:pt>
              <c:pt idx="1">
                <c:v>ProBook 16 Laptop</c:v>
              </c:pt>
              <c:pt idx="2">
                <c:v>EdgeTab 11 Tablet</c:v>
              </c:pt>
              <c:pt idx="3">
                <c:v>Standing Desk</c:v>
              </c:pt>
              <c:pt idx="4">
                <c:v>Meeting Table</c:v>
              </c:pt>
            </c:strLit>
          </c:cat>
          <c:val>
            <c:numLit>
              <c:formatCode>General</c:formatCode>
              <c:ptCount val="5"/>
              <c:pt idx="0">
                <c:v>1382382</c:v>
              </c:pt>
              <c:pt idx="1">
                <c:v>1350069</c:v>
              </c:pt>
              <c:pt idx="2">
                <c:v>675691</c:v>
              </c:pt>
              <c:pt idx="3">
                <c:v>590086</c:v>
              </c:pt>
              <c:pt idx="4">
                <c:v>530253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7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Share by Product Category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Revenue</c:v>
          </c:tx>
          <c:cat>
            <c:strLit>
              <c:ptCount val="4"/>
              <c:pt idx="0">
                <c:v>Electronics</c:v>
              </c:pt>
              <c:pt idx="1">
                <c:v>Furniture</c:v>
              </c:pt>
              <c:pt idx="2">
                <c:v>Office Supplies</c:v>
              </c:pt>
              <c:pt idx="3">
                <c:v>Appliances</c:v>
              </c:pt>
            </c:strLit>
          </c:cat>
          <c:val>
            <c:numLit>
              <c:formatCode>General</c:formatCode>
              <c:ptCount val="4"/>
              <c:pt idx="0">
                <c:v>4932145</c:v>
              </c:pt>
              <c:pt idx="1">
                <c:v>1989859</c:v>
              </c:pt>
              <c:pt idx="2">
                <c:v>745040</c:v>
              </c:pt>
              <c:pt idx="3">
                <c:v>585097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8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Shipping Method ($)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Revenue</c:v>
          </c:tx>
          <c:spPr>
            <a:solidFill xmlns:a="http://schemas.openxmlformats.org/drawingml/2006/main">
              <a:srgbClr val="2E75B6"/>
            </a:solidFill>
          </c:spPr>
          <c:invertIfNegative val="0"/>
          <c:cat>
            <c:strLit>
              <c:ptCount val="4"/>
              <c:pt idx="0">
                <c:v>Standard</c:v>
              </c:pt>
              <c:pt idx="1">
                <c:v>Pickup</c:v>
              </c:pt>
              <c:pt idx="2">
                <c:v>Express</c:v>
              </c:pt>
              <c:pt idx="3">
                <c:v>Next Day</c:v>
              </c:pt>
            </c:strLit>
          </c:cat>
          <c:val>
            <c:numLit>
              <c:formatCode>General</c:formatCode>
              <c:ptCount val="4"/>
              <c:pt idx="0">
                <c:v>3650009</c:v>
              </c:pt>
              <c:pt idx="1">
                <c:v>3002427</c:v>
              </c:pt>
              <c:pt idx="2">
                <c:v>1141818</c:v>
              </c:pt>
              <c:pt idx="3">
                <c:v>457887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9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Transaction Count by Payment Method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Transactions</c:v>
          </c:tx>
          <c:cat>
            <c:strLit>
              <c:ptCount val="6"/>
              <c:pt idx="0">
                <c:v>Credit Card</c:v>
              </c:pt>
              <c:pt idx="1">
                <c:v>Debit Card</c:v>
              </c:pt>
              <c:pt idx="2">
                <c:v>PayPal</c:v>
              </c:pt>
              <c:pt idx="3">
                <c:v>Bank Transfer</c:v>
              </c:pt>
              <c:pt idx="4">
                <c:v>Apple Pay</c:v>
              </c:pt>
              <c:pt idx="5">
                <c:v>Cash</c:v>
              </c:pt>
            </c:strLit>
          </c:cat>
          <c:val>
            <c:numLit>
              <c:formatCode>General</c:formatCode>
              <c:ptCount val="6"/>
              <c:pt idx="0">
                <c:v>6820</c:v>
              </c:pt>
              <c:pt idx="1">
                <c:v>3899</c:v>
              </c:pt>
              <c:pt idx="2">
                <c:v>2823</c:v>
              </c:pt>
              <c:pt idx="3">
                <c:v>2160</c:v>
              </c:pt>
              <c:pt idx="4">
                <c:v>1088</c:v>
              </c:pt>
              <c:pt idx="5">
                <c:v>1042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10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Customer Segment ($)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Revenue</c:v>
          </c:tx>
          <c:spPr>
            <a:solidFill xmlns:a="http://schemas.openxmlformats.org/drawingml/2006/main">
              <a:srgbClr val="C55A11"/>
            </a:solidFill>
          </c:spPr>
          <c:invertIfNegative val="0"/>
          <c:cat>
            <c:strLit>
              <c:ptCount val="6"/>
              <c:pt idx="0">
                <c:v>Consumer</c:v>
              </c:pt>
              <c:pt idx="1">
                <c:v>Small Business</c:v>
              </c:pt>
              <c:pt idx="2">
                <c:v>Returning Customer</c:v>
              </c:pt>
              <c:pt idx="3">
                <c:v>Corporate</c:v>
              </c:pt>
              <c:pt idx="4">
                <c:v>New Customer</c:v>
              </c:pt>
              <c:pt idx="5">
                <c:v>Premium</c:v>
              </c:pt>
            </c:strLit>
          </c:cat>
          <c:val>
            <c:numLit>
              <c:formatCode>General</c:formatCode>
              <c:ptCount val="6"/>
              <c:pt idx="0">
                <c:v>3672813</c:v>
              </c:pt>
              <c:pt idx="1">
                <c:v>1424580</c:v>
              </c:pt>
              <c:pt idx="2">
                <c:v>1117471</c:v>
              </c:pt>
              <c:pt idx="3">
                <c:v>947035</c:v>
              </c:pt>
              <c:pt idx="4">
                <c:v>709567</c:v>
              </c:pt>
              <c:pt idx="5">
                <c:v>380675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1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% by Customer Segment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Revenue</c:v>
          </c:tx>
          <c:cat>
            <c:strLit>
              <c:ptCount val="6"/>
              <c:pt idx="0">
                <c:v>Consumer</c:v>
              </c:pt>
              <c:pt idx="1">
                <c:v>Small Business</c:v>
              </c:pt>
              <c:pt idx="2">
                <c:v>Returning Customer</c:v>
              </c:pt>
              <c:pt idx="3">
                <c:v>Corporate</c:v>
              </c:pt>
              <c:pt idx="4">
                <c:v>New Customer</c:v>
              </c:pt>
              <c:pt idx="5">
                <c:v>Premium</c:v>
              </c:pt>
            </c:strLit>
          </c:cat>
          <c:val>
            <c:numLit>
              <c:formatCode>General</c:formatCode>
              <c:ptCount val="6"/>
              <c:pt idx="0">
                <c:v>3672813</c:v>
              </c:pt>
              <c:pt idx="1">
                <c:v>1424580</c:v>
              </c:pt>
              <c:pt idx="2">
                <c:v>1117471</c:v>
              </c:pt>
              <c:pt idx="3">
                <c:v>947035</c:v>
              </c:pt>
              <c:pt idx="4">
                <c:v>709567</c:v>
              </c:pt>
              <c:pt idx="5">
                <c:v>380675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charts/chart12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Top Return Reasons (Count)</a:t>
            </a:r>
          </a:p>
        </c:rich>
      </c:tx>
      <c:overlay val="0"/>
    </c:title>
    <c:plotArea>
      <c:layout/>
      <c:barChart>
        <c:barDir val="bar"/>
        <c:grouping val="clustered"/>
        <c:varyColors val="0"/>
        <c:ser>
          <c:idx val="0"/>
          <c:order val="0"/>
          <c:tx>
            <c:v>Returns</c:v>
          </c:tx>
          <c:spPr>
            <a:solidFill xmlns:a="http://schemas.openxmlformats.org/drawingml/2006/main">
              <a:srgbClr val="C00000"/>
            </a:solidFill>
          </c:spPr>
          <c:invertIfNegative val="0"/>
          <c:cat>
            <c:strLit>
              <c:ptCount val="5"/>
              <c:pt idx="0">
                <c:v>Late Delivery</c:v>
              </c:pt>
              <c:pt idx="1">
                <c:v>Wrong Item</c:v>
              </c:pt>
              <c:pt idx="2">
                <c:v>Damaged</c:v>
              </c:pt>
              <c:pt idx="3">
                <c:v>Other</c:v>
              </c:pt>
              <c:pt idx="4">
                <c:v>Defective</c:v>
              </c:pt>
            </c:strLit>
          </c:cat>
          <c:val>
            <c:numLit>
              <c:formatCode>General</c:formatCode>
              <c:ptCount val="5"/>
              <c:pt idx="0">
                <c:v>331</c:v>
              </c:pt>
              <c:pt idx="1">
                <c:v>320</c:v>
              </c:pt>
              <c:pt idx="2">
                <c:v>312</c:v>
              </c:pt>
              <c:pt idx="3">
                <c:v>312</c:v>
              </c:pt>
              <c:pt idx="4">
                <c:v>302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3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by Country ($)</a:t>
            </a:r>
          </a:p>
        </c:rich>
      </c:tx>
      <c:overlay val="0"/>
    </c:title>
    <c:plotArea>
      <c:layout/>
      <c:barChart>
        <c:barDir val="col"/>
        <c:grouping val="clustered"/>
        <c:varyColors val="0"/>
        <c:ser>
          <c:idx val="0"/>
          <c:order val="0"/>
          <c:tx>
            <c:v>Revenue</c:v>
          </c:tx>
          <c:spPr>
            <a:solidFill xmlns:a="http://schemas.openxmlformats.org/drawingml/2006/main">
              <a:srgbClr val="1F4E79"/>
            </a:solidFill>
          </c:spPr>
          <c:invertIfNegative val="0"/>
          <c:cat>
            <c:strLit>
              <c:ptCount val="6"/>
              <c:pt idx="0">
                <c:v>United States</c:v>
              </c:pt>
              <c:pt idx="1">
                <c:v>United Kingdom</c:v>
              </c:pt>
              <c:pt idx="2">
                <c:v>Canada</c:v>
              </c:pt>
              <c:pt idx="3">
                <c:v>Germany</c:v>
              </c:pt>
              <c:pt idx="4">
                <c:v>France</c:v>
              </c:pt>
              <c:pt idx="5">
                <c:v>Australia</c:v>
              </c:pt>
            </c:strLit>
          </c:cat>
          <c:val>
            <c:numLit>
              <c:formatCode>General</c:formatCode>
              <c:ptCount val="6"/>
              <c:pt idx="0">
                <c:v>3510740</c:v>
              </c:pt>
              <c:pt idx="1">
                <c:v>1330781</c:v>
              </c:pt>
              <c:pt idx="2">
                <c:v>1203731</c:v>
              </c:pt>
              <c:pt idx="3">
                <c:v>965966</c:v>
              </c:pt>
              <c:pt idx="4">
                <c:v>727619</c:v>
              </c:pt>
              <c:pt idx="5">
                <c:v>513305</c:v>
              </c:pt>
            </c:numLit>
          </c:val>
        </c:ser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out"/>
        <c:minorTickMark val="none"/>
        <c:tickLblPos val="nextTo"/>
        <c:crossAx val="2"/>
        <c:crosses val="autoZero"/>
        <c:auto val="1"/>
        <c:lblAlgn val="ctr"/>
        <c:lblOffset val="100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gap"/>
  </c:chart>
</c:chartSpace>
</file>

<file path=word/charts/chart14.xml><?xml version="1.0" encoding="utf-8"?>
<c:chartSpace xmlns:c="http://schemas.openxmlformats.org/drawingml/2006/chart">
  <c:date1904 val="0"/>
  <c:chart>
    <c:title>
      <c:tx>
        <c:rich>
          <a:bodyPr xmlns:a="http://schemas.openxmlformats.org/drawingml/2006/main"/>
          <a:lstStyle xmlns:a="http://schemas.openxmlformats.org/drawingml/2006/main"/>
          <a:p xmlns:a="http://schemas.openxmlformats.org/drawingml/2006/main">
            <a:pPr>
              <a:defRPr sz="1400" b="1"/>
            </a:pPr>
            <a:r>
              <a:rPr lang="en-US" sz="1400" b="1"/>
              <a:t>Revenue Share by Country</a:t>
            </a:r>
          </a:p>
        </c:rich>
      </c:tx>
      <c:overlay val="0"/>
    </c:title>
    <c:plotArea>
      <c:layout/>
      <c:pieChart>
        <c:varyColors val="1"/>
        <c:ser>
          <c:idx val="0"/>
          <c:order val="0"/>
          <c:tx>
            <c:v>Revenue</c:v>
          </c:tx>
          <c:cat>
            <c:strLit>
              <c:ptCount val="6"/>
              <c:pt idx="0">
                <c:v>United States</c:v>
              </c:pt>
              <c:pt idx="1">
                <c:v>United Kingdom</c:v>
              </c:pt>
              <c:pt idx="2">
                <c:v>Canada</c:v>
              </c:pt>
              <c:pt idx="3">
                <c:v>Germany</c:v>
              </c:pt>
              <c:pt idx="4">
                <c:v>France</c:v>
              </c:pt>
              <c:pt idx="5">
                <c:v>Australia</c:v>
              </c:pt>
            </c:strLit>
          </c:cat>
          <c:val>
            <c:numLit>
              <c:formatCode>General</c:formatCode>
              <c:ptCount val="6"/>
              <c:pt idx="0">
                <c:v>3510740</c:v>
              </c:pt>
              <c:pt idx="1">
                <c:v>1330781</c:v>
              </c:pt>
              <c:pt idx="2">
                <c:v>1203731</c:v>
              </c:pt>
              <c:pt idx="3">
                <c:v>965966</c:v>
              </c:pt>
              <c:pt idx="4">
                <c:v>727619</c:v>
              </c:pt>
              <c:pt idx="5">
                <c:v>513305</c:v>
              </c:pt>
            </c:numLit>
          </c:val>
        </c:ser>
      </c:pieChart>
    </c:plotArea>
    <c:legend>
      <c:legendPos val="b"/>
      <c:overlay val="0"/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2026-10-19T09:47:54Z</dcterms:created>
  <cp:lastModifiedBy>OfficeCLI</cp:lastModifiedBy>
  <dcterms:modified xsi:type="dcterms:W3CDTF">2026-10-19T09:47:54Z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2026-10-19T09:57:00Z</vt:lpwstr>
  </op:property>
</op:Properties>
</file>