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BCB37" w14:textId="6F084B39" w:rsidR="001F65B0" w:rsidRDefault="004110BE">
      <w:r>
        <w:t xml:space="preserve">Q1  </w:t>
      </w:r>
      <w:r w:rsidRPr="004110BE">
        <w:t>The analysis identifies several products with prices exceeding the overall average product price</w:t>
      </w:r>
      <w:r>
        <w:t xml:space="preserve"> while the average is 356.9</w:t>
      </w:r>
      <w:r w:rsidRPr="004110BE">
        <w:t xml:space="preserve">. These tend to be </w:t>
      </w:r>
      <w:r w:rsidRPr="004110BE">
        <w:rPr>
          <w:b/>
          <w:bCs/>
        </w:rPr>
        <w:t>industrial-grade and advanced system components</w:t>
      </w:r>
      <w:r w:rsidRPr="004110BE">
        <w:t xml:space="preserve">, such as control units, IoT gateways, and smart controllers. Products like </w:t>
      </w:r>
      <w:r w:rsidRPr="004110BE">
        <w:rPr>
          <w:i/>
          <w:iCs/>
        </w:rPr>
        <w:t>IoT Gateway - Industrial (48V)</w:t>
      </w:r>
      <w:r w:rsidRPr="004110BE">
        <w:t xml:space="preserve"> and </w:t>
      </w:r>
      <w:r w:rsidRPr="004110BE">
        <w:rPr>
          <w:i/>
          <w:iCs/>
        </w:rPr>
        <w:t>Smart Controller - Industrial (24V)</w:t>
      </w:r>
      <w:r w:rsidRPr="004110BE">
        <w:t xml:space="preserve"> fall into this category, indicating that </w:t>
      </w:r>
      <w:r w:rsidRPr="004110BE">
        <w:rPr>
          <w:b/>
          <w:bCs/>
        </w:rPr>
        <w:t>higher pricing is associated with more complex, industrial-use equipment</w:t>
      </w:r>
      <w:r w:rsidRPr="004110BE">
        <w:t>.</w:t>
      </w:r>
    </w:p>
    <w:p w14:paraId="6198387B" w14:textId="77777777" w:rsidR="004110BE" w:rsidRDefault="004110BE"/>
    <w:p w14:paraId="696528A9" w14:textId="4AAA9EB3" w:rsidR="004110BE" w:rsidRDefault="004110BE">
      <w:r>
        <w:t xml:space="preserve">Q2 </w:t>
      </w:r>
      <w:r w:rsidRPr="004110BE">
        <w:t xml:space="preserve">The dataset </w:t>
      </w:r>
      <w:r w:rsidR="0012145A">
        <w:t xml:space="preserve">of 396 out of 1489 making 26.5% </w:t>
      </w:r>
      <w:r w:rsidRPr="004110BE">
        <w:t xml:space="preserve">customers who have </w:t>
      </w:r>
      <w:r w:rsidRPr="004110BE">
        <w:rPr>
          <w:b/>
          <w:bCs/>
        </w:rPr>
        <w:t>no recorded transactions/orders</w:t>
      </w:r>
      <w:r w:rsidRPr="004110BE">
        <w:t xml:space="preserve">. These customers represent </w:t>
      </w:r>
      <w:r w:rsidRPr="004110BE">
        <w:rPr>
          <w:b/>
          <w:bCs/>
        </w:rPr>
        <w:t>untapped or inactive accounts</w:t>
      </w:r>
      <w:r w:rsidRPr="004110BE">
        <w:t xml:space="preserve">, such as </w:t>
      </w:r>
      <w:r w:rsidRPr="004110BE">
        <w:rPr>
          <w:i/>
          <w:iCs/>
        </w:rPr>
        <w:t>Lewis, Vazquez and Hobbs</w:t>
      </w:r>
      <w:r w:rsidRPr="004110BE">
        <w:t xml:space="preserve"> and </w:t>
      </w:r>
      <w:r w:rsidRPr="004110BE">
        <w:rPr>
          <w:i/>
          <w:iCs/>
        </w:rPr>
        <w:t>Turner Group</w:t>
      </w:r>
      <w:r w:rsidRPr="004110BE">
        <w:t xml:space="preserve">. This segment is important for </w:t>
      </w:r>
      <w:r w:rsidRPr="004110BE">
        <w:rPr>
          <w:b/>
          <w:bCs/>
        </w:rPr>
        <w:t>re-engagement strategies</w:t>
      </w:r>
      <w:r w:rsidRPr="004110BE">
        <w:t>, targeted marketing, or identifying potential onboarding issues in the sales funnel.</w:t>
      </w:r>
    </w:p>
    <w:p w14:paraId="3B995F69" w14:textId="77777777" w:rsidR="004110BE" w:rsidRDefault="004110BE"/>
    <w:p w14:paraId="5FB9990D" w14:textId="2189DEBA" w:rsidR="004110BE" w:rsidRPr="004110BE" w:rsidRDefault="004110BE" w:rsidP="004110BE">
      <w:pPr>
        <w:rPr>
          <w:lang w:val="en-IN"/>
        </w:rPr>
      </w:pPr>
      <w:r>
        <w:t xml:space="preserve">Q3 With </w:t>
      </w:r>
      <w:r w:rsidRPr="004110BE">
        <w:t xml:space="preserve">Total Sales = 22,362,638 </w:t>
      </w:r>
      <w:r>
        <w:t xml:space="preserve">and </w:t>
      </w:r>
      <w:r w:rsidRPr="004110BE">
        <w:t>Top 10 Sales =    3,213,509 (14.3%)</w:t>
      </w:r>
      <w:r>
        <w:t xml:space="preserve"> </w:t>
      </w:r>
      <w:r w:rsidRPr="004110BE">
        <w:rPr>
          <w:lang w:val="en-IN"/>
        </w:rPr>
        <w:t xml:space="preserve">The top-performing products by revenue are dominated by </w:t>
      </w:r>
      <w:r w:rsidRPr="004110BE">
        <w:rPr>
          <w:b/>
          <w:bCs/>
          <w:lang w:val="en-IN"/>
        </w:rPr>
        <w:t>industrial automation and sensor-related equipment</w:t>
      </w:r>
      <w:r w:rsidRPr="004110BE">
        <w:rPr>
          <w:lang w:val="en-IN"/>
        </w:rPr>
        <w:t>. Leading items include:</w:t>
      </w:r>
    </w:p>
    <w:p w14:paraId="6E317F02" w14:textId="77777777" w:rsidR="004110BE" w:rsidRPr="004110BE" w:rsidRDefault="004110BE" w:rsidP="004110BE">
      <w:pPr>
        <w:numPr>
          <w:ilvl w:val="0"/>
          <w:numId w:val="1"/>
        </w:numPr>
        <w:rPr>
          <w:lang w:val="en-IN"/>
        </w:rPr>
      </w:pPr>
      <w:r w:rsidRPr="004110BE">
        <w:rPr>
          <w:i/>
          <w:iCs/>
          <w:lang w:val="en-IN"/>
        </w:rPr>
        <w:t>Automation Controller - Industrial (48V)</w:t>
      </w:r>
      <w:r w:rsidRPr="004110BE">
        <w:rPr>
          <w:lang w:val="en-IN"/>
        </w:rPr>
        <w:t xml:space="preserve"> (~398K revenue) </w:t>
      </w:r>
    </w:p>
    <w:p w14:paraId="7BE25028" w14:textId="77777777" w:rsidR="004110BE" w:rsidRPr="004110BE" w:rsidRDefault="004110BE" w:rsidP="004110BE">
      <w:pPr>
        <w:numPr>
          <w:ilvl w:val="0"/>
          <w:numId w:val="1"/>
        </w:numPr>
        <w:rPr>
          <w:lang w:val="en-IN"/>
        </w:rPr>
      </w:pPr>
      <w:r w:rsidRPr="004110BE">
        <w:rPr>
          <w:i/>
          <w:iCs/>
          <w:lang w:val="en-IN"/>
        </w:rPr>
        <w:t>Sensor Module - Industrial (48V)</w:t>
      </w:r>
      <w:r w:rsidRPr="004110BE">
        <w:rPr>
          <w:lang w:val="en-IN"/>
        </w:rPr>
        <w:t xml:space="preserve"> (~396K revenue) </w:t>
      </w:r>
    </w:p>
    <w:p w14:paraId="342A060B" w14:textId="77777777" w:rsidR="004110BE" w:rsidRPr="004110BE" w:rsidRDefault="004110BE" w:rsidP="004110BE">
      <w:pPr>
        <w:numPr>
          <w:ilvl w:val="0"/>
          <w:numId w:val="1"/>
        </w:numPr>
        <w:rPr>
          <w:lang w:val="en-IN"/>
        </w:rPr>
      </w:pPr>
      <w:r w:rsidRPr="004110BE">
        <w:rPr>
          <w:i/>
          <w:iCs/>
          <w:lang w:val="en-IN"/>
        </w:rPr>
        <w:t>Sensor Module - Industrial (5V)</w:t>
      </w:r>
      <w:r w:rsidRPr="004110BE">
        <w:rPr>
          <w:lang w:val="en-IN"/>
        </w:rPr>
        <w:t xml:space="preserve"> (~335K revenue) </w:t>
      </w:r>
    </w:p>
    <w:p w14:paraId="4B36A30C" w14:textId="77777777" w:rsidR="004110BE" w:rsidRPr="004110BE" w:rsidRDefault="004110BE" w:rsidP="004110BE">
      <w:pPr>
        <w:rPr>
          <w:lang w:val="en-IN"/>
        </w:rPr>
      </w:pPr>
      <w:r w:rsidRPr="004110BE">
        <w:rPr>
          <w:lang w:val="en-IN"/>
        </w:rPr>
        <w:t xml:space="preserve">This shows that </w:t>
      </w:r>
      <w:r w:rsidRPr="004110BE">
        <w:rPr>
          <w:b/>
          <w:bCs/>
          <w:lang w:val="en-IN"/>
        </w:rPr>
        <w:t>automation controllers, sensor modules, and communication/driver circuits are the primary revenue drivers</w:t>
      </w:r>
      <w:r w:rsidRPr="004110BE">
        <w:rPr>
          <w:lang w:val="en-IN"/>
        </w:rPr>
        <w:t>, indicating strong demand in industrial and IoT infrastructure markets.</w:t>
      </w:r>
    </w:p>
    <w:p w14:paraId="18F3DC39" w14:textId="0A19CF0A" w:rsidR="004110BE" w:rsidRDefault="004110BE"/>
    <w:p w14:paraId="22D02E7C" w14:textId="735BCF11" w:rsidR="004110BE" w:rsidRDefault="004110BE">
      <w:r>
        <w:t>Q4</w:t>
      </w:r>
    </w:p>
    <w:p w14:paraId="282CCCCA" w14:textId="2F45F193" w:rsidR="004110BE" w:rsidRPr="004110BE" w:rsidRDefault="004110BE" w:rsidP="004110BE">
      <w:pPr>
        <w:numPr>
          <w:ilvl w:val="0"/>
          <w:numId w:val="2"/>
        </w:numPr>
        <w:rPr>
          <w:lang w:val="en-IN"/>
        </w:rPr>
      </w:pPr>
      <w:r w:rsidRPr="004110BE">
        <w:rPr>
          <w:lang w:val="en-IN"/>
        </w:rPr>
        <w:t xml:space="preserve">The </w:t>
      </w:r>
      <w:r w:rsidRPr="004110BE">
        <w:rPr>
          <w:b/>
          <w:bCs/>
          <w:lang w:val="en-IN"/>
        </w:rPr>
        <w:t>average order value (AOV)</w:t>
      </w:r>
      <w:r w:rsidRPr="004110BE">
        <w:rPr>
          <w:lang w:val="en-IN"/>
        </w:rPr>
        <w:t xml:space="preserve"> is approximately </w:t>
      </w:r>
      <w:r w:rsidRPr="004110BE">
        <w:rPr>
          <w:b/>
          <w:bCs/>
          <w:lang w:val="en-IN"/>
        </w:rPr>
        <w:t>17,428</w:t>
      </w:r>
      <w:r w:rsidR="00856AD1">
        <w:rPr>
          <w:lang w:val="en-IN"/>
        </w:rPr>
        <w:t xml:space="preserve"> and sub total of 16,243,107 accounts 73% of total slaes</w:t>
      </w:r>
    </w:p>
    <w:p w14:paraId="59B9311B" w14:textId="77777777" w:rsidR="004110BE" w:rsidRPr="004110BE" w:rsidRDefault="004110BE" w:rsidP="004110BE">
      <w:pPr>
        <w:numPr>
          <w:ilvl w:val="0"/>
          <w:numId w:val="2"/>
        </w:numPr>
        <w:rPr>
          <w:lang w:val="en-IN"/>
        </w:rPr>
      </w:pPr>
      <w:r w:rsidRPr="004110BE">
        <w:rPr>
          <w:lang w:val="en-IN"/>
        </w:rPr>
        <w:t xml:space="preserve">Orders exceeding this value are considered </w:t>
      </w:r>
      <w:r w:rsidRPr="004110BE">
        <w:rPr>
          <w:b/>
          <w:bCs/>
          <w:lang w:val="en-IN"/>
        </w:rPr>
        <w:t>above-average transactions</w:t>
      </w:r>
      <w:r w:rsidRPr="004110BE">
        <w:rPr>
          <w:lang w:val="en-IN"/>
        </w:rPr>
        <w:t xml:space="preserve">, with the highest reaching </w:t>
      </w:r>
      <w:r w:rsidRPr="004110BE">
        <w:rPr>
          <w:b/>
          <w:bCs/>
          <w:lang w:val="en-IN"/>
        </w:rPr>
        <w:t>35,424</w:t>
      </w:r>
      <w:r w:rsidRPr="004110BE">
        <w:rPr>
          <w:lang w:val="en-IN"/>
        </w:rPr>
        <w:t xml:space="preserve">. </w:t>
      </w:r>
    </w:p>
    <w:p w14:paraId="309DBCD7" w14:textId="77777777" w:rsidR="004110BE" w:rsidRDefault="004110BE" w:rsidP="004110BE">
      <w:pPr>
        <w:rPr>
          <w:lang w:val="en-IN"/>
        </w:rPr>
      </w:pPr>
      <w:r w:rsidRPr="004110BE">
        <w:rPr>
          <w:lang w:val="en-IN"/>
        </w:rPr>
        <w:t xml:space="preserve">A significant number of orders fall above this threshold, particularly those in the </w:t>
      </w:r>
      <w:r w:rsidRPr="004110BE">
        <w:rPr>
          <w:b/>
          <w:bCs/>
          <w:lang w:val="en-IN"/>
        </w:rPr>
        <w:t>upper quartile (above ~20,557)</w:t>
      </w:r>
      <w:r w:rsidRPr="004110BE">
        <w:rPr>
          <w:lang w:val="en-IN"/>
        </w:rPr>
        <w:t xml:space="preserve">, indicating the presence of </w:t>
      </w:r>
      <w:r w:rsidRPr="004110BE">
        <w:rPr>
          <w:b/>
          <w:bCs/>
          <w:lang w:val="en-IN"/>
        </w:rPr>
        <w:t>high-value bulk or enterprise purchases</w:t>
      </w:r>
      <w:r w:rsidRPr="004110BE">
        <w:rPr>
          <w:lang w:val="en-IN"/>
        </w:rPr>
        <w:t>. These orders likely come from business clients purchasing industrial components in larger quantities.</w:t>
      </w:r>
    </w:p>
    <w:p w14:paraId="52838DB6" w14:textId="77777777" w:rsidR="005430A1" w:rsidRDefault="005430A1" w:rsidP="004110BE">
      <w:pPr>
        <w:rPr>
          <w:lang w:val="en-IN"/>
        </w:rPr>
      </w:pPr>
    </w:p>
    <w:p w14:paraId="0B200564" w14:textId="77777777" w:rsidR="005430A1" w:rsidRDefault="005430A1" w:rsidP="004110BE">
      <w:pPr>
        <w:rPr>
          <w:lang w:val="en-IN"/>
        </w:rPr>
      </w:pPr>
    </w:p>
    <w:p w14:paraId="2CE37B2C" w14:textId="77777777" w:rsidR="005430A1" w:rsidRDefault="005430A1" w:rsidP="004110BE">
      <w:pPr>
        <w:rPr>
          <w:lang w:val="en-IN"/>
        </w:rPr>
      </w:pPr>
    </w:p>
    <w:p w14:paraId="06194FF7" w14:textId="77777777" w:rsidR="004110BE" w:rsidRDefault="004110BE" w:rsidP="004110BE">
      <w:pPr>
        <w:rPr>
          <w:lang w:val="en-IN"/>
        </w:rPr>
      </w:pPr>
    </w:p>
    <w:p w14:paraId="3F58CC4E" w14:textId="5668985F" w:rsidR="004110BE" w:rsidRDefault="005430A1" w:rsidP="005430A1">
      <w:r>
        <w:lastRenderedPageBreak/>
        <w:t xml:space="preserve">Q5 </w:t>
      </w:r>
      <w:r w:rsidRPr="005430A1">
        <w:t xml:space="preserve">Products in the Apex Collection are ranked in descending order based on total quantity ordered, with </w:t>
      </w:r>
      <w:r w:rsidRPr="005430A1">
        <w:rPr>
          <w:i/>
          <w:iCs/>
        </w:rPr>
        <w:t>Communication Module - Standard (12V)</w:t>
      </w:r>
      <w:r w:rsidRPr="005430A1">
        <w:t xml:space="preserve"> leading in demand, followed by </w:t>
      </w:r>
      <w:r w:rsidRPr="005430A1">
        <w:rPr>
          <w:i/>
          <w:iCs/>
        </w:rPr>
        <w:t>Charging Controller - Lite (12V)</w:t>
      </w:r>
      <w:r w:rsidRPr="005430A1">
        <w:t xml:space="preserve"> and </w:t>
      </w:r>
      <w:r w:rsidRPr="005430A1">
        <w:rPr>
          <w:i/>
          <w:iCs/>
        </w:rPr>
        <w:t>Power Supply Unit - Pro (48V)</w:t>
      </w:r>
      <w:r w:rsidRPr="005430A1">
        <w:t>, while lower-demand products appear at the bottom and equal quantities result in tied ranks. This indicates that communication and charging-related products are the most preferred, highlighting key high-demand categories within the collection.</w:t>
      </w:r>
    </w:p>
    <w:p w14:paraId="4DA32D6A" w14:textId="77777777" w:rsidR="001C343D" w:rsidRDefault="001C343D" w:rsidP="005430A1"/>
    <w:p w14:paraId="45316114" w14:textId="1FFC6854" w:rsidR="005430A1" w:rsidRPr="002E4067" w:rsidRDefault="005430A1" w:rsidP="005430A1">
      <w:pPr>
        <w:rPr>
          <w:rFonts w:ascii="Aptos Narrow" w:eastAsia="Times New Roman" w:hAnsi="Aptos Narrow" w:cs="Times New Roman"/>
          <w:color w:val="000000"/>
          <w:kern w:val="0"/>
          <w:lang w:val="en-IN" w:eastAsia="en-IN"/>
          <w14:ligatures w14:val="none"/>
        </w:rPr>
      </w:pPr>
      <w:r>
        <w:t xml:space="preserve">Q6 </w:t>
      </w:r>
      <w:r w:rsidRPr="005430A1">
        <w:t xml:space="preserve">Customers are segmented into high, mid, and low-value categories based on their total spending, </w:t>
      </w:r>
      <w:r w:rsidR="001C343D">
        <w:t xml:space="preserve">with avg of 37,321.87 and total of 1,36,22,482 </w:t>
      </w:r>
      <w:r w:rsidRPr="005430A1">
        <w:t xml:space="preserve">high-value customers </w:t>
      </w:r>
      <w:r w:rsidR="001C343D" w:rsidRPr="005430A1">
        <w:t>contribute</w:t>
      </w:r>
      <w:r w:rsidRPr="005430A1">
        <w:t xml:space="preserve"> a significant share of total revenue, while the majority fall into the low-value segment. This suggests an opportunity to focus on retaining high-value customers and converting low-value customers </w:t>
      </w:r>
      <w:r w:rsidR="002E4067">
        <w:t xml:space="preserve">with avg of </w:t>
      </w:r>
      <w:r w:rsidR="002E4067" w:rsidRPr="002E4067">
        <w:t xml:space="preserve"> 6,411.85</w:t>
      </w:r>
      <w:r w:rsidR="002E4067">
        <w:t xml:space="preserve"> and total of </w:t>
      </w:r>
      <w:r w:rsidR="002E4067" w:rsidRPr="002E4067">
        <w:rPr>
          <w:rFonts w:ascii="Aptos Narrow" w:eastAsia="Times New Roman" w:hAnsi="Aptos Narrow" w:cs="Times New Roman"/>
          <w:color w:val="000000"/>
          <w:kern w:val="0"/>
          <w:lang w:val="en-IN" w:eastAsia="en-IN"/>
          <w14:ligatures w14:val="none"/>
        </w:rPr>
        <w:t>23,33,912</w:t>
      </w:r>
      <w:r w:rsidR="002E4067" w:rsidRPr="002E4067">
        <w:t xml:space="preserve"> </w:t>
      </w:r>
      <w:r w:rsidRPr="005430A1">
        <w:t>into higher spenders.</w:t>
      </w:r>
    </w:p>
    <w:p w14:paraId="72366742" w14:textId="77777777" w:rsidR="005430A1" w:rsidRDefault="005430A1" w:rsidP="005430A1"/>
    <w:p w14:paraId="04A8AFF2" w14:textId="0CE431CE" w:rsidR="005430A1" w:rsidRDefault="005430A1" w:rsidP="005430A1">
      <w:r>
        <w:t xml:space="preserve">Q7 </w:t>
      </w:r>
      <w:r w:rsidR="00A379DC" w:rsidRPr="00A379DC">
        <w:t>The number of products included in each order varies widely, ranging from single-product orders to multi-item purchases, reflecting diverse customer buying behavior. This indicates that while some customers prefer minimal purchases, others tend to buy in bulk, offering opportunities for bundling and cross-selling strategies.</w:t>
      </w:r>
    </w:p>
    <w:p w14:paraId="53669880" w14:textId="77777777" w:rsidR="00A379DC" w:rsidRDefault="00A379DC" w:rsidP="005430A1"/>
    <w:p w14:paraId="59A0B08B" w14:textId="0C5E047F" w:rsidR="00A379DC" w:rsidRDefault="00A379DC" w:rsidP="005430A1">
      <w:r>
        <w:t xml:space="preserve">Q8 </w:t>
      </w:r>
      <w:r w:rsidRPr="00A379DC">
        <w:t>For each customer, orders are arranged chronologically with each order linked to its previous and next order dates where applicable, such that the first order has no previous date and the last order has no next date. This enables tracking of purchase frequency and gaps between orders, helping identify repeat buying patterns and opportunities for customer retention initiatives.</w:t>
      </w:r>
    </w:p>
    <w:sectPr w:rsidR="00A379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075B0"/>
    <w:multiLevelType w:val="multilevel"/>
    <w:tmpl w:val="510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370F10"/>
    <w:multiLevelType w:val="multilevel"/>
    <w:tmpl w:val="001E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C214C1"/>
    <w:multiLevelType w:val="multilevel"/>
    <w:tmpl w:val="D590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482956"/>
    <w:multiLevelType w:val="multilevel"/>
    <w:tmpl w:val="13A8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4F2427"/>
    <w:multiLevelType w:val="multilevel"/>
    <w:tmpl w:val="3C3C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372693">
    <w:abstractNumId w:val="4"/>
  </w:num>
  <w:num w:numId="2" w16cid:durableId="1074548544">
    <w:abstractNumId w:val="0"/>
  </w:num>
  <w:num w:numId="3" w16cid:durableId="2005011621">
    <w:abstractNumId w:val="2"/>
  </w:num>
  <w:num w:numId="4" w16cid:durableId="292911161">
    <w:abstractNumId w:val="1"/>
  </w:num>
  <w:num w:numId="5" w16cid:durableId="19103100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BE"/>
    <w:rsid w:val="0012145A"/>
    <w:rsid w:val="001C343D"/>
    <w:rsid w:val="001F65B0"/>
    <w:rsid w:val="0021777C"/>
    <w:rsid w:val="002E4067"/>
    <w:rsid w:val="003911B0"/>
    <w:rsid w:val="004110BE"/>
    <w:rsid w:val="005430A1"/>
    <w:rsid w:val="00856AD1"/>
    <w:rsid w:val="009C09E3"/>
    <w:rsid w:val="00A379DC"/>
    <w:rsid w:val="00D32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E8905"/>
  <w15:chartTrackingRefBased/>
  <w15:docId w15:val="{6B18993D-7CAA-464C-BD38-B7BE56A29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0B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110B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110B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110B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110B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11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B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110B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110B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110B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110B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11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BE"/>
    <w:rPr>
      <w:rFonts w:eastAsiaTheme="majorEastAsia" w:cstheme="majorBidi"/>
      <w:color w:val="272727" w:themeColor="text1" w:themeTint="D8"/>
    </w:rPr>
  </w:style>
  <w:style w:type="paragraph" w:styleId="Title">
    <w:name w:val="Title"/>
    <w:basedOn w:val="Normal"/>
    <w:next w:val="Normal"/>
    <w:link w:val="TitleChar"/>
    <w:uiPriority w:val="10"/>
    <w:qFormat/>
    <w:rsid w:val="00411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B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10BE"/>
    <w:rPr>
      <w:i/>
      <w:iCs/>
      <w:color w:val="404040" w:themeColor="text1" w:themeTint="BF"/>
    </w:rPr>
  </w:style>
  <w:style w:type="paragraph" w:styleId="ListParagraph">
    <w:name w:val="List Paragraph"/>
    <w:basedOn w:val="Normal"/>
    <w:uiPriority w:val="34"/>
    <w:qFormat/>
    <w:rsid w:val="004110BE"/>
    <w:pPr>
      <w:ind w:left="720"/>
      <w:contextualSpacing/>
    </w:pPr>
  </w:style>
  <w:style w:type="character" w:styleId="IntenseEmphasis">
    <w:name w:val="Intense Emphasis"/>
    <w:basedOn w:val="DefaultParagraphFont"/>
    <w:uiPriority w:val="21"/>
    <w:qFormat/>
    <w:rsid w:val="004110BE"/>
    <w:rPr>
      <w:i/>
      <w:iCs/>
      <w:color w:val="365F91" w:themeColor="accent1" w:themeShade="BF"/>
    </w:rPr>
  </w:style>
  <w:style w:type="paragraph" w:styleId="IntenseQuote">
    <w:name w:val="Intense Quote"/>
    <w:basedOn w:val="Normal"/>
    <w:next w:val="Normal"/>
    <w:link w:val="IntenseQuoteChar"/>
    <w:uiPriority w:val="30"/>
    <w:qFormat/>
    <w:rsid w:val="004110B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110BE"/>
    <w:rPr>
      <w:i/>
      <w:iCs/>
      <w:color w:val="365F91" w:themeColor="accent1" w:themeShade="BF"/>
    </w:rPr>
  </w:style>
  <w:style w:type="character" w:styleId="IntenseReference">
    <w:name w:val="Intense Reference"/>
    <w:basedOn w:val="DefaultParagraphFont"/>
    <w:uiPriority w:val="32"/>
    <w:qFormat/>
    <w:rsid w:val="004110BE"/>
    <w:rPr>
      <w:b/>
      <w:bCs/>
      <w:smallCaps/>
      <w:color w:val="365F91" w:themeColor="accent1" w:themeShade="BF"/>
      <w:spacing w:val="5"/>
    </w:rPr>
  </w:style>
  <w:style w:type="paragraph" w:styleId="NormalWeb">
    <w:name w:val="Normal (Web)"/>
    <w:basedOn w:val="Normal"/>
    <w:uiPriority w:val="99"/>
    <w:semiHidden/>
    <w:unhideWhenUsed/>
    <w:rsid w:val="004110B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524</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ii8jd</dc:creator>
  <cp:keywords/>
  <dc:description/>
  <cp:lastModifiedBy>ii8jd</cp:lastModifiedBy>
  <cp:revision>5</cp:revision>
  <dcterms:created xsi:type="dcterms:W3CDTF">2026-05-02T05:16:00Z</dcterms:created>
  <dcterms:modified xsi:type="dcterms:W3CDTF">2026-05-02T06:16:00Z</dcterms:modified>
</cp:coreProperties>
</file>