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E589" w14:textId="2D5F794B" w:rsidR="006E5893" w:rsidRDefault="006E5893">
      <w:r>
        <w:rPr>
          <w:noProof/>
        </w:rPr>
        <w:drawing>
          <wp:inline distT="0" distB="0" distL="0" distR="0" wp14:anchorId="7FE67ACE" wp14:editId="42BD027F">
            <wp:extent cx="5943600" cy="3726180"/>
            <wp:effectExtent l="0" t="0" r="0" b="0"/>
            <wp:docPr id="1200681229" name="Picture 1" descr="A diagram of a data coll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1229" name="Picture 1" descr="A diagram of a data collectio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7A43" w14:textId="0DE1DC44" w:rsidR="00F2098A" w:rsidRDefault="006E5893">
      <w:r w:rsidRPr="006E5893">
        <w:t xml:space="preserve">This schema </w:t>
      </w:r>
      <w:r>
        <w:t xml:space="preserve">above </w:t>
      </w:r>
      <w:r w:rsidRPr="006E5893">
        <w:t>describes the complete workflow of our capstone project</w:t>
      </w:r>
      <w:r>
        <w:t xml:space="preserve">. We are working on building </w:t>
      </w:r>
      <w:r w:rsidRPr="006E5893">
        <w:t xml:space="preserve">a Proactive Risk Detection Platform for compliance in the </w:t>
      </w:r>
      <w:r>
        <w:t>pharmaceutical</w:t>
      </w:r>
      <w:r w:rsidRPr="006E5893">
        <w:t xml:space="preserve"> sector. It starts with the initiation and scoping of the project, where we based our work on four major anti-corruption and fraud regulations. Color coding represents the variety of these sources: global regulations like the FCPA (in </w:t>
      </w:r>
      <w:r>
        <w:t xml:space="preserve">light </w:t>
      </w:r>
      <w:r w:rsidRPr="006E5893">
        <w:t xml:space="preserve">blue); US-specific statutes such as the AKS and FCA </w:t>
      </w:r>
      <w:r>
        <w:t xml:space="preserve">(in dark </w:t>
      </w:r>
      <w:r w:rsidRPr="006E5893">
        <w:t>blue</w:t>
      </w:r>
      <w:r>
        <w:t>)</w:t>
      </w:r>
      <w:r w:rsidRPr="006E5893">
        <w:t xml:space="preserve">; and in red, the UK-only Bribery Act. Such variety underlines that our domain expertise must reach across multiple jurisdictions and enforcement environments. </w:t>
      </w:r>
      <w:r>
        <w:t>Next, we</w:t>
      </w:r>
      <w:r w:rsidRPr="006E5893">
        <w:t xml:space="preserve"> enter the data collection and exploration stage </w:t>
      </w:r>
      <w:r>
        <w:t xml:space="preserve">where we </w:t>
      </w:r>
      <w:r w:rsidRPr="006E5893">
        <w:t xml:space="preserve">collect high-value signals from press releases, DOJ complaints, SEC filings, and payment data </w:t>
      </w:r>
      <w:r w:rsidRPr="006E5893">
        <w:t>unified</w:t>
      </w:r>
      <w:r w:rsidRPr="006E5893">
        <w:t xml:space="preserve"> by </w:t>
      </w:r>
      <w:r>
        <w:t>Central Index Key (CIK)</w:t>
      </w:r>
      <w:r w:rsidRPr="006E5893">
        <w:t>. These serve as inputs to go into the later data-analysis and signal-identification stage to form the basis of early-risk detection. The final stage describes the deliverables for Spring 2026, consisting of model development and a real-time prototype platform. In summary, this schema is important because it shows how we transform scattered public data and cross-jurisdictional regulations into a coherent, actionable compliance-risk intelligence system.</w:t>
      </w:r>
    </w:p>
    <w:sectPr w:rsidR="00F20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93"/>
    <w:rsid w:val="000E11E1"/>
    <w:rsid w:val="003D2713"/>
    <w:rsid w:val="006E5893"/>
    <w:rsid w:val="00AF3469"/>
    <w:rsid w:val="00DA5B08"/>
    <w:rsid w:val="00F2098A"/>
    <w:rsid w:val="00FA4358"/>
    <w:rsid w:val="00FB2B0C"/>
    <w:rsid w:val="00FD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67C73"/>
  <w15:chartTrackingRefBased/>
  <w15:docId w15:val="{A42C6172-15E0-5748-8020-FF14628B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Gupta</dc:creator>
  <cp:keywords/>
  <dc:description/>
  <cp:lastModifiedBy>Vishesh Gupta</cp:lastModifiedBy>
  <cp:revision>1</cp:revision>
  <dcterms:created xsi:type="dcterms:W3CDTF">2025-11-16T21:20:00Z</dcterms:created>
  <dcterms:modified xsi:type="dcterms:W3CDTF">2025-11-16T21:23:00Z</dcterms:modified>
</cp:coreProperties>
</file>