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8A5A00"/>
          <w:sz w:val="18"/>
        </w:rPr>
        <w:t>SYNTHETIC — illustrative, not from any real company. Written for a portfolio RAG project; does not describe any real retailer's actual policy.</w:t>
      </w:r>
    </w:p>
    <w:p>
      <w:pPr>
        <w:pStyle w:val="Heading1"/>
      </w:pPr>
      <w:r>
        <w:t>Markdown Policy</w:t>
      </w:r>
    </w:p>
    <w:p>
      <w:r>
        <w:rPr>
          <w:color w:val="555555"/>
          <w:sz w:val="18"/>
        </w:rPr>
        <w:t>Policy ID: PROMO-POL-003 | Version: 1.0 | Effective: February 1, 2026</w:t>
      </w:r>
    </w:p>
    <w:p>
      <w:pPr>
        <w:pStyle w:val="Heading2"/>
      </w:pPr>
      <w:r>
        <w:t>1. Markdown Cadence</w:t>
      </w:r>
    </w:p>
    <w:p>
      <w:r>
        <w:t>Slow-moving inventory is marked down on a fixed cadence: 20% at 45 days on the sales floor with no sale, 40% at 75 days, and tagged "clearance" at 40% or deeper regardless of the specific percentage reached. Markdown percentage is calculated against the original tag price, not against any intermediate markdown — markdowns in this policy do not compound against each other the way stacked promotional discounts do under PROMO-POL-002.</w:t>
      </w:r>
    </w:p>
    <w:p>
      <w:pPr>
        <w:pStyle w:val="Heading2"/>
      </w:pPr>
      <w:r>
        <w:t>2. Clearance Tagging</w:t>
      </w:r>
    </w:p>
    <w:p>
      <w:r>
        <w:t>An item reaching 40% markdown is physically re-tagged "clearance" in addition to the price change, which matters beyond signage — clearance tagging is what triggers Returns Policy RET-POL-001 Section 3.2's shortened 14-day return window (once the combined-discount calculation in Discount Stacking Rules PROMO-POL-002 Section 5 confirms the 20%-or-more threshold), and what makes the item eligible for the size/color exchange exception in Returns Exception Matrix SOP-RET-014 Section 3.</w:t>
      </w:r>
    </w:p>
    <w:p>
      <w:pPr>
        <w:pStyle w:val="Heading2"/>
      </w:pPr>
      <w:r>
        <w:t>3. Employee Discount Interaction</w:t>
      </w:r>
    </w:p>
    <w:p>
      <w:r>
        <w:t>As stated from the other direction in Employee Discount Policy STAFF-POL-002 Section 3: the employee discount stacks with markdown pricing, applied to the already-marked-down price, and is not subject to PROMO-POL-002's 50% combined-discount cap, since the employee discount is a staff benefit rather than a customer promotion.</w:t>
      </w:r>
    </w:p>
    <w:p>
      <w:pPr>
        <w:pStyle w:val="Heading2"/>
      </w:pPr>
      <w:r>
        <w:t>4. Markdown Reversal</w:t>
      </w:r>
    </w:p>
    <w:p>
      <w:r>
        <w:t>A markdown is reversed (item returned to prior pricing) only in the case of a pricing error — an item marked down by a data-entry mistake rather than genuine slow-mover cadence. Reversing a markdown requires regional merchandising approval and cannot be done at store level, specifically to prevent a store from manually un-marking-down an item to avoid the return-window and exchange consequences described in Section 2 above.</w:t>
      </w:r>
    </w:p>
    <w:p>
      <w:pPr>
        <w:pStyle w:val="Heading2"/>
      </w:pPr>
      <w:r>
        <w:t>5. End-of-Season Markdown</w:t>
      </w:r>
    </w:p>
    <w:p>
      <w:r>
        <w:t>Seasonal inventory follows an accelerated cadence independent of the 45/75-day schedule in Section 1: 30% markdown at season transition, 50% two weeks later, and full clearance liquidation (up to 70%) in the final two weeks before the next season's floor reset. Seasonal clearance items are exempt from the exchange exception in Section 2 — given the compressed liquidation timeline, holding stock for exchange purposes conflicts directly with the floor-reset deadline driving the accelerated cadence in the first place.</w:t>
      </w:r>
    </w:p>
    <w:p>
      <w:pPr>
        <w:pStyle w:val="Heading2"/>
      </w:pPr>
      <w:r>
        <w:t>6. Related Policies</w:t>
      </w:r>
    </w:p>
    <w:p>
      <w:r>
        <w:t>RET-POL-001 — Returns Policy · PROMO-POL-002 — Discount Stacking Rules · SOP-RET-014 — Returns Exception Matrix · STAFF-POL-002 — Employee Discount 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