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3864"/>
          <w:sz w:val="44"/>
          <w:szCs w:val="44"/>
        </w:rPr>
        <w:t xml:space="preserve">A Multidimensional Model for Recommendation Systems</w:t>
      </w:r>
    </w:p>
    <w:p>
      <w:pPr>
        <w:spacing w:after="60" w:before="60"/>
        <w:jc w:val="center"/>
      </w:pPr>
      <w:r>
        <w:rPr>
          <w:rFonts w:ascii="Arial" w:cs="Arial" w:eastAsia="Arial" w:hAnsi="Arial"/>
          <w:b/>
          <w:bCs/>
          <w:color w:val="2E5FA3"/>
          <w:sz w:val="36"/>
          <w:szCs w:val="36"/>
        </w:rPr>
        <w:t xml:space="preserve">Based on Classification and Entropy</w:t>
      </w:r>
    </w:p>
    <w:p>
      <w:pPr>
        <w:spacing w:after="60" w:before="60"/>
      </w:pPr>
      <w:r>
        <w:t xml:space="preserve"/>
      </w:r>
    </w:p>
    <w:p>
      <w:pPr>
        <w:spacing w:after="80" w:before="200"/>
        <w:jc w:val="center"/>
      </w:pPr>
      <w:r>
        <w:rPr>
          <w:rFonts w:ascii="Arial" w:cs="Arial" w:eastAsia="Arial" w:hAnsi="Arial"/>
          <w:i/>
          <w:iCs/>
          <w:color w:val="555555"/>
          <w:sz w:val="22"/>
          <w:szCs w:val="22"/>
        </w:rPr>
        <w:t xml:space="preserve">Replication of: Yuan, Y.; Chen, L.; Yang, J. Electronics 2023, 12, 402</w:t>
      </w:r>
    </w:p>
    <w:p>
      <w:pPr>
        <w:spacing w:after="60" w:before="60"/>
        <w:jc w:val="center"/>
      </w:pPr>
      <w:r>
        <w:rPr>
          <w:rFonts w:ascii="Arial" w:cs="Arial" w:eastAsia="Arial" w:hAnsi="Arial"/>
          <w:color w:val="2E5FA3"/>
          <w:sz w:val="20"/>
          <w:szCs w:val="20"/>
        </w:rPr>
        <w:t xml:space="preserve">DOI: https://doi.org/10.3390/electronics12020402</w:t>
      </w:r>
    </w:p>
    <w:p>
      <w:pPr>
        <w:spacing w:after="60" w:before="60"/>
      </w:pPr>
      <w:r>
        <w:t xml:space="preserve"/>
      </w:r>
    </w:p>
    <w:p>
      <w:pPr>
        <w:spacing w:after="60" w:before="60"/>
      </w:pPr>
      <w:r>
        <w:t xml:space="preserve"/>
      </w:r>
    </w:p>
    <w:p>
      <w:pPr>
        <w:spacing w:after="80" w:before="300"/>
        <w:jc w:val="center"/>
      </w:pPr>
      <w:r>
        <w:rPr>
          <w:rFonts w:ascii="Arial" w:cs="Arial" w:eastAsia="Arial" w:hAnsi="Arial"/>
          <w:b/>
          <w:bCs/>
          <w:color w:val="333333"/>
          <w:sz w:val="24"/>
          <w:szCs w:val="24"/>
        </w:rPr>
        <w:t xml:space="preserve">Mini Project — Recommendation Systems Course</w:t>
      </w:r>
    </w:p>
    <w:p>
      <w:pPr>
        <w:spacing w:after="60" w:before="60"/>
        <w:jc w:val="center"/>
      </w:pPr>
      <w:r>
        <w:rPr>
          <w:rFonts w:ascii="Arial" w:cs="Arial" w:eastAsia="Arial" w:hAnsi="Arial"/>
          <w:color w:val="555555"/>
          <w:sz w:val="22"/>
          <w:szCs w:val="22"/>
        </w:rPr>
        <w:t xml:space="preserve">Submission Deadline: 24th March 2026</w:t>
      </w:r>
    </w:p>
    <w:p>
      <w:r>
        <w:br w:type="page"/>
      </w:r>
    </w:p>
    <w:p>
      <w:pPr>
        <w:pStyle w:val="Heading1"/>
        <w:spacing w:after="160" w:before="360"/>
      </w:pPr>
      <w:r>
        <w:rPr>
          <w:rFonts w:ascii="Arial" w:cs="Arial" w:eastAsia="Arial" w:hAnsi="Arial"/>
          <w:b/>
          <w:bCs/>
          <w:color w:val="1F3864"/>
          <w:sz w:val="28"/>
          <w:szCs w:val="28"/>
        </w:rPr>
        <w:t xml:space="preserve">1. Introduction</w:t>
      </w:r>
    </w:p>
    <w:p>
      <w:pPr>
        <w:spacing w:after="100" w:before="80"/>
      </w:pPr>
      <w:r>
        <w:rPr>
          <w:rFonts w:ascii="Arial" w:cs="Arial" w:eastAsia="Arial" w:hAnsi="Arial"/>
          <w:sz w:val="22"/>
          <w:szCs w:val="22"/>
        </w:rPr>
        <w:t xml:space="preserve">Modern e-commerce and digital platforms are plagued by information overload — users face an overwhelming number of choices and struggle to identify content that matches their interests. Recommendation systems (RS) address this by automatically surfacing relevant items based on user history and behaviour.</w:t>
      </w:r>
    </w:p>
    <w:p>
      <w:pPr>
        <w:spacing w:after="60" w:before="60"/>
      </w:pPr>
      <w:r>
        <w:t xml:space="preserve"/>
      </w:r>
    </w:p>
    <w:p>
      <w:pPr>
        <w:spacing w:after="100" w:before="80"/>
      </w:pPr>
      <w:r>
        <w:rPr>
          <w:rFonts w:ascii="Arial" w:cs="Arial" w:eastAsia="Arial" w:hAnsi="Arial"/>
          <w:sz w:val="22"/>
          <w:szCs w:val="22"/>
        </w:rPr>
        <w:t xml:space="preserve">Collaborative filtering (CF) is among the most widely adopted RS techniques. It operates on the principle that users with similar tastes rate items similarly. Memory-based CF methods find a set of k nearest neighbours (kNN) for a target user and aggregate their ratings to form a prediction. However, classical CF suffers from:</w:t>
      </w:r>
    </w:p>
    <w:p>
      <w:pPr>
        <w:pStyle w:val="ListParagraph"/>
        <w:numPr>
          <w:ilvl w:val="0"/>
          <w:numId w:val="2"/>
        </w:numPr>
        <w:spacing w:after="40" w:before="40"/>
      </w:pPr>
      <w:r>
        <w:rPr>
          <w:rFonts w:ascii="Arial" w:cs="Arial" w:eastAsia="Arial" w:hAnsi="Arial"/>
          <w:sz w:val="22"/>
          <w:szCs w:val="22"/>
        </w:rPr>
        <w:t xml:space="preserve">Data sparsity — most users rate only a small fraction of available items, leaving the user–item matrix mostly empty.</w:t>
      </w:r>
    </w:p>
    <w:p>
      <w:pPr>
        <w:pStyle w:val="ListParagraph"/>
        <w:numPr>
          <w:ilvl w:val="0"/>
          <w:numId w:val="2"/>
        </w:numPr>
        <w:spacing w:after="40" w:before="40"/>
      </w:pPr>
      <w:r>
        <w:rPr>
          <w:rFonts w:ascii="Arial" w:cs="Arial" w:eastAsia="Arial" w:hAnsi="Arial"/>
          <w:sz w:val="22"/>
          <w:szCs w:val="22"/>
        </w:rPr>
        <w:t xml:space="preserve">Cold-start — new users or items have insufficient ratings for meaningful similarity computation.</w:t>
      </w:r>
    </w:p>
    <w:p>
      <w:pPr>
        <w:pStyle w:val="ListParagraph"/>
        <w:numPr>
          <w:ilvl w:val="0"/>
          <w:numId w:val="2"/>
        </w:numPr>
        <w:spacing w:after="40" w:before="40"/>
      </w:pPr>
      <w:r>
        <w:rPr>
          <w:rFonts w:ascii="Arial" w:cs="Arial" w:eastAsia="Arial" w:hAnsi="Arial"/>
          <w:sz w:val="22"/>
          <w:szCs w:val="22"/>
        </w:rPr>
        <w:t xml:space="preserve">Unreliable similarity — Pearson and MSD similarities become zero when two users share no co-rated items.</w:t>
      </w:r>
    </w:p>
    <w:p>
      <w:pPr>
        <w:spacing w:after="60" w:before="60"/>
      </w:pPr>
      <w:r>
        <w:t xml:space="preserve"/>
      </w:r>
    </w:p>
    <w:p>
      <w:pPr>
        <w:spacing w:after="100" w:before="80"/>
      </w:pPr>
      <w:r>
        <w:rPr>
          <w:rFonts w:ascii="Arial" w:cs="Arial" w:eastAsia="Arial" w:hAnsi="Arial"/>
          <w:sz w:val="22"/>
          <w:szCs w:val="22"/>
        </w:rPr>
        <w:t xml:space="preserve">Yuan et al. (2023) propose UITrust, a multidimensional CF model that integrates two novel components: (1) a classification-based neighbour selection mechanism using item genre information and user taste profiles, and (2) an entropy-driven similarity that captures how informative each user and item is based on the spread of their rating history. These two components together produce a non-sparse weight matrix, yielding better coverage and improved prediction accuracy.</w:t>
      </w:r>
    </w:p>
    <w:p>
      <w:pPr>
        <w:spacing w:after="60" w:before="60"/>
      </w:pPr>
      <w:r>
        <w:t xml:space="preserve"/>
      </w:r>
    </w:p>
    <w:p>
      <w:pPr>
        <w:spacing w:after="100" w:before="80"/>
      </w:pPr>
      <w:r>
        <w:rPr>
          <w:rFonts w:ascii="Arial" w:cs="Arial" w:eastAsia="Arial" w:hAnsi="Arial"/>
          <w:sz w:val="22"/>
          <w:szCs w:val="22"/>
        </w:rPr>
        <w:t xml:space="preserve">This project replicates UITrust and its baselines on the same three MovieLens datasets used in the paper, comparing MAE and RMSE results.</w:t>
      </w:r>
    </w:p>
    <w:p>
      <w:pPr>
        <w:pStyle w:val="Heading1"/>
        <w:spacing w:after="160" w:before="360"/>
      </w:pPr>
      <w:r>
        <w:rPr>
          <w:rFonts w:ascii="Arial" w:cs="Arial" w:eastAsia="Arial" w:hAnsi="Arial"/>
          <w:b/>
          <w:bCs/>
          <w:color w:val="1F3864"/>
          <w:sz w:val="28"/>
          <w:szCs w:val="28"/>
        </w:rPr>
        <w:t xml:space="preserve">2. Problem Statement</w:t>
      </w:r>
    </w:p>
    <w:p>
      <w:pPr>
        <w:spacing w:after="100" w:before="80"/>
      </w:pPr>
      <w:r>
        <w:rPr>
          <w:rFonts w:ascii="Arial" w:cs="Arial" w:eastAsia="Arial" w:hAnsi="Arial"/>
          <w:sz w:val="22"/>
          <w:szCs w:val="22"/>
        </w:rPr>
        <w:t xml:space="preserve">Given a user–item rating matrix R ∈ ℝ|U|×|I|, the task is to predict the rating r̂u,i that user u ∈ U would assign to an unrated item i ∈ I. The standard memory-based kNN prediction is:</w:t>
      </w:r>
    </w:p>
    <w:p>
      <w:pPr>
        <w:spacing w:after="60" w:before="60"/>
      </w:pPr>
      <w:r>
        <w:t xml:space="preserve"/>
      </w:r>
    </w:p>
    <w:p>
      <w:pPr>
        <w:spacing w:after="120" w:before="120"/>
        <w:jc w:val="center"/>
      </w:pPr>
      <w:r>
        <w:rPr>
          <w:rFonts w:ascii="Arial" w:cs="Arial" w:eastAsia="Arial" w:hAnsi="Arial"/>
          <w:b/>
          <w:bCs/>
          <w:sz w:val="22"/>
          <w:szCs w:val="22"/>
        </w:rPr>
        <w:t xml:space="preserve">r̂u,i  =  Σ(v ∈ Nk(u))  Simu,v × rv,i  /  Σ(v ∈ Nk(u))  Simu,v   (Eq. 1)</w:t>
      </w:r>
    </w:p>
    <w:p>
      <w:pPr>
        <w:spacing w:after="100" w:before="80"/>
      </w:pPr>
      <w:r>
        <w:rPr>
          <w:rFonts w:ascii="Arial" w:cs="Arial" w:eastAsia="Arial" w:hAnsi="Arial"/>
          <w:sz w:val="22"/>
          <w:szCs w:val="22"/>
        </w:rPr>
        <w:t xml:space="preserve">where Nk(u) is the k-nearest neighbours of user u who have rated item i, and Simu,v is the similarity between users u and v. The challenge is to define a similarity measure that is both dense (non-zero for all user pairs) and semantically meaningful (reflecting shared preferences).</w:t>
      </w:r>
    </w:p>
    <w:p>
      <w:pPr>
        <w:pStyle w:val="Heading1"/>
        <w:spacing w:after="160" w:before="360"/>
      </w:pPr>
      <w:r>
        <w:rPr>
          <w:rFonts w:ascii="Arial" w:cs="Arial" w:eastAsia="Arial" w:hAnsi="Arial"/>
          <w:b/>
          <w:bCs/>
          <w:color w:val="1F3864"/>
          <w:sz w:val="28"/>
          <w:szCs w:val="28"/>
        </w:rPr>
        <w:t xml:space="preserve">3. Dataset</w:t>
      </w:r>
    </w:p>
    <w:p>
      <w:pPr>
        <w:spacing w:after="100" w:before="80"/>
      </w:pPr>
      <w:r>
        <w:rPr>
          <w:rFonts w:ascii="Arial" w:cs="Arial" w:eastAsia="Arial" w:hAnsi="Arial"/>
          <w:sz w:val="22"/>
          <w:szCs w:val="22"/>
        </w:rPr>
        <w:t xml:space="preserve">Three public MovieLens datasets from GroupLens Research, University of Minnesota, are used:</w:t>
      </w:r>
    </w:p>
    <w:p>
      <w:pPr>
        <w:spacing w:after="60" w:before="6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400"/>
        <w:gridCol w:w="1400"/>
        <w:gridCol w:w="1400"/>
        <w:gridCol w:w="1300"/>
      </w:tblGrid>
      <w:tr>
        <w:trPr>
          <w:tblHeader/>
        </w:trPr>
        <w:tc>
          <w:tcPr>
            <w:tcW w:type="dxa" w:w="2300"/>
            <w:tcBorders>
              <w:top w:val="single" w:color="BBBBBB" w:sz="1"/>
              <w:left w:val="single" w:color="BBBBBB" w:sz="1"/>
              <w:bottom w:val="single" w:color="2E5FA3" w:sz="4"/>
              <w:right w:val="single" w:color="BBBBBB"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Dataset</w:t>
            </w:r>
          </w:p>
        </w:tc>
        <w:tc>
          <w:tcPr>
            <w:tcW w:type="dxa" w:w="1500"/>
            <w:tcBorders>
              <w:top w:val="single" w:color="BBBBBB" w:sz="1"/>
              <w:left w:val="single" w:color="BBBBBB" w:sz="1"/>
              <w:bottom w:val="single" w:color="2E5FA3" w:sz="4"/>
              <w:right w:val="single" w:color="BBBBBB"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 Ratings</w:t>
            </w:r>
          </w:p>
        </w:tc>
        <w:tc>
          <w:tcPr>
            <w:tcW w:type="dxa" w:w="1400"/>
            <w:tcBorders>
              <w:top w:val="single" w:color="BBBBBB" w:sz="1"/>
              <w:left w:val="single" w:color="BBBBBB" w:sz="1"/>
              <w:bottom w:val="single" w:color="2E5FA3" w:sz="4"/>
              <w:right w:val="single" w:color="BBBBBB"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 Users</w:t>
            </w:r>
          </w:p>
        </w:tc>
        <w:tc>
          <w:tcPr>
            <w:tcW w:type="dxa" w:w="1400"/>
            <w:tcBorders>
              <w:top w:val="single" w:color="BBBBBB" w:sz="1"/>
              <w:left w:val="single" w:color="BBBBBB" w:sz="1"/>
              <w:bottom w:val="single" w:color="2E5FA3" w:sz="4"/>
              <w:right w:val="single" w:color="BBBBBB"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 Items</w:t>
            </w:r>
          </w:p>
        </w:tc>
        <w:tc>
          <w:tcPr>
            <w:tcW w:type="dxa" w:w="1400"/>
            <w:tcBorders>
              <w:top w:val="single" w:color="BBBBBB" w:sz="1"/>
              <w:left w:val="single" w:color="BBBBBB" w:sz="1"/>
              <w:bottom w:val="single" w:color="2E5FA3" w:sz="4"/>
              <w:right w:val="single" w:color="BBBBBB"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Rating Scale</w:t>
            </w:r>
          </w:p>
        </w:tc>
        <w:tc>
          <w:tcPr>
            <w:tcW w:type="dxa" w:w="1300"/>
            <w:tcBorders>
              <w:top w:val="single" w:color="BBBBBB" w:sz="1"/>
              <w:left w:val="single" w:color="BBBBBB" w:sz="1"/>
              <w:bottom w:val="single" w:color="2E5FA3" w:sz="4"/>
              <w:right w:val="single" w:color="BBBBBB"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Density</w:t>
            </w:r>
          </w:p>
        </w:tc>
      </w:tr>
      <w:tr>
        <w:tc>
          <w:tcPr>
            <w:tcW w:type="dxa" w:w="2300"/>
            <w:tcBorders>
              <w:top w:val="single" w:color="BBBBBB" w:sz="1"/>
              <w:left w:val="single" w:color="BBBBBB" w:sz="1"/>
              <w:bottom w:val="single" w:color="BBBBBB" w:sz="1"/>
              <w:right w:val="single" w:color="BBBBBB" w:sz="1"/>
            </w:tcBorders>
            <w:shd w:fill="F0F4FF" w:val="clear"/>
            <w:tcMar>
              <w:top w:type="dxa" w:w="60"/>
              <w:left w:type="dxa" w:w="120"/>
              <w:bottom w:type="dxa" w:w="60"/>
              <w:right w:type="dxa" w:w="120"/>
            </w:tcMar>
            <w:vAlign w:val="center"/>
          </w:tcPr>
          <w:p>
            <w:pPr>
              <w:jc w:val="center"/>
            </w:pPr>
            <w:r>
              <w:rPr>
                <w:rFonts w:ascii="Arial" w:cs="Arial" w:eastAsia="Arial" w:hAnsi="Arial"/>
                <w:b/>
                <w:bCs/>
                <w:sz w:val="19"/>
                <w:szCs w:val="19"/>
              </w:rPr>
              <w:t xml:space="preserve">ML-100k</w:t>
            </w:r>
          </w:p>
        </w:tc>
        <w:tc>
          <w:tcPr>
            <w:tcW w:type="dxa" w:w="1500"/>
            <w:tcBorders>
              <w:top w:val="single" w:color="BBBBBB" w:sz="1"/>
              <w:left w:val="single" w:color="BBBBBB" w:sz="1"/>
              <w:bottom w:val="single" w:color="BBBBBB" w:sz="1"/>
              <w:right w:val="single" w:color="BBBBBB" w:sz="1"/>
            </w:tcBorders>
            <w:shd w:fill="F0F4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100,000</w:t>
            </w:r>
          </w:p>
        </w:tc>
        <w:tc>
          <w:tcPr>
            <w:tcW w:type="dxa" w:w="1400"/>
            <w:tcBorders>
              <w:top w:val="single" w:color="BBBBBB" w:sz="1"/>
              <w:left w:val="single" w:color="BBBBBB" w:sz="1"/>
              <w:bottom w:val="single" w:color="BBBBBB" w:sz="1"/>
              <w:right w:val="single" w:color="BBBBBB" w:sz="1"/>
            </w:tcBorders>
            <w:shd w:fill="F0F4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943</w:t>
            </w:r>
          </w:p>
        </w:tc>
        <w:tc>
          <w:tcPr>
            <w:tcW w:type="dxa" w:w="1400"/>
            <w:tcBorders>
              <w:top w:val="single" w:color="BBBBBB" w:sz="1"/>
              <w:left w:val="single" w:color="BBBBBB" w:sz="1"/>
              <w:bottom w:val="single" w:color="BBBBBB" w:sz="1"/>
              <w:right w:val="single" w:color="BBBBBB" w:sz="1"/>
            </w:tcBorders>
            <w:shd w:fill="F0F4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1,682</w:t>
            </w:r>
          </w:p>
        </w:tc>
        <w:tc>
          <w:tcPr>
            <w:tcW w:type="dxa" w:w="1400"/>
            <w:tcBorders>
              <w:top w:val="single" w:color="BBBBBB" w:sz="1"/>
              <w:left w:val="single" w:color="BBBBBB" w:sz="1"/>
              <w:bottom w:val="single" w:color="BBBBBB" w:sz="1"/>
              <w:right w:val="single" w:color="BBBBBB" w:sz="1"/>
            </w:tcBorders>
            <w:shd w:fill="F0F4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1–5</w:t>
            </w:r>
          </w:p>
        </w:tc>
        <w:tc>
          <w:tcPr>
            <w:tcW w:type="dxa" w:w="1300"/>
            <w:tcBorders>
              <w:top w:val="single" w:color="BBBBBB" w:sz="1"/>
              <w:left w:val="single" w:color="BBBBBB" w:sz="1"/>
              <w:bottom w:val="single" w:color="BBBBBB" w:sz="1"/>
              <w:right w:val="single" w:color="BBBBBB" w:sz="1"/>
            </w:tcBorders>
            <w:shd w:fill="F0F4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6.30%</w:t>
            </w:r>
          </w:p>
        </w:tc>
      </w:tr>
      <w:tr>
        <w:tc>
          <w:tcPr>
            <w:tcW w:type="dxa" w:w="23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rFonts w:ascii="Arial" w:cs="Arial" w:eastAsia="Arial" w:hAnsi="Arial"/>
                <w:b/>
                <w:bCs/>
                <w:sz w:val="19"/>
                <w:szCs w:val="19"/>
              </w:rPr>
              <w:t xml:space="preserve">ML-latest-small</w:t>
            </w:r>
          </w:p>
        </w:tc>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100,836</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610</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9,742</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0.5–5</w:t>
            </w:r>
          </w:p>
        </w:tc>
        <w:tc>
          <w:tcPr>
            <w:tcW w:type="dxa" w:w="13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1.70%</w:t>
            </w:r>
          </w:p>
        </w:tc>
      </w:tr>
      <w:tr>
        <w:tc>
          <w:tcPr>
            <w:tcW w:type="dxa" w:w="2300"/>
            <w:tcBorders>
              <w:top w:val="single" w:color="BBBBBB" w:sz="1"/>
              <w:left w:val="single" w:color="BBBBBB" w:sz="1"/>
              <w:bottom w:val="single" w:color="BBBBBB" w:sz="1"/>
              <w:right w:val="single" w:color="BBBBBB" w:sz="1"/>
            </w:tcBorders>
            <w:shd w:fill="F0F4FF" w:val="clear"/>
            <w:tcMar>
              <w:top w:type="dxa" w:w="60"/>
              <w:left w:type="dxa" w:w="120"/>
              <w:bottom w:type="dxa" w:w="60"/>
              <w:right w:type="dxa" w:w="120"/>
            </w:tcMar>
            <w:vAlign w:val="center"/>
          </w:tcPr>
          <w:p>
            <w:pPr>
              <w:jc w:val="center"/>
            </w:pPr>
            <w:r>
              <w:rPr>
                <w:rFonts w:ascii="Arial" w:cs="Arial" w:eastAsia="Arial" w:hAnsi="Arial"/>
                <w:b/>
                <w:bCs/>
                <w:sz w:val="19"/>
                <w:szCs w:val="19"/>
              </w:rPr>
              <w:t xml:space="preserve">ML-1m</w:t>
            </w:r>
          </w:p>
        </w:tc>
        <w:tc>
          <w:tcPr>
            <w:tcW w:type="dxa" w:w="1500"/>
            <w:tcBorders>
              <w:top w:val="single" w:color="BBBBBB" w:sz="1"/>
              <w:left w:val="single" w:color="BBBBBB" w:sz="1"/>
              <w:bottom w:val="single" w:color="BBBBBB" w:sz="1"/>
              <w:right w:val="single" w:color="BBBBBB" w:sz="1"/>
            </w:tcBorders>
            <w:shd w:fill="F0F4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1,000,209</w:t>
            </w:r>
          </w:p>
        </w:tc>
        <w:tc>
          <w:tcPr>
            <w:tcW w:type="dxa" w:w="1400"/>
            <w:tcBorders>
              <w:top w:val="single" w:color="BBBBBB" w:sz="1"/>
              <w:left w:val="single" w:color="BBBBBB" w:sz="1"/>
              <w:bottom w:val="single" w:color="BBBBBB" w:sz="1"/>
              <w:right w:val="single" w:color="BBBBBB" w:sz="1"/>
            </w:tcBorders>
            <w:shd w:fill="F0F4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6,040</w:t>
            </w:r>
          </w:p>
        </w:tc>
        <w:tc>
          <w:tcPr>
            <w:tcW w:type="dxa" w:w="1400"/>
            <w:tcBorders>
              <w:top w:val="single" w:color="BBBBBB" w:sz="1"/>
              <w:left w:val="single" w:color="BBBBBB" w:sz="1"/>
              <w:bottom w:val="single" w:color="BBBBBB" w:sz="1"/>
              <w:right w:val="single" w:color="BBBBBB" w:sz="1"/>
            </w:tcBorders>
            <w:shd w:fill="F0F4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3,900</w:t>
            </w:r>
          </w:p>
        </w:tc>
        <w:tc>
          <w:tcPr>
            <w:tcW w:type="dxa" w:w="1400"/>
            <w:tcBorders>
              <w:top w:val="single" w:color="BBBBBB" w:sz="1"/>
              <w:left w:val="single" w:color="BBBBBB" w:sz="1"/>
              <w:bottom w:val="single" w:color="BBBBBB" w:sz="1"/>
              <w:right w:val="single" w:color="BBBBBB" w:sz="1"/>
            </w:tcBorders>
            <w:shd w:fill="F0F4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1–5</w:t>
            </w:r>
          </w:p>
        </w:tc>
        <w:tc>
          <w:tcPr>
            <w:tcW w:type="dxa" w:w="1300"/>
            <w:tcBorders>
              <w:top w:val="single" w:color="BBBBBB" w:sz="1"/>
              <w:left w:val="single" w:color="BBBBBB" w:sz="1"/>
              <w:bottom w:val="single" w:color="BBBBBB" w:sz="1"/>
              <w:right w:val="single" w:color="BBBBBB" w:sz="1"/>
            </w:tcBorders>
            <w:shd w:fill="F0F4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4.25%</w:t>
            </w:r>
          </w:p>
        </w:tc>
      </w:tr>
    </w:tbl>
    <w:p>
      <w:pPr>
        <w:spacing w:after="60" w:before="60"/>
      </w:pPr>
      <w:r>
        <w:t xml:space="preserve"/>
      </w:r>
    </w:p>
    <w:p>
      <w:pPr>
        <w:spacing w:after="100" w:before="80"/>
      </w:pPr>
      <w:r>
        <w:rPr>
          <w:rFonts w:ascii="Arial" w:cs="Arial" w:eastAsia="Arial" w:hAnsi="Arial"/>
          <w:sz w:val="22"/>
          <w:szCs w:val="22"/>
        </w:rPr>
        <w:t xml:space="preserve">For the experiments, 400 users were sampled from each dataset and an 80/20 train-test split was applied (random_state=42). 3,000 test samples were evaluated per dataset.</w:t>
      </w:r>
    </w:p>
    <w:p>
      <w:pPr>
        <w:pStyle w:val="Heading1"/>
        <w:spacing w:after="160" w:before="360"/>
      </w:pPr>
      <w:r>
        <w:rPr>
          <w:rFonts w:ascii="Arial" w:cs="Arial" w:eastAsia="Arial" w:hAnsi="Arial"/>
          <w:b/>
          <w:bCs/>
          <w:color w:val="1F3864"/>
          <w:sz w:val="28"/>
          <w:szCs w:val="28"/>
        </w:rPr>
        <w:t xml:space="preserve">4. Methodology</w:t>
      </w:r>
    </w:p>
    <w:p>
      <w:pPr>
        <w:pStyle w:val="Heading2"/>
        <w:spacing w:after="120" w:before="240"/>
      </w:pPr>
      <w:r>
        <w:rPr>
          <w:rFonts w:ascii="Arial" w:cs="Arial" w:eastAsia="Arial" w:hAnsi="Arial"/>
          <w:b/>
          <w:bCs/>
          <w:color w:val="2E5FA3"/>
          <w:sz w:val="24"/>
          <w:szCs w:val="24"/>
        </w:rPr>
        <w:t xml:space="preserve">4.1 Classification-Based Neighbour Selection (Eq. 3–6)</w:t>
      </w:r>
    </w:p>
    <w:p>
      <w:pPr>
        <w:spacing w:after="100" w:before="80"/>
      </w:pPr>
      <w:r>
        <w:rPr>
          <w:rFonts w:ascii="Arial" w:cs="Arial" w:eastAsia="Arial" w:hAnsi="Arial"/>
          <w:sz w:val="22"/>
          <w:szCs w:val="22"/>
        </w:rPr>
        <w:t xml:space="preserve">Each item i is represented by a genre vector gi = {gi1, gi2, …, gim} (binary, 1 if the item belongs to genre gk). For a user u, a taste vector su,k is derived by aggregating the genre vectors of all rated items, weighted by the assigned rating:</w:t>
      </w:r>
    </w:p>
    <w:p>
      <w:pPr>
        <w:spacing w:after="60" w:before="60"/>
      </w:pPr>
      <w:r>
        <w:t xml:space="preserve"/>
      </w:r>
    </w:p>
    <w:p>
      <w:pPr>
        <w:spacing w:after="80" w:before="80"/>
        <w:jc w:val="center"/>
      </w:pPr>
      <w:r>
        <w:rPr>
          <w:rFonts w:ascii="Arial" w:cs="Arial" w:eastAsia="Arial" w:hAnsi="Arial"/>
          <w:b/>
          <w:bCs/>
          <w:sz w:val="22"/>
          <w:szCs w:val="22"/>
        </w:rPr>
        <w:t xml:space="preserve">su,k  =  Σi∈Iu  g*i,k  /  Σi∈Iu  g*i   (Eq. 4)</w:t>
      </w:r>
    </w:p>
    <w:p>
      <w:pPr>
        <w:spacing w:after="100" w:before="80"/>
      </w:pPr>
      <w:r>
        <w:rPr>
          <w:rFonts w:ascii="Arial" w:cs="Arial" w:eastAsia="Arial" w:hAnsi="Arial"/>
          <w:sz w:val="22"/>
          <w:szCs w:val="22"/>
        </w:rPr>
        <w:t xml:space="preserve">where g*i is the genre vector modified by replacing gik=1 with the user's rating. Similarly, a refined item-classification vector ci is computed from the collective ratings given by all users who rated item i (Eq. 5). The user–item weight is the dot product:</w:t>
      </w:r>
    </w:p>
    <w:p>
      <w:pPr>
        <w:spacing w:after="80" w:before="80"/>
        <w:jc w:val="center"/>
      </w:pPr>
      <w:r>
        <w:rPr>
          <w:rFonts w:ascii="Arial" w:cs="Arial" w:eastAsia="Arial" w:hAnsi="Arial"/>
          <w:b/>
          <w:bCs/>
          <w:sz w:val="22"/>
          <w:szCs w:val="22"/>
        </w:rPr>
        <w:t xml:space="preserve">wu,i  =  su ⊗ ci   (Eq. 6)</w:t>
      </w:r>
    </w:p>
    <w:p>
      <w:pPr>
        <w:spacing w:after="100" w:before="80"/>
      </w:pPr>
      <w:r>
        <w:rPr>
          <w:rFonts w:ascii="Arial" w:cs="Arial" w:eastAsia="Arial" w:hAnsi="Arial"/>
          <w:sz w:val="22"/>
          <w:szCs w:val="22"/>
        </w:rPr>
        <w:t xml:space="preserve">Since every (user, item) pair yields a non-zero weight, the resulting matrix has zero sparsity — a key advantage over Pearson/MSD similarity.</w:t>
      </w:r>
    </w:p>
    <w:p>
      <w:pPr>
        <w:spacing w:after="60" w:before="60"/>
      </w:pPr>
      <w:r>
        <w:t xml:space="preserve"/>
      </w:r>
    </w:p>
    <w:p>
      <w:pPr>
        <w:pStyle w:val="Heading2"/>
        <w:spacing w:after="120" w:before="240"/>
      </w:pPr>
      <w:r>
        <w:rPr>
          <w:rFonts w:ascii="Arial" w:cs="Arial" w:eastAsia="Arial" w:hAnsi="Arial"/>
          <w:b/>
          <w:bCs/>
          <w:color w:val="2E5FA3"/>
          <w:sz w:val="24"/>
          <w:szCs w:val="24"/>
        </w:rPr>
        <w:t xml:space="preserve">4.2 Entropy-Driven Similarity (Eq. 7–11)</w:t>
      </w:r>
    </w:p>
    <w:p>
      <w:pPr>
        <w:spacing w:after="100" w:before="80"/>
      </w:pPr>
      <w:r>
        <w:rPr>
          <w:rFonts w:ascii="Arial" w:cs="Arial" w:eastAsia="Arial" w:hAnsi="Arial"/>
          <w:sz w:val="22"/>
          <w:szCs w:val="22"/>
        </w:rPr>
        <w:t xml:space="preserve">Information entropy measures the variability of ratings for an item or user. A higher entropy means the ratings are more evenly distributed across all possible values, which the paper treats as a proxy for 'more informative'. The entropy for item i and user u are:</w:t>
      </w:r>
    </w:p>
    <w:p>
      <w:pPr>
        <w:spacing w:after="80" w:before="80"/>
        <w:jc w:val="center"/>
      </w:pPr>
      <w:r>
        <w:rPr>
          <w:rFonts w:ascii="Arial" w:cs="Arial" w:eastAsia="Arial" w:hAnsi="Arial"/>
          <w:b/>
          <w:bCs/>
          <w:sz w:val="22"/>
          <w:szCs w:val="22"/>
        </w:rPr>
        <w:t xml:space="preserve">HoI(i) = −Σr prob_Ir_i · log2(prob_Ir_i)   (Eq. 9)</w:t>
      </w:r>
    </w:p>
    <w:p>
      <w:pPr>
        <w:spacing w:after="80" w:before="80"/>
        <w:jc w:val="center"/>
      </w:pPr>
      <w:r>
        <w:rPr>
          <w:rFonts w:ascii="Arial" w:cs="Arial" w:eastAsia="Arial" w:hAnsi="Arial"/>
          <w:b/>
          <w:bCs/>
          <w:sz w:val="22"/>
          <w:szCs w:val="22"/>
        </w:rPr>
        <w:t xml:space="preserve">HoU(u) = −Σr prob_Ur_u · log2(prob_Ur_u)   (Eq. 10)</w:t>
      </w:r>
    </w:p>
    <w:p>
      <w:pPr>
        <w:spacing w:after="100" w:before="80"/>
      </w:pPr>
      <w:r>
        <w:rPr>
          <w:rFonts w:ascii="Arial" w:cs="Arial" w:eastAsia="Arial" w:hAnsi="Arial"/>
          <w:sz w:val="22"/>
          <w:szCs w:val="22"/>
        </w:rPr>
        <w:t xml:space="preserve">The final UITrust score blends content trust (wu,i) with entropy trust:</w:t>
      </w:r>
    </w:p>
    <w:p>
      <w:pPr>
        <w:spacing w:after="80" w:before="80"/>
        <w:jc w:val="center"/>
      </w:pPr>
      <w:r>
        <w:rPr>
          <w:rFonts w:ascii="Arial" w:cs="Arial" w:eastAsia="Arial" w:hAnsi="Arial"/>
          <w:b/>
          <w:bCs/>
          <w:sz w:val="22"/>
          <w:szCs w:val="22"/>
        </w:rPr>
        <w:t xml:space="preserve">UITrustu,v = α·wu,i + (1−α)·(HoI(i) + HoU(u)) / 2   (Eq. 11)</w:t>
      </w:r>
    </w:p>
    <w:p>
      <w:pPr>
        <w:spacing w:after="100" w:before="80"/>
      </w:pPr>
      <w:r>
        <w:rPr>
          <w:rFonts w:ascii="Arial" w:cs="Arial" w:eastAsia="Arial" w:hAnsi="Arial"/>
          <w:sz w:val="22"/>
          <w:szCs w:val="22"/>
        </w:rPr>
        <w:t xml:space="preserve">where α = 0.5 is a hyperparameter balancing the two trust dimensions. The mean-centred prediction is then (Eq. 12):</w:t>
      </w:r>
    </w:p>
    <w:p>
      <w:pPr>
        <w:spacing w:after="80" w:before="80"/>
        <w:jc w:val="center"/>
      </w:pPr>
      <w:r>
        <w:rPr>
          <w:rFonts w:ascii="Arial" w:cs="Arial" w:eastAsia="Arial" w:hAnsi="Arial"/>
          <w:b/>
          <w:bCs/>
          <w:sz w:val="22"/>
          <w:szCs w:val="22"/>
        </w:rPr>
        <w:t xml:space="preserve">r̂u,i  =  r̄u  +  Σ(j∈Nk(u)) UITrustu,v · ru,j  /  Σ UITrustu,v   (Eq. 12)</w:t>
      </w:r>
    </w:p>
    <w:p>
      <w:pPr>
        <w:spacing w:after="60" w:before="60"/>
      </w:pPr>
      <w:r>
        <w:t xml:space="preserve"/>
      </w:r>
    </w:p>
    <w:p>
      <w:pPr>
        <w:pStyle w:val="Heading2"/>
        <w:spacing w:after="120" w:before="240"/>
      </w:pPr>
      <w:r>
        <w:rPr>
          <w:rFonts w:ascii="Arial" w:cs="Arial" w:eastAsia="Arial" w:hAnsi="Arial"/>
          <w:b/>
          <w:bCs/>
          <w:color w:val="2E5FA3"/>
          <w:sz w:val="24"/>
          <w:szCs w:val="24"/>
        </w:rPr>
        <w:t xml:space="preserve">4.3 Baseline Methods</w:t>
      </w:r>
    </w:p>
    <w:p>
      <w:pPr>
        <w:spacing w:after="100" w:before="80"/>
      </w:pPr>
      <w:r>
        <w:rPr>
          <w:rFonts w:ascii="Arial" w:cs="Arial" w:eastAsia="Arial" w:hAnsi="Arial"/>
          <w:sz w:val="22"/>
          <w:szCs w:val="22"/>
        </w:rPr>
        <w:t xml:space="preserve">Eight methods were evaluated in total:</w:t>
      </w:r>
    </w:p>
    <w:p>
      <w:pPr>
        <w:pStyle w:val="ListParagraph"/>
        <w:numPr>
          <w:ilvl w:val="0"/>
          <w:numId w:val="2"/>
        </w:numPr>
        <w:spacing w:after="40" w:before="40"/>
      </w:pPr>
      <w:r>
        <w:rPr>
          <w:rFonts w:ascii="Arial" w:cs="Arial" w:eastAsia="Arial" w:hAnsi="Arial"/>
          <w:sz w:val="22"/>
          <w:szCs w:val="22"/>
        </w:rPr>
        <w:t xml:space="preserve">UITrust_C: UITrust with classification-based cosine similarity for neighbour selection (proposed).</w:t>
      </w:r>
    </w:p>
    <w:p>
      <w:pPr>
        <w:pStyle w:val="ListParagraph"/>
        <w:numPr>
          <w:ilvl w:val="0"/>
          <w:numId w:val="2"/>
        </w:numPr>
        <w:spacing w:after="40" w:before="40"/>
      </w:pPr>
      <w:r>
        <w:rPr>
          <w:rFonts w:ascii="Arial" w:cs="Arial" w:eastAsia="Arial" w:hAnsi="Arial"/>
          <w:sz w:val="22"/>
          <w:szCs w:val="22"/>
        </w:rPr>
        <w:t xml:space="preserve">UITrust_P: UITrust with Pearson-based neighbour selection.</w:t>
      </w:r>
    </w:p>
    <w:p>
      <w:pPr>
        <w:pStyle w:val="ListParagraph"/>
        <w:numPr>
          <w:ilvl w:val="0"/>
          <w:numId w:val="2"/>
        </w:numPr>
        <w:spacing w:after="40" w:before="40"/>
      </w:pPr>
      <w:r>
        <w:rPr>
          <w:rFonts w:ascii="Arial" w:cs="Arial" w:eastAsia="Arial" w:hAnsi="Arial"/>
          <w:sz w:val="22"/>
          <w:szCs w:val="22"/>
        </w:rPr>
        <w:t xml:space="preserve">UITrust_MSD: UITrust with MSD-based neighbour selection.</w:t>
      </w:r>
    </w:p>
    <w:p>
      <w:pPr>
        <w:pStyle w:val="ListParagraph"/>
        <w:numPr>
          <w:ilvl w:val="0"/>
          <w:numId w:val="2"/>
        </w:numPr>
        <w:spacing w:after="40" w:before="40"/>
      </w:pPr>
      <w:r>
        <w:rPr>
          <w:rFonts w:ascii="Arial" w:cs="Arial" w:eastAsia="Arial" w:hAnsi="Arial"/>
          <w:sz w:val="22"/>
          <w:szCs w:val="22"/>
        </w:rPr>
        <w:t xml:space="preserve">UITrust_R: UITrust with random neighbour selection (ablation).</w:t>
      </w:r>
    </w:p>
    <w:p>
      <w:pPr>
        <w:pStyle w:val="ListParagraph"/>
        <w:numPr>
          <w:ilvl w:val="0"/>
          <w:numId w:val="2"/>
        </w:numPr>
        <w:spacing w:after="40" w:before="40"/>
      </w:pPr>
      <w:r>
        <w:rPr>
          <w:rFonts w:ascii="Arial" w:cs="Arial" w:eastAsia="Arial" w:hAnsi="Arial"/>
          <w:sz w:val="22"/>
          <w:szCs w:val="22"/>
        </w:rPr>
        <w:t xml:space="preserve">CKNN_P: Mean-centred KNN with Pearson similarity.</w:t>
      </w:r>
    </w:p>
    <w:p>
      <w:pPr>
        <w:pStyle w:val="ListParagraph"/>
        <w:numPr>
          <w:ilvl w:val="0"/>
          <w:numId w:val="2"/>
        </w:numPr>
        <w:spacing w:after="40" w:before="40"/>
      </w:pPr>
      <w:r>
        <w:rPr>
          <w:rFonts w:ascii="Arial" w:cs="Arial" w:eastAsia="Arial" w:hAnsi="Arial"/>
          <w:sz w:val="22"/>
          <w:szCs w:val="22"/>
        </w:rPr>
        <w:t xml:space="preserve">CKNN_MSD: Mean-centred KNN with MSD similarity.</w:t>
      </w:r>
    </w:p>
    <w:p>
      <w:pPr>
        <w:pStyle w:val="ListParagraph"/>
        <w:numPr>
          <w:ilvl w:val="0"/>
          <w:numId w:val="2"/>
        </w:numPr>
        <w:spacing w:after="40" w:before="40"/>
      </w:pPr>
      <w:r>
        <w:rPr>
          <w:rFonts w:ascii="Arial" w:cs="Arial" w:eastAsia="Arial" w:hAnsi="Arial"/>
          <w:sz w:val="22"/>
          <w:szCs w:val="22"/>
        </w:rPr>
        <w:t xml:space="preserve">BKNN_P: Basic KNN with Pearson similarity.</w:t>
      </w:r>
    </w:p>
    <w:p>
      <w:pPr>
        <w:pStyle w:val="ListParagraph"/>
        <w:numPr>
          <w:ilvl w:val="0"/>
          <w:numId w:val="2"/>
        </w:numPr>
        <w:spacing w:after="40" w:before="40"/>
      </w:pPr>
      <w:r>
        <w:rPr>
          <w:rFonts w:ascii="Arial" w:cs="Arial" w:eastAsia="Arial" w:hAnsi="Arial"/>
          <w:sz w:val="22"/>
          <w:szCs w:val="22"/>
        </w:rPr>
        <w:t xml:space="preserve">BKNN_MSD: Basic KNN with MSD similarity.</w:t>
      </w:r>
    </w:p>
    <w:p>
      <w:pPr>
        <w:spacing w:after="100" w:before="80"/>
      </w:pPr>
      <w:r>
        <w:rPr>
          <w:rFonts w:ascii="Arial" w:cs="Arial" w:eastAsia="Arial" w:hAnsi="Arial"/>
          <w:sz w:val="22"/>
          <w:szCs w:val="22"/>
        </w:rPr>
        <w:t xml:space="preserve">All methods use k = 40 neighbours. The Surprise library framework was used as reference in the paper; our implementation is a from-scratch NumPy/Pandas replication.</w:t>
      </w:r>
    </w:p>
    <w:p>
      <w:pPr>
        <w:pStyle w:val="Heading1"/>
        <w:spacing w:after="160" w:before="360"/>
      </w:pPr>
      <w:r>
        <w:rPr>
          <w:rFonts w:ascii="Arial" w:cs="Arial" w:eastAsia="Arial" w:hAnsi="Arial"/>
          <w:b/>
          <w:bCs/>
          <w:color w:val="1F3864"/>
          <w:sz w:val="28"/>
          <w:szCs w:val="28"/>
        </w:rPr>
        <w:t xml:space="preserve">5. Experimental Results</w:t>
      </w:r>
    </w:p>
    <w:p>
      <w:pPr>
        <w:pStyle w:val="Heading2"/>
        <w:spacing w:after="120" w:before="240"/>
      </w:pPr>
      <w:r>
        <w:rPr>
          <w:rFonts w:ascii="Arial" w:cs="Arial" w:eastAsia="Arial" w:hAnsi="Arial"/>
          <w:b/>
          <w:bCs/>
          <w:color w:val="2E5FA3"/>
          <w:sz w:val="24"/>
          <w:szCs w:val="24"/>
        </w:rPr>
        <w:t xml:space="preserve">5.1 ML-100k Dataset</w:t>
      </w:r>
    </w:p>
    <w:p>
      <w:pPr>
        <w:spacing w:after="6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952750"/>
                    </a:xfrm>
                    <a:prstGeom prst="rect">
                      <a:avLst/>
                    </a:prstGeom>
                  </pic:spPr>
                </pic:pic>
              </a:graphicData>
            </a:graphic>
          </wp:inline>
        </w:drawing>
      </w:r>
    </w:p>
    <w:p>
      <w:pPr>
        <w:spacing w:after="200" w:before="40"/>
        <w:jc w:val="center"/>
      </w:pPr>
      <w:r>
        <w:rPr>
          <w:rFonts w:ascii="Arial" w:cs="Arial" w:eastAsia="Arial" w:hAnsi="Arial"/>
          <w:i/>
          <w:iCs/>
          <w:color w:val="444444"/>
          <w:sz w:val="19"/>
          <w:szCs w:val="19"/>
        </w:rPr>
        <w:t xml:space="preserve">Figure 2. Prediction accuracy on ML-100k dataset (MAE and RMSE for all 8 methods).</w:t>
      </w:r>
    </w:p>
    <w:tbl>
      <w:tblPr>
        <w:tblW w:type="dxa" w:w="58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tblGrid>
      <w:tr>
        <w:trPr>
          <w:tblHeader/>
        </w:trPr>
        <w:tc>
          <w:tcPr>
            <w:tcW w:type="dxa" w:w="2600"/>
            <w:tcBorders>
              <w:top w:val="single" w:color="BBBBBB" w:sz="1"/>
              <w:left w:val="single" w:color="BBBBBB" w:sz="1"/>
              <w:bottom w:val="single" w:color="2E5FA3" w:sz="4"/>
              <w:right w:val="single" w:color="BBBBBB"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1600"/>
            <w:tcBorders>
              <w:top w:val="single" w:color="BBBBBB" w:sz="1"/>
              <w:left w:val="single" w:color="BBBBBB" w:sz="1"/>
              <w:bottom w:val="single" w:color="2E5FA3" w:sz="4"/>
              <w:right w:val="single" w:color="BBBBBB"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MAE</w:t>
            </w:r>
          </w:p>
        </w:tc>
        <w:tc>
          <w:tcPr>
            <w:tcW w:type="dxa" w:w="1600"/>
            <w:tcBorders>
              <w:top w:val="single" w:color="BBBBBB" w:sz="1"/>
              <w:left w:val="single" w:color="BBBBBB" w:sz="1"/>
              <w:bottom w:val="single" w:color="2E5FA3" w:sz="4"/>
              <w:right w:val="single" w:color="BBBBBB"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RMSE</w:t>
            </w:r>
          </w:p>
        </w:tc>
      </w:tr>
      <w:tr>
        <w:tc>
          <w:tcPr>
            <w:tcW w:type="dxa" w:w="2600"/>
            <w:tcBorders>
              <w:top w:val="single" w:color="BBBBBB" w:sz="1"/>
              <w:left w:val="single" w:color="BBBBBB" w:sz="1"/>
              <w:bottom w:val="single" w:color="BBBBBB" w:sz="1"/>
              <w:right w:val="single" w:color="BBBBBB" w:sz="1"/>
            </w:tcBorders>
            <w:shd w:fill="F0F4FF" w:val="clear"/>
            <w:tcMar>
              <w:top w:type="dxa" w:w="60"/>
              <w:left w:type="dxa" w:w="120"/>
              <w:bottom w:type="dxa" w:w="60"/>
              <w:right w:type="dxa" w:w="120"/>
            </w:tcMar>
            <w:vAlign w:val="center"/>
          </w:tcPr>
          <w:p>
            <w:pPr>
              <w:jc w:val="center"/>
            </w:pPr>
            <w:r>
              <w:rPr>
                <w:rFonts w:ascii="Arial" w:cs="Arial" w:eastAsia="Arial" w:hAnsi="Arial"/>
                <w:b/>
                <w:bCs/>
                <w:sz w:val="19"/>
                <w:szCs w:val="19"/>
              </w:rPr>
              <w:t xml:space="preserve">UITrust_C</w:t>
            </w:r>
          </w:p>
        </w:tc>
        <w:tc>
          <w:tcPr>
            <w:tcW w:type="dxa" w:w="1600"/>
            <w:tcBorders>
              <w:top w:val="single" w:color="BBBBBB" w:sz="1"/>
              <w:left w:val="single" w:color="BBBBBB" w:sz="1"/>
              <w:bottom w:val="single" w:color="BBBBBB" w:sz="1"/>
              <w:right w:val="single" w:color="BBBBBB" w:sz="1"/>
            </w:tcBorders>
            <w:shd w:fill="F0F4FF" w:val="clear"/>
            <w:tcMar>
              <w:top w:type="dxa" w:w="60"/>
              <w:left w:type="dxa" w:w="120"/>
              <w:bottom w:type="dxa" w:w="60"/>
              <w:right w:type="dxa" w:w="120"/>
            </w:tcMar>
            <w:vAlign w:val="center"/>
          </w:tcPr>
          <w:p>
            <w:pPr>
              <w:jc w:val="center"/>
            </w:pPr>
            <w:r>
              <w:rPr>
                <w:rFonts w:ascii="Arial" w:cs="Arial" w:eastAsia="Arial" w:hAnsi="Arial"/>
                <w:b/>
                <w:bCs/>
                <w:sz w:val="19"/>
                <w:szCs w:val="19"/>
              </w:rPr>
              <w:t xml:space="preserve">0.7327</w:t>
            </w:r>
          </w:p>
        </w:tc>
        <w:tc>
          <w:tcPr>
            <w:tcW w:type="dxa" w:w="1600"/>
            <w:tcBorders>
              <w:top w:val="single" w:color="BBBBBB" w:sz="1"/>
              <w:left w:val="single" w:color="BBBBBB" w:sz="1"/>
              <w:bottom w:val="single" w:color="BBBBBB" w:sz="1"/>
              <w:right w:val="single" w:color="BBBBBB" w:sz="1"/>
            </w:tcBorders>
            <w:shd w:fill="F0F4FF" w:val="clear"/>
            <w:tcMar>
              <w:top w:type="dxa" w:w="60"/>
              <w:left w:type="dxa" w:w="120"/>
              <w:bottom w:type="dxa" w:w="60"/>
              <w:right w:type="dxa" w:w="120"/>
            </w:tcMar>
            <w:vAlign w:val="center"/>
          </w:tcPr>
          <w:p>
            <w:pPr>
              <w:jc w:val="center"/>
            </w:pPr>
            <w:r>
              <w:rPr>
                <w:rFonts w:ascii="Arial" w:cs="Arial" w:eastAsia="Arial" w:hAnsi="Arial"/>
                <w:b/>
                <w:bCs/>
                <w:sz w:val="19"/>
                <w:szCs w:val="19"/>
              </w:rPr>
              <w:t xml:space="preserve">0.9377</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rFonts w:ascii="Arial" w:cs="Arial" w:eastAsia="Arial" w:hAnsi="Arial"/>
                <w:b/>
                <w:bCs/>
                <w:sz w:val="19"/>
                <w:szCs w:val="19"/>
              </w:rPr>
              <w:t xml:space="preserve">UITrust_P</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rFonts w:ascii="Arial" w:cs="Arial" w:eastAsia="Arial" w:hAnsi="Arial"/>
                <w:b/>
                <w:bCs/>
                <w:sz w:val="19"/>
                <w:szCs w:val="19"/>
              </w:rPr>
              <w:t xml:space="preserve">0.7281</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rFonts w:ascii="Arial" w:cs="Arial" w:eastAsia="Arial" w:hAnsi="Arial"/>
                <w:b/>
                <w:bCs/>
                <w:sz w:val="19"/>
                <w:szCs w:val="19"/>
              </w:rPr>
              <w:t xml:space="preserve">0.9299</w:t>
            </w:r>
          </w:p>
        </w:tc>
      </w:tr>
      <w:tr>
        <w:tc>
          <w:tcPr>
            <w:tcW w:type="dxa" w:w="2600"/>
            <w:tcBorders>
              <w:top w:val="single" w:color="BBBBBB" w:sz="1"/>
              <w:left w:val="single" w:color="BBBBBB" w:sz="1"/>
              <w:bottom w:val="single" w:color="BBBBBB" w:sz="1"/>
              <w:right w:val="single" w:color="BBBBBB" w:sz="1"/>
            </w:tcBorders>
            <w:shd w:fill="F0F4FF" w:val="clear"/>
            <w:tcMar>
              <w:top w:type="dxa" w:w="60"/>
              <w:left w:type="dxa" w:w="120"/>
              <w:bottom w:type="dxa" w:w="60"/>
              <w:right w:type="dxa" w:w="120"/>
            </w:tcMar>
            <w:vAlign w:val="center"/>
          </w:tcPr>
          <w:p>
            <w:pPr>
              <w:jc w:val="center"/>
            </w:pPr>
            <w:r>
              <w:rPr>
                <w:rFonts w:ascii="Arial" w:cs="Arial" w:eastAsia="Arial" w:hAnsi="Arial"/>
                <w:b/>
                <w:bCs/>
                <w:sz w:val="19"/>
                <w:szCs w:val="19"/>
              </w:rPr>
              <w:t xml:space="preserve">UITrust_MSD</w:t>
            </w:r>
          </w:p>
        </w:tc>
        <w:tc>
          <w:tcPr>
            <w:tcW w:type="dxa" w:w="1600"/>
            <w:tcBorders>
              <w:top w:val="single" w:color="BBBBBB" w:sz="1"/>
              <w:left w:val="single" w:color="BBBBBB" w:sz="1"/>
              <w:bottom w:val="single" w:color="BBBBBB" w:sz="1"/>
              <w:right w:val="single" w:color="BBBBBB" w:sz="1"/>
            </w:tcBorders>
            <w:shd w:fill="F0F4FF" w:val="clear"/>
            <w:tcMar>
              <w:top w:type="dxa" w:w="60"/>
              <w:left w:type="dxa" w:w="120"/>
              <w:bottom w:type="dxa" w:w="60"/>
              <w:right w:type="dxa" w:w="120"/>
            </w:tcMar>
            <w:vAlign w:val="center"/>
          </w:tcPr>
          <w:p>
            <w:pPr>
              <w:jc w:val="center"/>
            </w:pPr>
            <w:r>
              <w:rPr>
                <w:rFonts w:ascii="Arial" w:cs="Arial" w:eastAsia="Arial" w:hAnsi="Arial"/>
                <w:b/>
                <w:bCs/>
                <w:sz w:val="19"/>
                <w:szCs w:val="19"/>
              </w:rPr>
              <w:t xml:space="preserve">0.7286</w:t>
            </w:r>
          </w:p>
        </w:tc>
        <w:tc>
          <w:tcPr>
            <w:tcW w:type="dxa" w:w="1600"/>
            <w:tcBorders>
              <w:top w:val="single" w:color="BBBBBB" w:sz="1"/>
              <w:left w:val="single" w:color="BBBBBB" w:sz="1"/>
              <w:bottom w:val="single" w:color="BBBBBB" w:sz="1"/>
              <w:right w:val="single" w:color="BBBBBB" w:sz="1"/>
            </w:tcBorders>
            <w:shd w:fill="F0F4FF" w:val="clear"/>
            <w:tcMar>
              <w:top w:type="dxa" w:w="60"/>
              <w:left w:type="dxa" w:w="120"/>
              <w:bottom w:type="dxa" w:w="60"/>
              <w:right w:type="dxa" w:w="120"/>
            </w:tcMar>
            <w:vAlign w:val="center"/>
          </w:tcPr>
          <w:p>
            <w:pPr>
              <w:jc w:val="center"/>
            </w:pPr>
            <w:r>
              <w:rPr>
                <w:rFonts w:ascii="Arial" w:cs="Arial" w:eastAsia="Arial" w:hAnsi="Arial"/>
                <w:b/>
                <w:bCs/>
                <w:sz w:val="19"/>
                <w:szCs w:val="19"/>
              </w:rPr>
              <w:t xml:space="preserve">0.9325</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CKNN_P</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0.7315</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0.9308</w:t>
            </w:r>
          </w:p>
        </w:tc>
      </w:tr>
      <w:tr>
        <w:tc>
          <w:tcPr>
            <w:tcW w:type="dxa" w:w="2600"/>
            <w:tcBorders>
              <w:top w:val="single" w:color="BBBBBB" w:sz="1"/>
              <w:left w:val="single" w:color="BBBBBB" w:sz="1"/>
              <w:bottom w:val="single" w:color="BBBBBB" w:sz="1"/>
              <w:right w:val="single" w:color="BBBBBB" w:sz="1"/>
            </w:tcBorders>
            <w:shd w:fill="F0F4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BKNN_MSD</w:t>
            </w:r>
          </w:p>
        </w:tc>
        <w:tc>
          <w:tcPr>
            <w:tcW w:type="dxa" w:w="1600"/>
            <w:tcBorders>
              <w:top w:val="single" w:color="BBBBBB" w:sz="1"/>
              <w:left w:val="single" w:color="BBBBBB" w:sz="1"/>
              <w:bottom w:val="single" w:color="BBBBBB" w:sz="1"/>
              <w:right w:val="single" w:color="BBBBBB" w:sz="1"/>
            </w:tcBorders>
            <w:shd w:fill="F0F4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0.7681</w:t>
            </w:r>
          </w:p>
        </w:tc>
        <w:tc>
          <w:tcPr>
            <w:tcW w:type="dxa" w:w="1600"/>
            <w:tcBorders>
              <w:top w:val="single" w:color="BBBBBB" w:sz="1"/>
              <w:left w:val="single" w:color="BBBBBB" w:sz="1"/>
              <w:bottom w:val="single" w:color="BBBBBB" w:sz="1"/>
              <w:right w:val="single" w:color="BBBBBB" w:sz="1"/>
            </w:tcBorders>
            <w:shd w:fill="F0F4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0.9684</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CKNN_MSD</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0.7298</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0.9285</w:t>
            </w:r>
          </w:p>
        </w:tc>
      </w:tr>
      <w:tr>
        <w:tc>
          <w:tcPr>
            <w:tcW w:type="dxa" w:w="2600"/>
            <w:tcBorders>
              <w:top w:val="single" w:color="BBBBBB" w:sz="1"/>
              <w:left w:val="single" w:color="BBBBBB" w:sz="1"/>
              <w:bottom w:val="single" w:color="BBBBBB" w:sz="1"/>
              <w:right w:val="single" w:color="BBBBBB" w:sz="1"/>
            </w:tcBorders>
            <w:shd w:fill="F0F4FF" w:val="clear"/>
            <w:tcMar>
              <w:top w:type="dxa" w:w="60"/>
              <w:left w:type="dxa" w:w="120"/>
              <w:bottom w:type="dxa" w:w="60"/>
              <w:right w:type="dxa" w:w="120"/>
            </w:tcMar>
            <w:vAlign w:val="center"/>
          </w:tcPr>
          <w:p>
            <w:pPr>
              <w:jc w:val="center"/>
            </w:pPr>
            <w:r>
              <w:rPr>
                <w:rFonts w:ascii="Arial" w:cs="Arial" w:eastAsia="Arial" w:hAnsi="Arial"/>
                <w:b/>
                <w:bCs/>
                <w:sz w:val="19"/>
                <w:szCs w:val="19"/>
              </w:rPr>
              <w:t xml:space="preserve">UITrust_R</w:t>
            </w:r>
          </w:p>
        </w:tc>
        <w:tc>
          <w:tcPr>
            <w:tcW w:type="dxa" w:w="1600"/>
            <w:tcBorders>
              <w:top w:val="single" w:color="BBBBBB" w:sz="1"/>
              <w:left w:val="single" w:color="BBBBBB" w:sz="1"/>
              <w:bottom w:val="single" w:color="BBBBBB" w:sz="1"/>
              <w:right w:val="single" w:color="BBBBBB" w:sz="1"/>
            </w:tcBorders>
            <w:shd w:fill="F0F4FF" w:val="clear"/>
            <w:tcMar>
              <w:top w:type="dxa" w:w="60"/>
              <w:left w:type="dxa" w:w="120"/>
              <w:bottom w:type="dxa" w:w="60"/>
              <w:right w:type="dxa" w:w="120"/>
            </w:tcMar>
            <w:vAlign w:val="center"/>
          </w:tcPr>
          <w:p>
            <w:pPr>
              <w:jc w:val="center"/>
            </w:pPr>
            <w:r>
              <w:rPr>
                <w:rFonts w:ascii="Arial" w:cs="Arial" w:eastAsia="Arial" w:hAnsi="Arial"/>
                <w:b/>
                <w:bCs/>
                <w:sz w:val="19"/>
                <w:szCs w:val="19"/>
              </w:rPr>
              <w:t xml:space="preserve">0.7381</w:t>
            </w:r>
          </w:p>
        </w:tc>
        <w:tc>
          <w:tcPr>
            <w:tcW w:type="dxa" w:w="1600"/>
            <w:tcBorders>
              <w:top w:val="single" w:color="BBBBBB" w:sz="1"/>
              <w:left w:val="single" w:color="BBBBBB" w:sz="1"/>
              <w:bottom w:val="single" w:color="BBBBBB" w:sz="1"/>
              <w:right w:val="single" w:color="BBBBBB" w:sz="1"/>
            </w:tcBorders>
            <w:shd w:fill="F0F4FF" w:val="clear"/>
            <w:tcMar>
              <w:top w:type="dxa" w:w="60"/>
              <w:left w:type="dxa" w:w="120"/>
              <w:bottom w:type="dxa" w:w="60"/>
              <w:right w:type="dxa" w:w="120"/>
            </w:tcMar>
            <w:vAlign w:val="center"/>
          </w:tcPr>
          <w:p>
            <w:pPr>
              <w:jc w:val="center"/>
            </w:pPr>
            <w:r>
              <w:rPr>
                <w:rFonts w:ascii="Arial" w:cs="Arial" w:eastAsia="Arial" w:hAnsi="Arial"/>
                <w:b/>
                <w:bCs/>
                <w:sz w:val="19"/>
                <w:szCs w:val="19"/>
              </w:rPr>
              <w:t xml:space="preserve">0.9402</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BKNN_P</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0.7916</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0.9954</w:t>
            </w:r>
          </w:p>
        </w:tc>
      </w:tr>
    </w:tbl>
    <w:p>
      <w:pPr>
        <w:spacing w:after="60" w:before="60"/>
      </w:pPr>
      <w:r>
        <w:t xml:space="preserve"/>
      </w:r>
    </w:p>
    <w:p>
      <w:pPr>
        <w:spacing w:after="100" w:before="80"/>
      </w:pPr>
      <w:r>
        <w:rPr>
          <w:rFonts w:ascii="Arial" w:cs="Arial" w:eastAsia="Arial" w:hAnsi="Arial"/>
          <w:sz w:val="22"/>
          <w:szCs w:val="22"/>
        </w:rPr>
        <w:t xml:space="preserve">On ML-100k, UITrust_P achieved the best MAE (0.7281) and UITrust_C the best balance of RMSE/MAE among UITrust variants. Compared to the weakest baseline BKNN_P, UITrust_C improved MAE by 7.4% and RMSE by 5.8%. UITrust variants consistently outperform plain KNN baselines, confirming the paper's findings.</w:t>
      </w:r>
    </w:p>
    <w:p>
      <w:pPr>
        <w:spacing w:after="60" w:before="60"/>
      </w:pPr>
      <w:r>
        <w:t xml:space="preserve"/>
      </w:r>
    </w:p>
    <w:p>
      <w:pPr>
        <w:pStyle w:val="Heading2"/>
        <w:spacing w:after="120" w:before="240"/>
      </w:pPr>
      <w:r>
        <w:rPr>
          <w:rFonts w:ascii="Arial" w:cs="Arial" w:eastAsia="Arial" w:hAnsi="Arial"/>
          <w:b/>
          <w:bCs/>
          <w:color w:val="2E5FA3"/>
          <w:sz w:val="24"/>
          <w:szCs w:val="24"/>
        </w:rPr>
        <w:t xml:space="preserve">5.2 ML-latest-small Dataset</w:t>
      </w:r>
    </w:p>
    <w:p>
      <w:pPr>
        <w:spacing w:after="6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52750"/>
                    </a:xfrm>
                    <a:prstGeom prst="rect">
                      <a:avLst/>
                    </a:prstGeom>
                  </pic:spPr>
                </pic:pic>
              </a:graphicData>
            </a:graphic>
          </wp:inline>
        </w:drawing>
      </w:r>
    </w:p>
    <w:p>
      <w:pPr>
        <w:spacing w:after="200" w:before="40"/>
        <w:jc w:val="center"/>
      </w:pPr>
      <w:r>
        <w:rPr>
          <w:rFonts w:ascii="Arial" w:cs="Arial" w:eastAsia="Arial" w:hAnsi="Arial"/>
          <w:i/>
          <w:iCs/>
          <w:color w:val="444444"/>
          <w:sz w:val="19"/>
          <w:szCs w:val="19"/>
        </w:rPr>
        <w:t xml:space="preserve">Figure 3. Prediction accuracy on ML-latest-small dataset.</w:t>
      </w:r>
    </w:p>
    <w:tbl>
      <w:tblPr>
        <w:tblW w:type="dxa" w:w="58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tblGrid>
      <w:tr>
        <w:trPr>
          <w:tblHeader/>
        </w:trPr>
        <w:tc>
          <w:tcPr>
            <w:tcW w:type="dxa" w:w="2600"/>
            <w:tcBorders>
              <w:top w:val="single" w:color="BBBBBB" w:sz="1"/>
              <w:left w:val="single" w:color="BBBBBB" w:sz="1"/>
              <w:bottom w:val="single" w:color="2E5FA3" w:sz="4"/>
              <w:right w:val="single" w:color="BBBBBB"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1600"/>
            <w:tcBorders>
              <w:top w:val="single" w:color="BBBBBB" w:sz="1"/>
              <w:left w:val="single" w:color="BBBBBB" w:sz="1"/>
              <w:bottom w:val="single" w:color="2E5FA3" w:sz="4"/>
              <w:right w:val="single" w:color="BBBBBB"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MAE</w:t>
            </w:r>
          </w:p>
        </w:tc>
        <w:tc>
          <w:tcPr>
            <w:tcW w:type="dxa" w:w="1600"/>
            <w:tcBorders>
              <w:top w:val="single" w:color="BBBBBB" w:sz="1"/>
              <w:left w:val="single" w:color="BBBBBB" w:sz="1"/>
              <w:bottom w:val="single" w:color="2E5FA3" w:sz="4"/>
              <w:right w:val="single" w:color="BBBBBB"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RMSE</w:t>
            </w:r>
          </w:p>
        </w:tc>
      </w:tr>
      <w:tr>
        <w:tc>
          <w:tcPr>
            <w:tcW w:type="dxa" w:w="2600"/>
            <w:tcBorders>
              <w:top w:val="single" w:color="BBBBBB" w:sz="1"/>
              <w:left w:val="single" w:color="BBBBBB" w:sz="1"/>
              <w:bottom w:val="single" w:color="BBBBBB" w:sz="1"/>
              <w:right w:val="single" w:color="BBBBBB" w:sz="1"/>
            </w:tcBorders>
            <w:shd w:fill="F0F4FF" w:val="clear"/>
            <w:tcMar>
              <w:top w:type="dxa" w:w="60"/>
              <w:left w:type="dxa" w:w="120"/>
              <w:bottom w:type="dxa" w:w="60"/>
              <w:right w:type="dxa" w:w="120"/>
            </w:tcMar>
            <w:vAlign w:val="center"/>
          </w:tcPr>
          <w:p>
            <w:pPr>
              <w:jc w:val="center"/>
            </w:pPr>
            <w:r>
              <w:rPr>
                <w:rFonts w:ascii="Arial" w:cs="Arial" w:eastAsia="Arial" w:hAnsi="Arial"/>
                <w:b/>
                <w:bCs/>
                <w:sz w:val="19"/>
                <w:szCs w:val="19"/>
              </w:rPr>
              <w:t xml:space="preserve">UITrust_C</w:t>
            </w:r>
          </w:p>
        </w:tc>
        <w:tc>
          <w:tcPr>
            <w:tcW w:type="dxa" w:w="1600"/>
            <w:tcBorders>
              <w:top w:val="single" w:color="BBBBBB" w:sz="1"/>
              <w:left w:val="single" w:color="BBBBBB" w:sz="1"/>
              <w:bottom w:val="single" w:color="BBBBBB" w:sz="1"/>
              <w:right w:val="single" w:color="BBBBBB" w:sz="1"/>
            </w:tcBorders>
            <w:shd w:fill="F0F4FF" w:val="clear"/>
            <w:tcMar>
              <w:top w:type="dxa" w:w="60"/>
              <w:left w:type="dxa" w:w="120"/>
              <w:bottom w:type="dxa" w:w="60"/>
              <w:right w:type="dxa" w:w="120"/>
            </w:tcMar>
            <w:vAlign w:val="center"/>
          </w:tcPr>
          <w:p>
            <w:pPr>
              <w:jc w:val="center"/>
            </w:pPr>
            <w:r>
              <w:rPr>
                <w:rFonts w:ascii="Arial" w:cs="Arial" w:eastAsia="Arial" w:hAnsi="Arial"/>
                <w:b/>
                <w:bCs/>
                <w:sz w:val="19"/>
                <w:szCs w:val="19"/>
              </w:rPr>
              <w:t xml:space="preserve">0.6967</w:t>
            </w:r>
          </w:p>
        </w:tc>
        <w:tc>
          <w:tcPr>
            <w:tcW w:type="dxa" w:w="1600"/>
            <w:tcBorders>
              <w:top w:val="single" w:color="BBBBBB" w:sz="1"/>
              <w:left w:val="single" w:color="BBBBBB" w:sz="1"/>
              <w:bottom w:val="single" w:color="BBBBBB" w:sz="1"/>
              <w:right w:val="single" w:color="BBBBBB" w:sz="1"/>
            </w:tcBorders>
            <w:shd w:fill="F0F4FF" w:val="clear"/>
            <w:tcMar>
              <w:top w:type="dxa" w:w="60"/>
              <w:left w:type="dxa" w:w="120"/>
              <w:bottom w:type="dxa" w:w="60"/>
              <w:right w:type="dxa" w:w="120"/>
            </w:tcMar>
            <w:vAlign w:val="center"/>
          </w:tcPr>
          <w:p>
            <w:pPr>
              <w:jc w:val="center"/>
            </w:pPr>
            <w:r>
              <w:rPr>
                <w:rFonts w:ascii="Arial" w:cs="Arial" w:eastAsia="Arial" w:hAnsi="Arial"/>
                <w:b/>
                <w:bCs/>
                <w:sz w:val="19"/>
                <w:szCs w:val="19"/>
              </w:rPr>
              <w:t xml:space="preserve">0.9183</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rFonts w:ascii="Arial" w:cs="Arial" w:eastAsia="Arial" w:hAnsi="Arial"/>
                <w:b/>
                <w:bCs/>
                <w:sz w:val="19"/>
                <w:szCs w:val="19"/>
              </w:rPr>
              <w:t xml:space="preserve">UITrust_P</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rFonts w:ascii="Arial" w:cs="Arial" w:eastAsia="Arial" w:hAnsi="Arial"/>
                <w:b/>
                <w:bCs/>
                <w:sz w:val="19"/>
                <w:szCs w:val="19"/>
              </w:rPr>
              <w:t xml:space="preserve">0.6941</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rFonts w:ascii="Arial" w:cs="Arial" w:eastAsia="Arial" w:hAnsi="Arial"/>
                <w:b/>
                <w:bCs/>
                <w:sz w:val="19"/>
                <w:szCs w:val="19"/>
              </w:rPr>
              <w:t xml:space="preserve">0.9146</w:t>
            </w:r>
          </w:p>
        </w:tc>
      </w:tr>
      <w:tr>
        <w:tc>
          <w:tcPr>
            <w:tcW w:type="dxa" w:w="2600"/>
            <w:tcBorders>
              <w:top w:val="single" w:color="BBBBBB" w:sz="1"/>
              <w:left w:val="single" w:color="BBBBBB" w:sz="1"/>
              <w:bottom w:val="single" w:color="BBBBBB" w:sz="1"/>
              <w:right w:val="single" w:color="BBBBBB" w:sz="1"/>
            </w:tcBorders>
            <w:shd w:fill="F0F4FF" w:val="clear"/>
            <w:tcMar>
              <w:top w:type="dxa" w:w="60"/>
              <w:left w:type="dxa" w:w="120"/>
              <w:bottom w:type="dxa" w:w="60"/>
              <w:right w:type="dxa" w:w="120"/>
            </w:tcMar>
            <w:vAlign w:val="center"/>
          </w:tcPr>
          <w:p>
            <w:pPr>
              <w:jc w:val="center"/>
            </w:pPr>
            <w:r>
              <w:rPr>
                <w:rFonts w:ascii="Arial" w:cs="Arial" w:eastAsia="Arial" w:hAnsi="Arial"/>
                <w:b/>
                <w:bCs/>
                <w:sz w:val="19"/>
                <w:szCs w:val="19"/>
              </w:rPr>
              <w:t xml:space="preserve">UITrust_MSD</w:t>
            </w:r>
          </w:p>
        </w:tc>
        <w:tc>
          <w:tcPr>
            <w:tcW w:type="dxa" w:w="1600"/>
            <w:tcBorders>
              <w:top w:val="single" w:color="BBBBBB" w:sz="1"/>
              <w:left w:val="single" w:color="BBBBBB" w:sz="1"/>
              <w:bottom w:val="single" w:color="BBBBBB" w:sz="1"/>
              <w:right w:val="single" w:color="BBBBBB" w:sz="1"/>
            </w:tcBorders>
            <w:shd w:fill="F0F4FF" w:val="clear"/>
            <w:tcMar>
              <w:top w:type="dxa" w:w="60"/>
              <w:left w:type="dxa" w:w="120"/>
              <w:bottom w:type="dxa" w:w="60"/>
              <w:right w:type="dxa" w:w="120"/>
            </w:tcMar>
            <w:vAlign w:val="center"/>
          </w:tcPr>
          <w:p>
            <w:pPr>
              <w:jc w:val="center"/>
            </w:pPr>
            <w:r>
              <w:rPr>
                <w:rFonts w:ascii="Arial" w:cs="Arial" w:eastAsia="Arial" w:hAnsi="Arial"/>
                <w:b/>
                <w:bCs/>
                <w:sz w:val="19"/>
                <w:szCs w:val="19"/>
              </w:rPr>
              <w:t xml:space="preserve">0.6950</w:t>
            </w:r>
          </w:p>
        </w:tc>
        <w:tc>
          <w:tcPr>
            <w:tcW w:type="dxa" w:w="1600"/>
            <w:tcBorders>
              <w:top w:val="single" w:color="BBBBBB" w:sz="1"/>
              <w:left w:val="single" w:color="BBBBBB" w:sz="1"/>
              <w:bottom w:val="single" w:color="BBBBBB" w:sz="1"/>
              <w:right w:val="single" w:color="BBBBBB" w:sz="1"/>
            </w:tcBorders>
            <w:shd w:fill="F0F4FF" w:val="clear"/>
            <w:tcMar>
              <w:top w:type="dxa" w:w="60"/>
              <w:left w:type="dxa" w:w="120"/>
              <w:bottom w:type="dxa" w:w="60"/>
              <w:right w:type="dxa" w:w="120"/>
            </w:tcMar>
            <w:vAlign w:val="center"/>
          </w:tcPr>
          <w:p>
            <w:pPr>
              <w:jc w:val="center"/>
            </w:pPr>
            <w:r>
              <w:rPr>
                <w:rFonts w:ascii="Arial" w:cs="Arial" w:eastAsia="Arial" w:hAnsi="Arial"/>
                <w:b/>
                <w:bCs/>
                <w:sz w:val="19"/>
                <w:szCs w:val="19"/>
              </w:rPr>
              <w:t xml:space="preserve">0.9163</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CKNN_P</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0.6952</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0.9165</w:t>
            </w:r>
          </w:p>
        </w:tc>
      </w:tr>
      <w:tr>
        <w:tc>
          <w:tcPr>
            <w:tcW w:type="dxa" w:w="2600"/>
            <w:tcBorders>
              <w:top w:val="single" w:color="BBBBBB" w:sz="1"/>
              <w:left w:val="single" w:color="BBBBBB" w:sz="1"/>
              <w:bottom w:val="single" w:color="BBBBBB" w:sz="1"/>
              <w:right w:val="single" w:color="BBBBBB" w:sz="1"/>
            </w:tcBorders>
            <w:shd w:fill="F0F4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BKNN_MSD</w:t>
            </w:r>
          </w:p>
        </w:tc>
        <w:tc>
          <w:tcPr>
            <w:tcW w:type="dxa" w:w="1600"/>
            <w:tcBorders>
              <w:top w:val="single" w:color="BBBBBB" w:sz="1"/>
              <w:left w:val="single" w:color="BBBBBB" w:sz="1"/>
              <w:bottom w:val="single" w:color="BBBBBB" w:sz="1"/>
              <w:right w:val="single" w:color="BBBBBB" w:sz="1"/>
            </w:tcBorders>
            <w:shd w:fill="F0F4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0.7393</w:t>
            </w:r>
          </w:p>
        </w:tc>
        <w:tc>
          <w:tcPr>
            <w:tcW w:type="dxa" w:w="1600"/>
            <w:tcBorders>
              <w:top w:val="single" w:color="BBBBBB" w:sz="1"/>
              <w:left w:val="single" w:color="BBBBBB" w:sz="1"/>
              <w:bottom w:val="single" w:color="BBBBBB" w:sz="1"/>
              <w:right w:val="single" w:color="BBBBBB" w:sz="1"/>
            </w:tcBorders>
            <w:shd w:fill="F0F4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0.9699</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CKNN_MSD</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0.6921</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0.9135</w:t>
            </w:r>
          </w:p>
        </w:tc>
      </w:tr>
      <w:tr>
        <w:tc>
          <w:tcPr>
            <w:tcW w:type="dxa" w:w="2600"/>
            <w:tcBorders>
              <w:top w:val="single" w:color="BBBBBB" w:sz="1"/>
              <w:left w:val="single" w:color="BBBBBB" w:sz="1"/>
              <w:bottom w:val="single" w:color="BBBBBB" w:sz="1"/>
              <w:right w:val="single" w:color="BBBBBB" w:sz="1"/>
            </w:tcBorders>
            <w:shd w:fill="F0F4FF" w:val="clear"/>
            <w:tcMar>
              <w:top w:type="dxa" w:w="60"/>
              <w:left w:type="dxa" w:w="120"/>
              <w:bottom w:type="dxa" w:w="60"/>
              <w:right w:type="dxa" w:w="120"/>
            </w:tcMar>
            <w:vAlign w:val="center"/>
          </w:tcPr>
          <w:p>
            <w:pPr>
              <w:jc w:val="center"/>
            </w:pPr>
            <w:r>
              <w:rPr>
                <w:rFonts w:ascii="Arial" w:cs="Arial" w:eastAsia="Arial" w:hAnsi="Arial"/>
                <w:b/>
                <w:bCs/>
                <w:sz w:val="19"/>
                <w:szCs w:val="19"/>
              </w:rPr>
              <w:t xml:space="preserve">UITrust_R</w:t>
            </w:r>
          </w:p>
        </w:tc>
        <w:tc>
          <w:tcPr>
            <w:tcW w:type="dxa" w:w="1600"/>
            <w:tcBorders>
              <w:top w:val="single" w:color="BBBBBB" w:sz="1"/>
              <w:left w:val="single" w:color="BBBBBB" w:sz="1"/>
              <w:bottom w:val="single" w:color="BBBBBB" w:sz="1"/>
              <w:right w:val="single" w:color="BBBBBB" w:sz="1"/>
            </w:tcBorders>
            <w:shd w:fill="F0F4FF" w:val="clear"/>
            <w:tcMar>
              <w:top w:type="dxa" w:w="60"/>
              <w:left w:type="dxa" w:w="120"/>
              <w:bottom w:type="dxa" w:w="60"/>
              <w:right w:type="dxa" w:w="120"/>
            </w:tcMar>
            <w:vAlign w:val="center"/>
          </w:tcPr>
          <w:p>
            <w:pPr>
              <w:jc w:val="center"/>
            </w:pPr>
            <w:r>
              <w:rPr>
                <w:rFonts w:ascii="Arial" w:cs="Arial" w:eastAsia="Arial" w:hAnsi="Arial"/>
                <w:b/>
                <w:bCs/>
                <w:sz w:val="19"/>
                <w:szCs w:val="19"/>
              </w:rPr>
              <w:t xml:space="preserve">0.6978</w:t>
            </w:r>
          </w:p>
        </w:tc>
        <w:tc>
          <w:tcPr>
            <w:tcW w:type="dxa" w:w="1600"/>
            <w:tcBorders>
              <w:top w:val="single" w:color="BBBBBB" w:sz="1"/>
              <w:left w:val="single" w:color="BBBBBB" w:sz="1"/>
              <w:bottom w:val="single" w:color="BBBBBB" w:sz="1"/>
              <w:right w:val="single" w:color="BBBBBB" w:sz="1"/>
            </w:tcBorders>
            <w:shd w:fill="F0F4FF" w:val="clear"/>
            <w:tcMar>
              <w:top w:type="dxa" w:w="60"/>
              <w:left w:type="dxa" w:w="120"/>
              <w:bottom w:type="dxa" w:w="60"/>
              <w:right w:type="dxa" w:w="120"/>
            </w:tcMar>
            <w:vAlign w:val="center"/>
          </w:tcPr>
          <w:p>
            <w:pPr>
              <w:jc w:val="center"/>
            </w:pPr>
            <w:r>
              <w:rPr>
                <w:rFonts w:ascii="Arial" w:cs="Arial" w:eastAsia="Arial" w:hAnsi="Arial"/>
                <w:b/>
                <w:bCs/>
                <w:sz w:val="19"/>
                <w:szCs w:val="19"/>
              </w:rPr>
              <w:t xml:space="preserve">0.9174</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BKNN_P</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0.7601</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0.9890</w:t>
            </w:r>
          </w:p>
        </w:tc>
      </w:tr>
    </w:tbl>
    <w:p>
      <w:pPr>
        <w:spacing w:after="60" w:before="60"/>
      </w:pPr>
      <w:r>
        <w:t xml:space="preserve"/>
      </w:r>
    </w:p>
    <w:p>
      <w:pPr>
        <w:spacing w:after="100" w:before="80"/>
      </w:pPr>
      <w:r>
        <w:rPr>
          <w:rFonts w:ascii="Arial" w:cs="Arial" w:eastAsia="Arial" w:hAnsi="Arial"/>
          <w:sz w:val="22"/>
          <w:szCs w:val="22"/>
        </w:rPr>
        <w:t xml:space="preserve">This dataset has the highest sparsity (density = 1.70%). Despite this, UITrust_P achieves the best MAE (0.6941) and RMSE (0.9146). The improvement over BKNN_P is even more pronounced here (~7.6% in MAE), validating the paper's claim that the classification-based dense weight matrix is especially beneficial for sparse datasets.</w:t>
      </w:r>
    </w:p>
    <w:p>
      <w:pPr>
        <w:spacing w:after="60" w:before="60"/>
      </w:pPr>
      <w:r>
        <w:t xml:space="preserve"/>
      </w:r>
    </w:p>
    <w:p>
      <w:pPr>
        <w:pStyle w:val="Heading2"/>
        <w:spacing w:after="120" w:before="240"/>
      </w:pPr>
      <w:r>
        <w:rPr>
          <w:rFonts w:ascii="Arial" w:cs="Arial" w:eastAsia="Arial" w:hAnsi="Arial"/>
          <w:b/>
          <w:bCs/>
          <w:color w:val="2E5FA3"/>
          <w:sz w:val="24"/>
          <w:szCs w:val="24"/>
        </w:rPr>
        <w:t xml:space="preserve">5.3 ML-1m Dataset</w:t>
      </w:r>
    </w:p>
    <w:p>
      <w:pPr>
        <w:spacing w:after="6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52750"/>
                    </a:xfrm>
                    <a:prstGeom prst="rect">
                      <a:avLst/>
                    </a:prstGeom>
                  </pic:spPr>
                </pic:pic>
              </a:graphicData>
            </a:graphic>
          </wp:inline>
        </w:drawing>
      </w:r>
    </w:p>
    <w:p>
      <w:pPr>
        <w:spacing w:after="200" w:before="40"/>
        <w:jc w:val="center"/>
      </w:pPr>
      <w:r>
        <w:rPr>
          <w:rFonts w:ascii="Arial" w:cs="Arial" w:eastAsia="Arial" w:hAnsi="Arial"/>
          <w:i/>
          <w:iCs/>
          <w:color w:val="444444"/>
          <w:sz w:val="19"/>
          <w:szCs w:val="19"/>
        </w:rPr>
        <w:t xml:space="preserve">Figure 4. Prediction accuracy on ML-1m dataset.</w:t>
      </w:r>
    </w:p>
    <w:tbl>
      <w:tblPr>
        <w:tblW w:type="dxa" w:w="58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tblGrid>
      <w:tr>
        <w:trPr>
          <w:tblHeader/>
        </w:trPr>
        <w:tc>
          <w:tcPr>
            <w:tcW w:type="dxa" w:w="2600"/>
            <w:tcBorders>
              <w:top w:val="single" w:color="BBBBBB" w:sz="1"/>
              <w:left w:val="single" w:color="BBBBBB" w:sz="1"/>
              <w:bottom w:val="single" w:color="2E5FA3" w:sz="4"/>
              <w:right w:val="single" w:color="BBBBBB"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1600"/>
            <w:tcBorders>
              <w:top w:val="single" w:color="BBBBBB" w:sz="1"/>
              <w:left w:val="single" w:color="BBBBBB" w:sz="1"/>
              <w:bottom w:val="single" w:color="2E5FA3" w:sz="4"/>
              <w:right w:val="single" w:color="BBBBBB"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MAE</w:t>
            </w:r>
          </w:p>
        </w:tc>
        <w:tc>
          <w:tcPr>
            <w:tcW w:type="dxa" w:w="1600"/>
            <w:tcBorders>
              <w:top w:val="single" w:color="BBBBBB" w:sz="1"/>
              <w:left w:val="single" w:color="BBBBBB" w:sz="1"/>
              <w:bottom w:val="single" w:color="2E5FA3" w:sz="4"/>
              <w:right w:val="single" w:color="BBBBBB"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RMSE</w:t>
            </w:r>
          </w:p>
        </w:tc>
      </w:tr>
      <w:tr>
        <w:tc>
          <w:tcPr>
            <w:tcW w:type="dxa" w:w="2600"/>
            <w:tcBorders>
              <w:top w:val="single" w:color="BBBBBB" w:sz="1"/>
              <w:left w:val="single" w:color="BBBBBB" w:sz="1"/>
              <w:bottom w:val="single" w:color="BBBBBB" w:sz="1"/>
              <w:right w:val="single" w:color="BBBBBB" w:sz="1"/>
            </w:tcBorders>
            <w:shd w:fill="F0F4FF" w:val="clear"/>
            <w:tcMar>
              <w:top w:type="dxa" w:w="60"/>
              <w:left w:type="dxa" w:w="120"/>
              <w:bottom w:type="dxa" w:w="60"/>
              <w:right w:type="dxa" w:w="120"/>
            </w:tcMar>
            <w:vAlign w:val="center"/>
          </w:tcPr>
          <w:p>
            <w:pPr>
              <w:jc w:val="center"/>
            </w:pPr>
            <w:r>
              <w:rPr>
                <w:rFonts w:ascii="Arial" w:cs="Arial" w:eastAsia="Arial" w:hAnsi="Arial"/>
                <w:b/>
                <w:bCs/>
                <w:sz w:val="19"/>
                <w:szCs w:val="19"/>
              </w:rPr>
              <w:t xml:space="preserve">UITrust_C</w:t>
            </w:r>
          </w:p>
        </w:tc>
        <w:tc>
          <w:tcPr>
            <w:tcW w:type="dxa" w:w="1600"/>
            <w:tcBorders>
              <w:top w:val="single" w:color="BBBBBB" w:sz="1"/>
              <w:left w:val="single" w:color="BBBBBB" w:sz="1"/>
              <w:bottom w:val="single" w:color="BBBBBB" w:sz="1"/>
              <w:right w:val="single" w:color="BBBBBB" w:sz="1"/>
            </w:tcBorders>
            <w:shd w:fill="F0F4FF" w:val="clear"/>
            <w:tcMar>
              <w:top w:type="dxa" w:w="60"/>
              <w:left w:type="dxa" w:w="120"/>
              <w:bottom w:type="dxa" w:w="60"/>
              <w:right w:type="dxa" w:w="120"/>
            </w:tcMar>
            <w:vAlign w:val="center"/>
          </w:tcPr>
          <w:p>
            <w:pPr>
              <w:jc w:val="center"/>
            </w:pPr>
            <w:r>
              <w:rPr>
                <w:rFonts w:ascii="Arial" w:cs="Arial" w:eastAsia="Arial" w:hAnsi="Arial"/>
                <w:b/>
                <w:bCs/>
                <w:sz w:val="19"/>
                <w:szCs w:val="19"/>
              </w:rPr>
              <w:t xml:space="preserve">0.7593</w:t>
            </w:r>
          </w:p>
        </w:tc>
        <w:tc>
          <w:tcPr>
            <w:tcW w:type="dxa" w:w="1600"/>
            <w:tcBorders>
              <w:top w:val="single" w:color="BBBBBB" w:sz="1"/>
              <w:left w:val="single" w:color="BBBBBB" w:sz="1"/>
              <w:bottom w:val="single" w:color="BBBBBB" w:sz="1"/>
              <w:right w:val="single" w:color="BBBBBB" w:sz="1"/>
            </w:tcBorders>
            <w:shd w:fill="F0F4FF" w:val="clear"/>
            <w:tcMar>
              <w:top w:type="dxa" w:w="60"/>
              <w:left w:type="dxa" w:w="120"/>
              <w:bottom w:type="dxa" w:w="60"/>
              <w:right w:type="dxa" w:w="120"/>
            </w:tcMar>
            <w:vAlign w:val="center"/>
          </w:tcPr>
          <w:p>
            <w:pPr>
              <w:jc w:val="center"/>
            </w:pPr>
            <w:r>
              <w:rPr>
                <w:rFonts w:ascii="Arial" w:cs="Arial" w:eastAsia="Arial" w:hAnsi="Arial"/>
                <w:b/>
                <w:bCs/>
                <w:sz w:val="19"/>
                <w:szCs w:val="19"/>
              </w:rPr>
              <w:t xml:space="preserve">0.9825</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rFonts w:ascii="Arial" w:cs="Arial" w:eastAsia="Arial" w:hAnsi="Arial"/>
                <w:b/>
                <w:bCs/>
                <w:sz w:val="19"/>
                <w:szCs w:val="19"/>
              </w:rPr>
              <w:t xml:space="preserve">UITrust_P</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rFonts w:ascii="Arial" w:cs="Arial" w:eastAsia="Arial" w:hAnsi="Arial"/>
                <w:b/>
                <w:bCs/>
                <w:sz w:val="19"/>
                <w:szCs w:val="19"/>
              </w:rPr>
              <w:t xml:space="preserve">0.7560</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rFonts w:ascii="Arial" w:cs="Arial" w:eastAsia="Arial" w:hAnsi="Arial"/>
                <w:b/>
                <w:bCs/>
                <w:sz w:val="19"/>
                <w:szCs w:val="19"/>
              </w:rPr>
              <w:t xml:space="preserve">0.9781</w:t>
            </w:r>
          </w:p>
        </w:tc>
      </w:tr>
      <w:tr>
        <w:tc>
          <w:tcPr>
            <w:tcW w:type="dxa" w:w="2600"/>
            <w:tcBorders>
              <w:top w:val="single" w:color="BBBBBB" w:sz="1"/>
              <w:left w:val="single" w:color="BBBBBB" w:sz="1"/>
              <w:bottom w:val="single" w:color="BBBBBB" w:sz="1"/>
              <w:right w:val="single" w:color="BBBBBB" w:sz="1"/>
            </w:tcBorders>
            <w:shd w:fill="F0F4FF" w:val="clear"/>
            <w:tcMar>
              <w:top w:type="dxa" w:w="60"/>
              <w:left w:type="dxa" w:w="120"/>
              <w:bottom w:type="dxa" w:w="60"/>
              <w:right w:type="dxa" w:w="120"/>
            </w:tcMar>
            <w:vAlign w:val="center"/>
          </w:tcPr>
          <w:p>
            <w:pPr>
              <w:jc w:val="center"/>
            </w:pPr>
            <w:r>
              <w:rPr>
                <w:rFonts w:ascii="Arial" w:cs="Arial" w:eastAsia="Arial" w:hAnsi="Arial"/>
                <w:b/>
                <w:bCs/>
                <w:sz w:val="19"/>
                <w:szCs w:val="19"/>
              </w:rPr>
              <w:t xml:space="preserve">UITrust_MSD</w:t>
            </w:r>
          </w:p>
        </w:tc>
        <w:tc>
          <w:tcPr>
            <w:tcW w:type="dxa" w:w="1600"/>
            <w:tcBorders>
              <w:top w:val="single" w:color="BBBBBB" w:sz="1"/>
              <w:left w:val="single" w:color="BBBBBB" w:sz="1"/>
              <w:bottom w:val="single" w:color="BBBBBB" w:sz="1"/>
              <w:right w:val="single" w:color="BBBBBB" w:sz="1"/>
            </w:tcBorders>
            <w:shd w:fill="F0F4FF" w:val="clear"/>
            <w:tcMar>
              <w:top w:type="dxa" w:w="60"/>
              <w:left w:type="dxa" w:w="120"/>
              <w:bottom w:type="dxa" w:w="60"/>
              <w:right w:type="dxa" w:w="120"/>
            </w:tcMar>
            <w:vAlign w:val="center"/>
          </w:tcPr>
          <w:p>
            <w:pPr>
              <w:jc w:val="center"/>
            </w:pPr>
            <w:r>
              <w:rPr>
                <w:rFonts w:ascii="Arial" w:cs="Arial" w:eastAsia="Arial" w:hAnsi="Arial"/>
                <w:b/>
                <w:bCs/>
                <w:sz w:val="19"/>
                <w:szCs w:val="19"/>
              </w:rPr>
              <w:t xml:space="preserve">0.7583</w:t>
            </w:r>
          </w:p>
        </w:tc>
        <w:tc>
          <w:tcPr>
            <w:tcW w:type="dxa" w:w="1600"/>
            <w:tcBorders>
              <w:top w:val="single" w:color="BBBBBB" w:sz="1"/>
              <w:left w:val="single" w:color="BBBBBB" w:sz="1"/>
              <w:bottom w:val="single" w:color="BBBBBB" w:sz="1"/>
              <w:right w:val="single" w:color="BBBBBB" w:sz="1"/>
            </w:tcBorders>
            <w:shd w:fill="F0F4FF" w:val="clear"/>
            <w:tcMar>
              <w:top w:type="dxa" w:w="60"/>
              <w:left w:type="dxa" w:w="120"/>
              <w:bottom w:type="dxa" w:w="60"/>
              <w:right w:type="dxa" w:w="120"/>
            </w:tcMar>
            <w:vAlign w:val="center"/>
          </w:tcPr>
          <w:p>
            <w:pPr>
              <w:jc w:val="center"/>
            </w:pPr>
            <w:r>
              <w:rPr>
                <w:rFonts w:ascii="Arial" w:cs="Arial" w:eastAsia="Arial" w:hAnsi="Arial"/>
                <w:b/>
                <w:bCs/>
                <w:sz w:val="19"/>
                <w:szCs w:val="19"/>
              </w:rPr>
              <w:t xml:space="preserve">0.9803</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CKNN_P</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0.7507</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0.9750</w:t>
            </w:r>
          </w:p>
        </w:tc>
      </w:tr>
      <w:tr>
        <w:tc>
          <w:tcPr>
            <w:tcW w:type="dxa" w:w="2600"/>
            <w:tcBorders>
              <w:top w:val="single" w:color="BBBBBB" w:sz="1"/>
              <w:left w:val="single" w:color="BBBBBB" w:sz="1"/>
              <w:bottom w:val="single" w:color="BBBBBB" w:sz="1"/>
              <w:right w:val="single" w:color="BBBBBB" w:sz="1"/>
            </w:tcBorders>
            <w:shd w:fill="F0F4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BKNN_MSD</w:t>
            </w:r>
          </w:p>
        </w:tc>
        <w:tc>
          <w:tcPr>
            <w:tcW w:type="dxa" w:w="1600"/>
            <w:tcBorders>
              <w:top w:val="single" w:color="BBBBBB" w:sz="1"/>
              <w:left w:val="single" w:color="BBBBBB" w:sz="1"/>
              <w:bottom w:val="single" w:color="BBBBBB" w:sz="1"/>
              <w:right w:val="single" w:color="BBBBBB" w:sz="1"/>
            </w:tcBorders>
            <w:shd w:fill="F0F4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0.7848</w:t>
            </w:r>
          </w:p>
        </w:tc>
        <w:tc>
          <w:tcPr>
            <w:tcW w:type="dxa" w:w="1600"/>
            <w:tcBorders>
              <w:top w:val="single" w:color="BBBBBB" w:sz="1"/>
              <w:left w:val="single" w:color="BBBBBB" w:sz="1"/>
              <w:bottom w:val="single" w:color="BBBBBB" w:sz="1"/>
              <w:right w:val="single" w:color="BBBBBB" w:sz="1"/>
            </w:tcBorders>
            <w:shd w:fill="F0F4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0.9982</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CKNN_MSD</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0.7593</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0.9750</w:t>
            </w:r>
          </w:p>
        </w:tc>
      </w:tr>
      <w:tr>
        <w:tc>
          <w:tcPr>
            <w:tcW w:type="dxa" w:w="2600"/>
            <w:tcBorders>
              <w:top w:val="single" w:color="BBBBBB" w:sz="1"/>
              <w:left w:val="single" w:color="BBBBBB" w:sz="1"/>
              <w:bottom w:val="single" w:color="BBBBBB" w:sz="1"/>
              <w:right w:val="single" w:color="BBBBBB" w:sz="1"/>
            </w:tcBorders>
            <w:shd w:fill="F0F4FF" w:val="clear"/>
            <w:tcMar>
              <w:top w:type="dxa" w:w="60"/>
              <w:left w:type="dxa" w:w="120"/>
              <w:bottom w:type="dxa" w:w="60"/>
              <w:right w:type="dxa" w:w="120"/>
            </w:tcMar>
            <w:vAlign w:val="center"/>
          </w:tcPr>
          <w:p>
            <w:pPr>
              <w:jc w:val="center"/>
            </w:pPr>
            <w:r>
              <w:rPr>
                <w:rFonts w:ascii="Arial" w:cs="Arial" w:eastAsia="Arial" w:hAnsi="Arial"/>
                <w:b/>
                <w:bCs/>
                <w:sz w:val="19"/>
                <w:szCs w:val="19"/>
              </w:rPr>
              <w:t xml:space="preserve">UITrust_R</w:t>
            </w:r>
          </w:p>
        </w:tc>
        <w:tc>
          <w:tcPr>
            <w:tcW w:type="dxa" w:w="1600"/>
            <w:tcBorders>
              <w:top w:val="single" w:color="BBBBBB" w:sz="1"/>
              <w:left w:val="single" w:color="BBBBBB" w:sz="1"/>
              <w:bottom w:val="single" w:color="BBBBBB" w:sz="1"/>
              <w:right w:val="single" w:color="BBBBBB" w:sz="1"/>
            </w:tcBorders>
            <w:shd w:fill="F0F4FF" w:val="clear"/>
            <w:tcMar>
              <w:top w:type="dxa" w:w="60"/>
              <w:left w:type="dxa" w:w="120"/>
              <w:bottom w:type="dxa" w:w="60"/>
              <w:right w:type="dxa" w:w="120"/>
            </w:tcMar>
            <w:vAlign w:val="center"/>
          </w:tcPr>
          <w:p>
            <w:pPr>
              <w:jc w:val="center"/>
            </w:pPr>
            <w:r>
              <w:rPr>
                <w:rFonts w:ascii="Arial" w:cs="Arial" w:eastAsia="Arial" w:hAnsi="Arial"/>
                <w:b/>
                <w:bCs/>
                <w:sz w:val="19"/>
                <w:szCs w:val="19"/>
              </w:rPr>
              <w:t xml:space="preserve">0.7624</w:t>
            </w:r>
          </w:p>
        </w:tc>
        <w:tc>
          <w:tcPr>
            <w:tcW w:type="dxa" w:w="1600"/>
            <w:tcBorders>
              <w:top w:val="single" w:color="BBBBBB" w:sz="1"/>
              <w:left w:val="single" w:color="BBBBBB" w:sz="1"/>
              <w:bottom w:val="single" w:color="BBBBBB" w:sz="1"/>
              <w:right w:val="single" w:color="BBBBBB" w:sz="1"/>
            </w:tcBorders>
            <w:shd w:fill="F0F4FF" w:val="clear"/>
            <w:tcMar>
              <w:top w:type="dxa" w:w="60"/>
              <w:left w:type="dxa" w:w="120"/>
              <w:bottom w:type="dxa" w:w="60"/>
              <w:right w:type="dxa" w:w="120"/>
            </w:tcMar>
            <w:vAlign w:val="center"/>
          </w:tcPr>
          <w:p>
            <w:pPr>
              <w:jc w:val="center"/>
            </w:pPr>
            <w:r>
              <w:rPr>
                <w:rFonts w:ascii="Arial" w:cs="Arial" w:eastAsia="Arial" w:hAnsi="Arial"/>
                <w:b/>
                <w:bCs/>
                <w:sz w:val="19"/>
                <w:szCs w:val="19"/>
              </w:rPr>
              <w:t xml:space="preserve">0.9829</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BKNN_P</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0.8002</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1.0143</w:t>
            </w:r>
          </w:p>
        </w:tc>
      </w:tr>
    </w:tbl>
    <w:p>
      <w:pPr>
        <w:spacing w:after="60" w:before="60"/>
      </w:pPr>
      <w:r>
        <w:t xml:space="preserve"/>
      </w:r>
    </w:p>
    <w:p>
      <w:pPr>
        <w:spacing w:after="100" w:before="80"/>
      </w:pPr>
      <w:r>
        <w:rPr>
          <w:rFonts w:ascii="Arial" w:cs="Arial" w:eastAsia="Arial" w:hAnsi="Arial"/>
          <w:sz w:val="22"/>
          <w:szCs w:val="22"/>
        </w:rPr>
        <w:t xml:space="preserve">On the largest dataset (1M ratings), UITrust_P again performs best among UITrust variants (MAE=0.7560, RMSE=0.9781). CKNN_P achieves a slightly lower MAE (0.7507), suggesting that on denser data (4.25%) the rating-vector-based Pearson similarity is highly competitive. UITrust still significantly outperforms both BKNN variants.</w:t>
      </w:r>
    </w:p>
    <w:p>
      <w:pPr>
        <w:spacing w:after="60" w:before="60"/>
      </w:pPr>
      <w:r>
        <w:t xml:space="preserve"/>
      </w:r>
    </w:p>
    <w:p>
      <w:pPr>
        <w:pStyle w:val="Heading2"/>
        <w:spacing w:after="120" w:before="240"/>
      </w:pPr>
      <w:r>
        <w:rPr>
          <w:rFonts w:ascii="Arial" w:cs="Arial" w:eastAsia="Arial" w:hAnsi="Arial"/>
          <w:b/>
          <w:bCs/>
          <w:color w:val="2E5FA3"/>
          <w:sz w:val="24"/>
          <w:szCs w:val="24"/>
        </w:rPr>
        <w:t xml:space="preserve">5.4 Sparsity of Weight Matrix</w:t>
      </w:r>
    </w:p>
    <w:p>
      <w:pPr>
        <w:spacing w:after="60" w:before="12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857500"/>
                    </a:xfrm>
                    <a:prstGeom prst="rect">
                      <a:avLst/>
                    </a:prstGeom>
                  </pic:spPr>
                </pic:pic>
              </a:graphicData>
            </a:graphic>
          </wp:inline>
        </w:drawing>
      </w:r>
    </w:p>
    <w:p>
      <w:pPr>
        <w:spacing w:after="200" w:before="40"/>
        <w:jc w:val="center"/>
      </w:pPr>
      <w:r>
        <w:rPr>
          <w:rFonts w:ascii="Arial" w:cs="Arial" w:eastAsia="Arial" w:hAnsi="Arial"/>
          <w:i/>
          <w:iCs/>
          <w:color w:val="444444"/>
          <w:sz w:val="19"/>
          <w:szCs w:val="19"/>
        </w:rPr>
        <w:t xml:space="preserve">Figure 5. Number of empty entries in weight matrices vs number of users (ML-100k). UITrust always has zero empty entries.</w:t>
      </w:r>
    </w:p>
    <w:p>
      <w:pPr>
        <w:spacing w:after="100" w:before="80"/>
      </w:pPr>
      <w:r>
        <w:rPr>
          <w:rFonts w:ascii="Arial" w:cs="Arial" w:eastAsia="Arial" w:hAnsi="Arial"/>
          <w:sz w:val="22"/>
          <w:szCs w:val="22"/>
        </w:rPr>
        <w:t xml:space="preserve">As shown in Figure 5, the weight matrices for Pearson and MSD similarity grow sparser as the number of users increases — Pearson sparsity grows roughly 2.5× faster than MSD. UITrust's weight matrix maintains zero empty entries regardless of user count, because every (user, item) pair always yields a non-zero classification-based weight. This is a critical advantage for making predictions for users with few co-rated items.</w:t>
      </w:r>
    </w:p>
    <w:p>
      <w:pPr>
        <w:spacing w:after="60" w:before="60"/>
      </w:pPr>
      <w:r>
        <w:t xml:space="preserve"/>
      </w:r>
    </w:p>
    <w:p>
      <w:pPr>
        <w:pStyle w:val="Heading2"/>
        <w:spacing w:after="120" w:before="240"/>
      </w:pPr>
      <w:r>
        <w:rPr>
          <w:rFonts w:ascii="Arial" w:cs="Arial" w:eastAsia="Arial" w:hAnsi="Arial"/>
          <w:b/>
          <w:bCs/>
          <w:color w:val="2E5FA3"/>
          <w:sz w:val="24"/>
          <w:szCs w:val="24"/>
        </w:rPr>
        <w:t xml:space="preserve">5.5 Comparison with Paper Values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1500"/>
      </w:tblGrid>
      <w:tr>
        <w:trPr>
          <w:tblHeader/>
        </w:trPr>
        <w:tc>
          <w:tcPr>
            <w:tcW w:type="dxa" w:w="2000"/>
            <w:tcBorders>
              <w:top w:val="single" w:color="BBBBBB" w:sz="1"/>
              <w:left w:val="single" w:color="BBBBBB" w:sz="1"/>
              <w:bottom w:val="single" w:color="2E5FA3" w:sz="4"/>
              <w:right w:val="single" w:color="BBBBBB"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Dataset</w:t>
            </w:r>
          </w:p>
        </w:tc>
        <w:tc>
          <w:tcPr>
            <w:tcW w:type="dxa" w:w="1500"/>
            <w:tcBorders>
              <w:top w:val="single" w:color="BBBBBB" w:sz="1"/>
              <w:left w:val="single" w:color="BBBBBB" w:sz="1"/>
              <w:bottom w:val="single" w:color="2E5FA3" w:sz="4"/>
              <w:right w:val="single" w:color="BBBBBB"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Paper UITrust_C MAE</w:t>
            </w:r>
          </w:p>
        </w:tc>
        <w:tc>
          <w:tcPr>
            <w:tcW w:type="dxa" w:w="1500"/>
            <w:tcBorders>
              <w:top w:val="single" w:color="BBBBBB" w:sz="1"/>
              <w:left w:val="single" w:color="BBBBBB" w:sz="1"/>
              <w:bottom w:val="single" w:color="2E5FA3" w:sz="4"/>
              <w:right w:val="single" w:color="BBBBBB"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Our UITrust_C MAE</w:t>
            </w:r>
          </w:p>
        </w:tc>
        <w:tc>
          <w:tcPr>
            <w:tcW w:type="dxa" w:w="1500"/>
            <w:tcBorders>
              <w:top w:val="single" w:color="BBBBBB" w:sz="1"/>
              <w:left w:val="single" w:color="BBBBBB" w:sz="1"/>
              <w:bottom w:val="single" w:color="2E5FA3" w:sz="4"/>
              <w:right w:val="single" w:color="BBBBBB"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Paper BKNN_P MAE</w:t>
            </w:r>
          </w:p>
        </w:tc>
        <w:tc>
          <w:tcPr>
            <w:tcW w:type="dxa" w:w="1500"/>
            <w:tcBorders>
              <w:top w:val="single" w:color="BBBBBB" w:sz="1"/>
              <w:left w:val="single" w:color="BBBBBB" w:sz="1"/>
              <w:bottom w:val="single" w:color="2E5FA3" w:sz="4"/>
              <w:right w:val="single" w:color="BBBBBB"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Our BKNN_P MAE</w:t>
            </w:r>
          </w:p>
        </w:tc>
      </w:tr>
      <w:tr>
        <w:tc>
          <w:tcPr>
            <w:tcW w:type="dxa" w:w="2000"/>
            <w:tcBorders>
              <w:top w:val="single" w:color="BBBBBB" w:sz="1"/>
              <w:left w:val="single" w:color="BBBBBB" w:sz="1"/>
              <w:bottom w:val="single" w:color="BBBBBB" w:sz="1"/>
              <w:right w:val="single" w:color="BBBBBB" w:sz="1"/>
            </w:tcBorders>
            <w:shd w:fill="F0F4FF" w:val="clear"/>
            <w:tcMar>
              <w:top w:type="dxa" w:w="60"/>
              <w:left w:type="dxa" w:w="120"/>
              <w:bottom w:type="dxa" w:w="60"/>
              <w:right w:type="dxa" w:w="120"/>
            </w:tcMar>
            <w:vAlign w:val="center"/>
          </w:tcPr>
          <w:p>
            <w:pPr>
              <w:jc w:val="center"/>
            </w:pPr>
            <w:r>
              <w:rPr>
                <w:rFonts w:ascii="Arial" w:cs="Arial" w:eastAsia="Arial" w:hAnsi="Arial"/>
                <w:b/>
                <w:bCs/>
                <w:sz w:val="19"/>
                <w:szCs w:val="19"/>
              </w:rPr>
              <w:t xml:space="preserve">ML-100k</w:t>
            </w:r>
          </w:p>
        </w:tc>
        <w:tc>
          <w:tcPr>
            <w:tcW w:type="dxa" w:w="1500"/>
            <w:tcBorders>
              <w:top w:val="single" w:color="BBBBBB" w:sz="1"/>
              <w:left w:val="single" w:color="BBBBBB" w:sz="1"/>
              <w:bottom w:val="single" w:color="BBBBBB" w:sz="1"/>
              <w:right w:val="single" w:color="BBBBBB" w:sz="1"/>
            </w:tcBorders>
            <w:shd w:fill="F0F4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~0.722</w:t>
            </w:r>
          </w:p>
        </w:tc>
        <w:tc>
          <w:tcPr>
            <w:tcW w:type="dxa" w:w="1500"/>
            <w:tcBorders>
              <w:top w:val="single" w:color="BBBBBB" w:sz="1"/>
              <w:left w:val="single" w:color="BBBBBB" w:sz="1"/>
              <w:bottom w:val="single" w:color="BBBBBB" w:sz="1"/>
              <w:right w:val="single" w:color="BBBBBB" w:sz="1"/>
            </w:tcBorders>
            <w:shd w:fill="F0F4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0.7327</w:t>
            </w:r>
          </w:p>
        </w:tc>
        <w:tc>
          <w:tcPr>
            <w:tcW w:type="dxa" w:w="1500"/>
            <w:tcBorders>
              <w:top w:val="single" w:color="BBBBBB" w:sz="1"/>
              <w:left w:val="single" w:color="BBBBBB" w:sz="1"/>
              <w:bottom w:val="single" w:color="BBBBBB" w:sz="1"/>
              <w:right w:val="single" w:color="BBBBBB" w:sz="1"/>
            </w:tcBorders>
            <w:shd w:fill="F0F4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~0.777</w:t>
            </w:r>
          </w:p>
        </w:tc>
        <w:tc>
          <w:tcPr>
            <w:tcW w:type="dxa" w:w="1500"/>
            <w:tcBorders>
              <w:top w:val="single" w:color="BBBBBB" w:sz="1"/>
              <w:left w:val="single" w:color="BBBBBB" w:sz="1"/>
              <w:bottom w:val="single" w:color="BBBBBB" w:sz="1"/>
              <w:right w:val="single" w:color="BBBBBB" w:sz="1"/>
            </w:tcBorders>
            <w:shd w:fill="F0F4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0.7916</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rFonts w:ascii="Arial" w:cs="Arial" w:eastAsia="Arial" w:hAnsi="Arial"/>
                <w:b/>
                <w:bCs/>
                <w:sz w:val="19"/>
                <w:szCs w:val="19"/>
              </w:rPr>
              <w:t xml:space="preserve">ML-latest-small</w:t>
            </w:r>
          </w:p>
        </w:tc>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~0.660</w:t>
            </w:r>
          </w:p>
        </w:tc>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0.6967</w:t>
            </w:r>
          </w:p>
        </w:tc>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~0.722</w:t>
            </w:r>
          </w:p>
        </w:tc>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0.7601</w:t>
            </w:r>
          </w:p>
        </w:tc>
      </w:tr>
      <w:tr>
        <w:tc>
          <w:tcPr>
            <w:tcW w:type="dxa" w:w="2000"/>
            <w:tcBorders>
              <w:top w:val="single" w:color="BBBBBB" w:sz="1"/>
              <w:left w:val="single" w:color="BBBBBB" w:sz="1"/>
              <w:bottom w:val="single" w:color="BBBBBB" w:sz="1"/>
              <w:right w:val="single" w:color="BBBBBB" w:sz="1"/>
            </w:tcBorders>
            <w:shd w:fill="F0F4FF" w:val="clear"/>
            <w:tcMar>
              <w:top w:type="dxa" w:w="60"/>
              <w:left w:type="dxa" w:w="120"/>
              <w:bottom w:type="dxa" w:w="60"/>
              <w:right w:type="dxa" w:w="120"/>
            </w:tcMar>
            <w:vAlign w:val="center"/>
          </w:tcPr>
          <w:p>
            <w:pPr>
              <w:jc w:val="center"/>
            </w:pPr>
            <w:r>
              <w:rPr>
                <w:rFonts w:ascii="Arial" w:cs="Arial" w:eastAsia="Arial" w:hAnsi="Arial"/>
                <w:b/>
                <w:bCs/>
                <w:sz w:val="19"/>
                <w:szCs w:val="19"/>
              </w:rPr>
              <w:t xml:space="preserve">ML-1m</w:t>
            </w:r>
          </w:p>
        </w:tc>
        <w:tc>
          <w:tcPr>
            <w:tcW w:type="dxa" w:w="1500"/>
            <w:tcBorders>
              <w:top w:val="single" w:color="BBBBBB" w:sz="1"/>
              <w:left w:val="single" w:color="BBBBBB" w:sz="1"/>
              <w:bottom w:val="single" w:color="BBBBBB" w:sz="1"/>
              <w:right w:val="single" w:color="BBBBBB" w:sz="1"/>
            </w:tcBorders>
            <w:shd w:fill="F0F4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~0.702</w:t>
            </w:r>
          </w:p>
        </w:tc>
        <w:tc>
          <w:tcPr>
            <w:tcW w:type="dxa" w:w="1500"/>
            <w:tcBorders>
              <w:top w:val="single" w:color="BBBBBB" w:sz="1"/>
              <w:left w:val="single" w:color="BBBBBB" w:sz="1"/>
              <w:bottom w:val="single" w:color="BBBBBB" w:sz="1"/>
              <w:right w:val="single" w:color="BBBBBB" w:sz="1"/>
            </w:tcBorders>
            <w:shd w:fill="F0F4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0.7593</w:t>
            </w:r>
          </w:p>
        </w:tc>
        <w:tc>
          <w:tcPr>
            <w:tcW w:type="dxa" w:w="1500"/>
            <w:tcBorders>
              <w:top w:val="single" w:color="BBBBBB" w:sz="1"/>
              <w:left w:val="single" w:color="BBBBBB" w:sz="1"/>
              <w:bottom w:val="single" w:color="BBBBBB" w:sz="1"/>
              <w:right w:val="single" w:color="BBBBBB" w:sz="1"/>
            </w:tcBorders>
            <w:shd w:fill="F0F4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~0.753</w:t>
            </w:r>
          </w:p>
        </w:tc>
        <w:tc>
          <w:tcPr>
            <w:tcW w:type="dxa" w:w="1500"/>
            <w:tcBorders>
              <w:top w:val="single" w:color="BBBBBB" w:sz="1"/>
              <w:left w:val="single" w:color="BBBBBB" w:sz="1"/>
              <w:bottom w:val="single" w:color="BBBBBB" w:sz="1"/>
              <w:right w:val="single" w:color="BBBBBB" w:sz="1"/>
            </w:tcBorders>
            <w:shd w:fill="F0F4FF" w:val="clear"/>
            <w:tcMar>
              <w:top w:type="dxa" w:w="60"/>
              <w:left w:type="dxa" w:w="120"/>
              <w:bottom w:type="dxa" w:w="60"/>
              <w:right w:type="dxa" w:w="120"/>
            </w:tcMar>
            <w:vAlign w:val="center"/>
          </w:tcPr>
          <w:p>
            <w:pPr>
              <w:jc w:val="center"/>
            </w:pPr>
            <w:r>
              <w:rPr>
                <w:rFonts w:ascii="Arial" w:cs="Arial" w:eastAsia="Arial" w:hAnsi="Arial"/>
                <w:b w:val="false"/>
                <w:bCs w:val="false"/>
                <w:sz w:val="19"/>
                <w:szCs w:val="19"/>
              </w:rPr>
              <w:t xml:space="preserve">0.8002</w:t>
            </w:r>
          </w:p>
        </w:tc>
      </w:tr>
    </w:tbl>
    <w:p>
      <w:pPr>
        <w:spacing w:after="60" w:before="60"/>
      </w:pPr>
      <w:r>
        <w:t xml:space="preserve"/>
      </w:r>
    </w:p>
    <w:p>
      <w:pPr>
        <w:spacing w:after="100" w:before="80"/>
      </w:pPr>
      <w:r>
        <w:rPr>
          <w:rFonts w:ascii="Arial" w:cs="Arial" w:eastAsia="Arial" w:hAnsi="Arial"/>
          <w:sz w:val="22"/>
          <w:szCs w:val="22"/>
        </w:rPr>
        <w:t xml:space="preserve">Our experimental results are consistent with the paper's reported trends: UITrust variants outperform all KNN baselines, with UITrust_C and UITrust_P performing best across all three datasets. Absolute values differ slightly due to differences in sampling strategy (we use a random 400-user subsample) and implementation details, but the relative ordering of methods matches.</w:t>
      </w:r>
    </w:p>
    <w:p>
      <w:pPr>
        <w:pStyle w:val="Heading1"/>
        <w:spacing w:after="160" w:before="360"/>
      </w:pPr>
      <w:r>
        <w:rPr>
          <w:rFonts w:ascii="Arial" w:cs="Arial" w:eastAsia="Arial" w:hAnsi="Arial"/>
          <w:b/>
          <w:bCs/>
          <w:color w:val="1F3864"/>
          <w:sz w:val="28"/>
          <w:szCs w:val="28"/>
        </w:rPr>
        <w:t xml:space="preserve">6. Discussion</w:t>
      </w:r>
    </w:p>
    <w:p>
      <w:pPr>
        <w:spacing w:after="100" w:before="80"/>
      </w:pPr>
      <w:r>
        <w:rPr>
          <w:rFonts w:ascii="Arial" w:cs="Arial" w:eastAsia="Arial" w:hAnsi="Arial"/>
          <w:sz w:val="22"/>
          <w:szCs w:val="22"/>
        </w:rPr>
        <w:t xml:space="preserve">The UITrust model demonstrates two key innovations. First, the classification-based neighbour selection ensures that the weight matrix is fully dense — every user–item pair receives a non-zero weight derived from genre preferences. This is a significant departure from Pearson/MSD-based similarity which produces many zeros when users have few common ratings.</w:t>
      </w:r>
    </w:p>
    <w:p>
      <w:pPr>
        <w:spacing w:after="60" w:before="60"/>
      </w:pPr>
      <w:r>
        <w:t xml:space="preserve"/>
      </w:r>
    </w:p>
    <w:p>
      <w:pPr>
        <w:spacing w:after="100" w:before="80"/>
      </w:pPr>
      <w:r>
        <w:rPr>
          <w:rFonts w:ascii="Arial" w:cs="Arial" w:eastAsia="Arial" w:hAnsi="Arial"/>
          <w:sz w:val="22"/>
          <w:szCs w:val="22"/>
        </w:rPr>
        <w:t xml:space="preserve">Second, integrating information entropy into the trust score allows the model to favour neighbours who have rated a wide variety of items with diverse ratings (high entropy), as these neighbours are considered more 'informative'. This captures global rating behaviour beyond simple pairwise co-rating patterns.</w:t>
      </w:r>
    </w:p>
    <w:p>
      <w:pPr>
        <w:spacing w:after="60" w:before="60"/>
      </w:pPr>
      <w:r>
        <w:t xml:space="preserve"/>
      </w:r>
    </w:p>
    <w:p>
      <w:pPr>
        <w:spacing w:after="100" w:before="80"/>
      </w:pPr>
      <w:r>
        <w:rPr>
          <w:rFonts w:ascii="Arial" w:cs="Arial" w:eastAsia="Arial" w:hAnsi="Arial"/>
          <w:sz w:val="22"/>
          <w:szCs w:val="22"/>
        </w:rPr>
        <w:t xml:space="preserve">Limitations noted in the paper hold in our replication too: entropy must be pre-computed over the full training set, making it unsuitable for real-time or streaming recommendation systems. The method is better suited to small-to-medium offline datasets with a stable user base.</w:t>
      </w:r>
    </w:p>
    <w:p>
      <w:pPr>
        <w:pStyle w:val="Heading1"/>
        <w:spacing w:after="160" w:before="360"/>
      </w:pPr>
      <w:r>
        <w:rPr>
          <w:rFonts w:ascii="Arial" w:cs="Arial" w:eastAsia="Arial" w:hAnsi="Arial"/>
          <w:b/>
          <w:bCs/>
          <w:color w:val="1F3864"/>
          <w:sz w:val="28"/>
          <w:szCs w:val="28"/>
        </w:rPr>
        <w:t xml:space="preserve">7. Conclusion</w:t>
      </w:r>
    </w:p>
    <w:p>
      <w:pPr>
        <w:spacing w:after="100" w:before="80"/>
      </w:pPr>
      <w:r>
        <w:rPr>
          <w:rFonts w:ascii="Arial" w:cs="Arial" w:eastAsia="Arial" w:hAnsi="Arial"/>
          <w:sz w:val="22"/>
          <w:szCs w:val="22"/>
        </w:rPr>
        <w:t xml:space="preserve">This project successfully replicated the UITrust algorithm from Yuan et al. (2023) using Python (NumPy/Pandas) on three MovieLens datasets. Key findings:</w:t>
      </w:r>
    </w:p>
    <w:p>
      <w:pPr>
        <w:pStyle w:val="ListParagraph"/>
        <w:numPr>
          <w:ilvl w:val="0"/>
          <w:numId w:val="2"/>
        </w:numPr>
        <w:spacing w:after="40" w:before="40"/>
      </w:pPr>
      <w:r>
        <w:rPr>
          <w:rFonts w:ascii="Arial" w:cs="Arial" w:eastAsia="Arial" w:hAnsi="Arial"/>
          <w:sz w:val="22"/>
          <w:szCs w:val="22"/>
        </w:rPr>
        <w:t xml:space="preserve">UITrust_C and UITrust_P consistently outperform all KNN baselines across all three datasets in both MAE and RMSE.</w:t>
      </w:r>
    </w:p>
    <w:p>
      <w:pPr>
        <w:pStyle w:val="ListParagraph"/>
        <w:numPr>
          <w:ilvl w:val="0"/>
          <w:numId w:val="2"/>
        </w:numPr>
        <w:spacing w:after="40" w:before="40"/>
      </w:pPr>
      <w:r>
        <w:rPr>
          <w:rFonts w:ascii="Arial" w:cs="Arial" w:eastAsia="Arial" w:hAnsi="Arial"/>
          <w:sz w:val="22"/>
          <w:szCs w:val="22"/>
        </w:rPr>
        <w:t xml:space="preserve">The classification-based weight matrix eliminates data sparsity, a core limitation of Pearson/MSD similarity.</w:t>
      </w:r>
    </w:p>
    <w:p>
      <w:pPr>
        <w:pStyle w:val="ListParagraph"/>
        <w:numPr>
          <w:ilvl w:val="0"/>
          <w:numId w:val="2"/>
        </w:numPr>
        <w:spacing w:after="40" w:before="40"/>
      </w:pPr>
      <w:r>
        <w:rPr>
          <w:rFonts w:ascii="Arial" w:cs="Arial" w:eastAsia="Arial" w:hAnsi="Arial"/>
          <w:sz w:val="22"/>
          <w:szCs w:val="22"/>
        </w:rPr>
        <w:t xml:space="preserve">Entropy weighting improves trustworthiness of neighbour selection by prioritising informationally rich users and items.</w:t>
      </w:r>
    </w:p>
    <w:p>
      <w:pPr>
        <w:pStyle w:val="ListParagraph"/>
        <w:numPr>
          <w:ilvl w:val="0"/>
          <w:numId w:val="2"/>
        </w:numPr>
        <w:spacing w:after="40" w:before="40"/>
      </w:pPr>
      <w:r>
        <w:rPr>
          <w:rFonts w:ascii="Arial" w:cs="Arial" w:eastAsia="Arial" w:hAnsi="Arial"/>
          <w:sz w:val="22"/>
          <w:szCs w:val="22"/>
        </w:rPr>
        <w:t xml:space="preserve">The best improvement over the weakest baseline (BKNN_P) reaches ~7.6% in MAE on the ML-latest-small dataset.</w:t>
      </w:r>
    </w:p>
    <w:p>
      <w:pPr>
        <w:pStyle w:val="ListParagraph"/>
        <w:numPr>
          <w:ilvl w:val="0"/>
          <w:numId w:val="2"/>
        </w:numPr>
        <w:spacing w:after="40" w:before="40"/>
      </w:pPr>
      <w:r>
        <w:rPr>
          <w:rFonts w:ascii="Arial" w:cs="Arial" w:eastAsia="Arial" w:hAnsi="Arial"/>
          <w:sz w:val="22"/>
          <w:szCs w:val="22"/>
        </w:rPr>
        <w:t xml:space="preserve">Results are consistent with the paper's findings, validating the replication.</w:t>
      </w:r>
    </w:p>
    <w:p>
      <w:pPr>
        <w:spacing w:after="60" w:before="60"/>
      </w:pPr>
      <w:r>
        <w:t xml:space="preserve"/>
      </w:r>
    </w:p>
    <w:p>
      <w:pPr>
        <w:spacing w:after="100" w:before="80"/>
      </w:pPr>
      <w:r>
        <w:rPr>
          <w:rFonts w:ascii="Arial" w:cs="Arial" w:eastAsia="Arial" w:hAnsi="Arial"/>
          <w:sz w:val="22"/>
          <w:szCs w:val="22"/>
        </w:rPr>
        <w:t xml:space="preserve">Future work could extend UITrust to incorporate deep learning-based embeddings for user and item representations, and evaluate on modern, denser datasets such as Amazon product reviews.</w:t>
      </w:r>
    </w:p>
    <w:p>
      <w:pPr>
        <w:spacing w:after="60" w:before="60"/>
      </w:pPr>
      <w:r>
        <w:t xml:space="preserve"/>
      </w:r>
    </w:p>
    <w:p>
      <w:pPr>
        <w:pStyle w:val="Heading1"/>
        <w:spacing w:after="160" w:before="360"/>
      </w:pPr>
      <w:r>
        <w:rPr>
          <w:rFonts w:ascii="Arial" w:cs="Arial" w:eastAsia="Arial" w:hAnsi="Arial"/>
          <w:b/>
          <w:bCs/>
          <w:color w:val="1F3864"/>
          <w:sz w:val="28"/>
          <w:szCs w:val="28"/>
        </w:rPr>
        <w:t xml:space="preserve">8. References</w:t>
      </w:r>
    </w:p>
    <w:p>
      <w:pPr>
        <w:spacing w:after="100" w:before="80"/>
      </w:pPr>
      <w:r>
        <w:rPr>
          <w:rFonts w:ascii="Arial" w:cs="Arial" w:eastAsia="Arial" w:hAnsi="Arial"/>
          <w:sz w:val="22"/>
          <w:szCs w:val="22"/>
        </w:rPr>
        <w:t xml:space="preserve">[1] Yuan, Y.; Chen, L.; Yang, J. A Multidimensional Model for Recommendation Systems Based on Classification and Entropy. Electronics 2023, 12, 402. https://doi.org/10.3390/electronics12020402</w:t>
      </w:r>
    </w:p>
    <w:p>
      <w:pPr>
        <w:spacing w:after="100" w:before="80"/>
      </w:pPr>
      <w:r>
        <w:rPr>
          <w:rFonts w:ascii="Arial" w:cs="Arial" w:eastAsia="Arial" w:hAnsi="Arial"/>
          <w:sz w:val="22"/>
          <w:szCs w:val="22"/>
        </w:rPr>
        <w:t xml:space="preserve">[2] Harper, F.M.; Konstan, J.A. The MovieLens Datasets: History and Context. ACM Trans. Interact. Intell. Syst. 2015, 5, 40.</w:t>
      </w:r>
    </w:p>
    <w:p>
      <w:pPr>
        <w:spacing w:after="100" w:before="80"/>
      </w:pPr>
      <w:r>
        <w:rPr>
          <w:rFonts w:ascii="Arial" w:cs="Arial" w:eastAsia="Arial" w:hAnsi="Arial"/>
          <w:sz w:val="22"/>
          <w:szCs w:val="22"/>
        </w:rPr>
        <w:t xml:space="preserve">[3] Hug, N. Surprise: A Python Library for Recommender Systems. JOSS 2020, 5, 2174.</w:t>
      </w:r>
    </w:p>
    <w:p>
      <w:pPr>
        <w:spacing w:after="100" w:before="80"/>
      </w:pPr>
      <w:r>
        <w:rPr>
          <w:rFonts w:ascii="Arial" w:cs="Arial" w:eastAsia="Arial" w:hAnsi="Arial"/>
          <w:sz w:val="22"/>
          <w:szCs w:val="22"/>
        </w:rPr>
        <w:t xml:space="preserve">[4] Koren, Y.; Rendle, S.; Bell, R. Advances in Collaborative Filtering. In Recommender Systems Handbook; Springer, 2022.</w:t>
      </w:r>
    </w:p>
    <w:sectPr>
      <w:head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2"/>
      </w:pBdr>
      <w:jc w:val="right"/>
    </w:pPr>
    <w:r>
      <w:rPr>
        <w:rFonts w:ascii="Arial" w:cs="Arial" w:eastAsia="Arial" w:hAnsi="Arial"/>
        <w:color w:val="555555"/>
        <w:sz w:val="18"/>
        <w:szCs w:val="18"/>
      </w:rPr>
      <w:t xml:space="preserve">UITrust — Recommendation Systems Mini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229c5b575ab04864e614983b31cf4c512b4326d3.png"/><Relationship Id="rId9" Type="http://schemas.openxmlformats.org/officeDocument/2006/relationships/image" Target="media/fcf320b95b287d3915282ab88351464004988e9d.png"/><Relationship Id="rId10" Type="http://schemas.openxmlformats.org/officeDocument/2006/relationships/image" Target="media/71c6f1dc2a0fb1d703976a5cab62eeb740f31889.png"/><Relationship Id="rId11" Type="http://schemas.openxmlformats.org/officeDocument/2006/relationships/image" Target="media/4438bb71815a3803451cc29b6d7fc5e49f0f89f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2026-03-17T06:28:38.557Z</dcterms:created>
  <dcterms:modified xsi:type="dcterms:W3CDTF">2026-03-17T06:28:38.558Z</dcterms:modified>
</cp:coreProperties>
</file>

<file path=docProps/custom.xml><?xml version="1.0" encoding="utf-8"?>
<Properties xmlns="http://schemas.openxmlformats.org/officeDocument/2006/custom-properties" xmlns:vt="http://schemas.openxmlformats.org/officeDocument/2006/docPropsVTypes"/>
</file>