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360" w:lineRule="auto"/>
        <w:jc w:val="center"/>
        <w:rPr>
          <w:rFonts w:ascii="Times New Roman" w:cs="Times New Roman" w:eastAsia="Times New Roman" w:hAnsi="Times New Roman"/>
          <w:b w:val="1"/>
          <w:bCs w:val="1"/>
          <w:sz w:val="46"/>
          <w:szCs w:val="46"/>
        </w:rPr>
      </w:pPr>
      <w:bookmarkStart w:colFirst="0" w:colLast="0" w:name="_yblhr8rz0ody" w:id="0"/>
      <w:bookmarkEnd w:id="0"/>
      <w:r w:rsidDel="00000000" w:rsidR="00000000" w:rsidRPr="00000000">
        <w:rPr>
          <w:rFonts w:ascii="Times New Roman" w:cs="Times New Roman" w:eastAsia="Times New Roman" w:hAnsi="Times New Roman"/>
          <w:b w:val="1"/>
          <w:bCs w:val="1"/>
          <w:sz w:val="46"/>
          <w:szCs w:val="46"/>
          <w:rtl w:val="0"/>
        </w:rPr>
        <w:t xml:space="preserve">The Business Consultancy Report – Green Gold Limited</w:t>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Consultant Name</w:t>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Consultant Number (Student Number)</w:t>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Lecturer:</w:t>
      </w:r>
    </w:p>
    <w:p w:rsidR="00000000" w:rsidDel="00000000" w:rsidP="00000000" w:rsidRDefault="00000000" w:rsidRPr="00000000" w14:paraId="00000006">
      <w:pPr>
        <w:pStyle w:val="Heading2"/>
        <w:keepNext w:val="0"/>
        <w:keepLines w:val="0"/>
        <w:spacing w:after="80" w:line="360" w:lineRule="auto"/>
        <w:jc w:val="center"/>
        <w:rPr>
          <w:rFonts w:ascii="Times New Roman" w:cs="Times New Roman" w:eastAsia="Times New Roman" w:hAnsi="Times New Roman"/>
          <w:b w:val="1"/>
          <w:bCs w:val="1"/>
          <w:sz w:val="34"/>
          <w:szCs w:val="34"/>
        </w:rPr>
      </w:pPr>
      <w:bookmarkStart w:colFirst="0" w:colLast="0" w:name="_9cu2nvy85zmq" w:id="1"/>
      <w:bookmarkEnd w:id="1"/>
      <w:r w:rsidDel="00000000" w:rsidR="00000000" w:rsidRPr="00000000">
        <w:rPr>
          <w:rFonts w:ascii="Times New Roman" w:cs="Times New Roman" w:eastAsia="Times New Roman" w:hAnsi="Times New Roman"/>
          <w:sz w:val="24"/>
          <w:szCs w:val="24"/>
          <w:rtl w:val="0"/>
        </w:rPr>
        <w:t xml:space="preserve">Date of Report:</w:t>
      </w:r>
      <w:r w:rsidDel="00000000" w:rsidR="00000000" w:rsidRPr="00000000">
        <w:br w:type="page"/>
      </w:r>
      <w:r w:rsidDel="00000000" w:rsidR="00000000" w:rsidRPr="00000000">
        <w:rPr>
          <w:rFonts w:ascii="Times New Roman" w:cs="Times New Roman" w:eastAsia="Times New Roman" w:hAnsi="Times New Roman"/>
          <w:b w:val="1"/>
          <w:bCs w:val="1"/>
          <w:sz w:val="34"/>
          <w:szCs w:val="34"/>
          <w:rtl w:val="0"/>
        </w:rPr>
        <w:t xml:space="preserve">Table of Content</w:t>
      </w:r>
    </w:p>
    <w:sdt>
      <w:sdtPr>
        <w:id w:val="921838112"/>
        <w:docPartObj>
          <w:docPartGallery w:val="Table of Contents"/>
          <w:docPartUnique w:val="1"/>
        </w:docPartObj>
      </w:sdtPr>
      <w:sdtContent>
        <w:p w:rsidR="00000000" w:rsidDel="00000000" w:rsidP="00000000" w:rsidRDefault="00000000" w:rsidRPr="00000000" w14:paraId="00000007">
          <w:pPr>
            <w:widowControl w:val="0"/>
            <w:tabs>
              <w:tab w:val="right" w:leader="none" w:pos="9025.511811023624"/>
            </w:tabs>
            <w:spacing w:before="60" w:line="240" w:lineRule="auto"/>
            <w:rPr>
              <w:rFonts w:ascii="Times New Roman" w:cs="Times New Roman" w:eastAsia="Times New Roman" w:hAnsi="Times New Roman"/>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yblhr8rz0ody">
            <w:r w:rsidDel="00000000" w:rsidR="00000000" w:rsidRPr="00000000">
              <w:rPr>
                <w:rFonts w:ascii="Times New Roman" w:cs="Times New Roman" w:eastAsia="Times New Roman" w:hAnsi="Times New Roman"/>
                <w:b w:val="1"/>
                <w:bCs w:val="1"/>
                <w:color w:val="000000"/>
                <w:sz w:val="24"/>
                <w:szCs w:val="24"/>
                <w:u w:val="none"/>
                <w:rtl w:val="0"/>
              </w:rPr>
              <w:t xml:space="preserve">The Business Consultancy Report – Green Gold Limited</w:t>
              <w:tab/>
            </w:r>
          </w:hyperlink>
          <w:r w:rsidDel="00000000" w:rsidR="00000000" w:rsidRPr="00000000">
            <w:fldChar w:fldCharType="begin"/>
            <w:instrText xml:space="preserve"> PAGEREF _yblhr8rz0ody \h </w:instrText>
            <w:fldChar w:fldCharType="separate"/>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3mvhb5gu1vlz">
            <w:r w:rsidDel="00000000" w:rsidR="00000000" w:rsidRPr="00000000">
              <w:rPr>
                <w:rFonts w:ascii="Times New Roman" w:cs="Times New Roman" w:eastAsia="Times New Roman" w:hAnsi="Times New Roman"/>
                <w:color w:val="000000"/>
                <w:sz w:val="24"/>
                <w:szCs w:val="24"/>
                <w:u w:val="none"/>
                <w:rtl w:val="0"/>
              </w:rPr>
              <w:t xml:space="preserve">1.0 Introduction</w:t>
              <w:tab/>
            </w:r>
          </w:hyperlink>
          <w:r w:rsidDel="00000000" w:rsidR="00000000" w:rsidRPr="00000000">
            <w:fldChar w:fldCharType="begin"/>
            <w:instrText xml:space="preserve"> PAGEREF _3mvhb5gu1vlz \h </w:instrText>
            <w:fldChar w:fldCharType="separate"/>
          </w:r>
          <w:r w:rsidDel="00000000" w:rsidR="00000000" w:rsidRPr="00000000">
            <w:rPr>
              <w:rFonts w:ascii="Times New Roman" w:cs="Times New Roman" w:eastAsia="Times New Roman" w:hAnsi="Times New Roman"/>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us0eneu5vno9">
            <w:r w:rsidDel="00000000" w:rsidR="00000000" w:rsidRPr="00000000">
              <w:rPr>
                <w:rFonts w:ascii="Times New Roman" w:cs="Times New Roman" w:eastAsia="Times New Roman" w:hAnsi="Times New Roman"/>
                <w:color w:val="000000"/>
                <w:sz w:val="24"/>
                <w:szCs w:val="24"/>
                <w:u w:val="none"/>
                <w:rtl w:val="0"/>
              </w:rPr>
              <w:t xml:space="preserve">2.0 Green Gold Limited and Business Context</w:t>
              <w:tab/>
            </w:r>
          </w:hyperlink>
          <w:r w:rsidDel="00000000" w:rsidR="00000000" w:rsidRPr="00000000">
            <w:fldChar w:fldCharType="begin"/>
            <w:instrText xml:space="preserve"> PAGEREF _us0eneu5vno9 \h </w:instrText>
            <w:fldChar w:fldCharType="separate"/>
          </w:r>
          <w:r w:rsidDel="00000000" w:rsidR="00000000" w:rsidRPr="00000000">
            <w:rPr>
              <w:rFonts w:ascii="Times New Roman" w:cs="Times New Roman" w:eastAsia="Times New Roman" w:hAnsi="Times New Roman"/>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7cqyexqlc439">
            <w:r w:rsidDel="00000000" w:rsidR="00000000" w:rsidRPr="00000000">
              <w:rPr>
                <w:rFonts w:ascii="Times New Roman" w:cs="Times New Roman" w:eastAsia="Times New Roman" w:hAnsi="Times New Roman"/>
                <w:color w:val="000000"/>
                <w:sz w:val="24"/>
                <w:szCs w:val="24"/>
                <w:u w:val="none"/>
                <w:rtl w:val="0"/>
              </w:rPr>
              <w:t xml:space="preserve">3.0 Consultancy Approach</w:t>
              <w:tab/>
            </w:r>
          </w:hyperlink>
          <w:r w:rsidDel="00000000" w:rsidR="00000000" w:rsidRPr="00000000">
            <w:fldChar w:fldCharType="begin"/>
            <w:instrText xml:space="preserve"> PAGEREF _7cqyexqlc439 \h </w:instrText>
            <w:fldChar w:fldCharType="separate"/>
          </w:r>
          <w:r w:rsidDel="00000000" w:rsidR="00000000" w:rsidRPr="00000000">
            <w:rPr>
              <w:rFonts w:ascii="Times New Roman" w:cs="Times New Roman" w:eastAsia="Times New Roman" w:hAnsi="Times New Roman"/>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d4dq4henw5dh">
            <w:r w:rsidDel="00000000" w:rsidR="00000000" w:rsidRPr="00000000">
              <w:rPr>
                <w:rFonts w:ascii="Times New Roman" w:cs="Times New Roman" w:eastAsia="Times New Roman" w:hAnsi="Times New Roman"/>
                <w:color w:val="000000"/>
                <w:sz w:val="24"/>
                <w:szCs w:val="24"/>
                <w:u w:val="none"/>
                <w:rtl w:val="0"/>
              </w:rPr>
              <w:t xml:space="preserve">4.0 Business Environment Analysis</w:t>
              <w:tab/>
            </w:r>
          </w:hyperlink>
          <w:r w:rsidDel="00000000" w:rsidR="00000000" w:rsidRPr="00000000">
            <w:fldChar w:fldCharType="begin"/>
            <w:instrText xml:space="preserve"> PAGEREF _d4dq4henw5dh \h </w:instrText>
            <w:fldChar w:fldCharType="separate"/>
          </w:r>
          <w:r w:rsidDel="00000000" w:rsidR="00000000" w:rsidRPr="00000000">
            <w:rPr>
              <w:rFonts w:ascii="Times New Roman" w:cs="Times New Roman" w:eastAsia="Times New Roman" w:hAnsi="Times New Roman"/>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ocal9lcgyuwl">
            <w:r w:rsidDel="00000000" w:rsidR="00000000" w:rsidRPr="00000000">
              <w:rPr>
                <w:rFonts w:ascii="Times New Roman" w:cs="Times New Roman" w:eastAsia="Times New Roman" w:hAnsi="Times New Roman"/>
                <w:color w:val="000000"/>
                <w:sz w:val="24"/>
                <w:szCs w:val="24"/>
                <w:u w:val="none"/>
                <w:rtl w:val="0"/>
              </w:rPr>
              <w:t xml:space="preserve">4.1 PESTLE Analysis</w:t>
              <w:tab/>
            </w:r>
          </w:hyperlink>
          <w:r w:rsidDel="00000000" w:rsidR="00000000" w:rsidRPr="00000000">
            <w:fldChar w:fldCharType="begin"/>
            <w:instrText xml:space="preserve"> PAGEREF _ocal9lcgyuwl \h </w:instrText>
            <w:fldChar w:fldCharType="separate"/>
          </w:r>
          <w:r w:rsidDel="00000000" w:rsidR="00000000" w:rsidRPr="00000000">
            <w:rPr>
              <w:rFonts w:ascii="Times New Roman" w:cs="Times New Roman" w:eastAsia="Times New Roman" w:hAnsi="Times New Roman"/>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dy1426y5cblg">
            <w:r w:rsidDel="00000000" w:rsidR="00000000" w:rsidRPr="00000000">
              <w:rPr>
                <w:rFonts w:ascii="Times New Roman" w:cs="Times New Roman" w:eastAsia="Times New Roman" w:hAnsi="Times New Roman"/>
                <w:color w:val="000000"/>
                <w:sz w:val="24"/>
                <w:szCs w:val="24"/>
                <w:u w:val="none"/>
                <w:rtl w:val="0"/>
              </w:rPr>
              <w:t xml:space="preserve">4.2 Porter's Five Forces</w:t>
              <w:tab/>
            </w:r>
          </w:hyperlink>
          <w:r w:rsidDel="00000000" w:rsidR="00000000" w:rsidRPr="00000000">
            <w:fldChar w:fldCharType="begin"/>
            <w:instrText xml:space="preserve"> PAGEREF _dy1426y5cblg \h </w:instrText>
            <w:fldChar w:fldCharType="separate"/>
          </w:r>
          <w:r w:rsidDel="00000000" w:rsidR="00000000" w:rsidRPr="00000000">
            <w:rPr>
              <w:rFonts w:ascii="Times New Roman" w:cs="Times New Roman" w:eastAsia="Times New Roman" w:hAnsi="Times New Roman"/>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quz3fqc3wisg">
            <w:r w:rsidDel="00000000" w:rsidR="00000000" w:rsidRPr="00000000">
              <w:rPr>
                <w:rFonts w:ascii="Times New Roman" w:cs="Times New Roman" w:eastAsia="Times New Roman" w:hAnsi="Times New Roman"/>
                <w:color w:val="000000"/>
                <w:sz w:val="24"/>
                <w:szCs w:val="24"/>
                <w:u w:val="none"/>
                <w:rtl w:val="0"/>
              </w:rPr>
              <w:t xml:space="preserve">5.0 Operations and Technology</w:t>
              <w:tab/>
            </w:r>
          </w:hyperlink>
          <w:r w:rsidDel="00000000" w:rsidR="00000000" w:rsidRPr="00000000">
            <w:fldChar w:fldCharType="begin"/>
            <w:instrText xml:space="preserve"> PAGEREF _quz3fqc3wisg \h </w:instrText>
            <w:fldChar w:fldCharType="separate"/>
          </w:r>
          <w:r w:rsidDel="00000000" w:rsidR="00000000" w:rsidRPr="00000000">
            <w:rPr>
              <w:rFonts w:ascii="Times New Roman" w:cs="Times New Roman" w:eastAsia="Times New Roman" w:hAnsi="Times New Roman"/>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etf02l3uxiof">
            <w:r w:rsidDel="00000000" w:rsidR="00000000" w:rsidRPr="00000000">
              <w:rPr>
                <w:rFonts w:ascii="Times New Roman" w:cs="Times New Roman" w:eastAsia="Times New Roman" w:hAnsi="Times New Roman"/>
                <w:color w:val="000000"/>
                <w:sz w:val="24"/>
                <w:szCs w:val="24"/>
                <w:u w:val="none"/>
                <w:rtl w:val="0"/>
              </w:rPr>
              <w:t xml:space="preserve">6.0 People Management</w:t>
              <w:tab/>
            </w:r>
          </w:hyperlink>
          <w:r w:rsidDel="00000000" w:rsidR="00000000" w:rsidRPr="00000000">
            <w:fldChar w:fldCharType="begin"/>
            <w:instrText xml:space="preserve"> PAGEREF _etf02l3uxiof \h </w:instrText>
            <w:fldChar w:fldCharType="separate"/>
          </w:r>
          <w:r w:rsidDel="00000000" w:rsidR="00000000" w:rsidRPr="00000000">
            <w:rPr>
              <w:rFonts w:ascii="Times New Roman" w:cs="Times New Roman" w:eastAsia="Times New Roman" w:hAnsi="Times New Roman"/>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gb6awtvulhjl">
            <w:r w:rsidDel="00000000" w:rsidR="00000000" w:rsidRPr="00000000">
              <w:rPr>
                <w:rFonts w:ascii="Times New Roman" w:cs="Times New Roman" w:eastAsia="Times New Roman" w:hAnsi="Times New Roman"/>
                <w:color w:val="000000"/>
                <w:sz w:val="24"/>
                <w:szCs w:val="24"/>
                <w:u w:val="none"/>
                <w:rtl w:val="0"/>
              </w:rPr>
              <w:t xml:space="preserve">7.0 Marketing, Public Relations and Stakeholders</w:t>
              <w:tab/>
            </w:r>
          </w:hyperlink>
          <w:r w:rsidDel="00000000" w:rsidR="00000000" w:rsidRPr="00000000">
            <w:fldChar w:fldCharType="begin"/>
            <w:instrText xml:space="preserve"> PAGEREF _gb6awtvulhjl \h </w:instrText>
            <w:fldChar w:fldCharType="separate"/>
          </w:r>
          <w:r w:rsidDel="00000000" w:rsidR="00000000" w:rsidRPr="00000000">
            <w:rPr>
              <w:rFonts w:ascii="Times New Roman" w:cs="Times New Roman" w:eastAsia="Times New Roman" w:hAnsi="Times New Roman"/>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rzu996is6sc7">
            <w:r w:rsidDel="00000000" w:rsidR="00000000" w:rsidRPr="00000000">
              <w:rPr>
                <w:rFonts w:ascii="Times New Roman" w:cs="Times New Roman" w:eastAsia="Times New Roman" w:hAnsi="Times New Roman"/>
                <w:color w:val="000000"/>
                <w:sz w:val="24"/>
                <w:szCs w:val="24"/>
                <w:u w:val="none"/>
                <w:rtl w:val="0"/>
              </w:rPr>
              <w:t xml:space="preserve">8.0 Financial Management</w:t>
              <w:tab/>
            </w:r>
          </w:hyperlink>
          <w:r w:rsidDel="00000000" w:rsidR="00000000" w:rsidRPr="00000000">
            <w:fldChar w:fldCharType="begin"/>
            <w:instrText xml:space="preserve"> PAGEREF _rzu996is6sc7 \h </w:instrText>
            <w:fldChar w:fldCharType="separate"/>
          </w:r>
          <w:r w:rsidDel="00000000" w:rsidR="00000000" w:rsidRPr="00000000">
            <w:rPr>
              <w:rFonts w:ascii="Times New Roman" w:cs="Times New Roman" w:eastAsia="Times New Roman" w:hAnsi="Times New Roman"/>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zdfbllvkc00">
            <w:r w:rsidDel="00000000" w:rsidR="00000000" w:rsidRPr="00000000">
              <w:rPr>
                <w:rFonts w:ascii="Times New Roman" w:cs="Times New Roman" w:eastAsia="Times New Roman" w:hAnsi="Times New Roman"/>
                <w:color w:val="000000"/>
                <w:sz w:val="24"/>
                <w:szCs w:val="24"/>
                <w:u w:val="none"/>
                <w:rtl w:val="0"/>
              </w:rPr>
              <w:t xml:space="preserve">9.0 Recommendations</w:t>
              <w:tab/>
            </w:r>
          </w:hyperlink>
          <w:r w:rsidDel="00000000" w:rsidR="00000000" w:rsidRPr="00000000">
            <w:fldChar w:fldCharType="begin"/>
            <w:instrText xml:space="preserve"> PAGEREF _zdfbllvkc00 \h </w:instrText>
            <w:fldChar w:fldCharType="separate"/>
          </w:r>
          <w:r w:rsidDel="00000000" w:rsidR="00000000" w:rsidRPr="00000000">
            <w:rPr>
              <w:rFonts w:ascii="Times New Roman" w:cs="Times New Roman" w:eastAsia="Times New Roman" w:hAnsi="Times New Roman"/>
              <w:sz w:val="24"/>
              <w:szCs w:val="24"/>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dkmpgna6icup">
            <w:r w:rsidDel="00000000" w:rsidR="00000000" w:rsidRPr="00000000">
              <w:rPr>
                <w:rFonts w:ascii="Times New Roman" w:cs="Times New Roman" w:eastAsia="Times New Roman" w:hAnsi="Times New Roman"/>
                <w:color w:val="000000"/>
                <w:sz w:val="24"/>
                <w:szCs w:val="24"/>
                <w:u w:val="none"/>
                <w:rtl w:val="0"/>
              </w:rPr>
              <w:t xml:space="preserve">10.0 Conclusion</w:t>
              <w:tab/>
            </w:r>
          </w:hyperlink>
          <w:r w:rsidDel="00000000" w:rsidR="00000000" w:rsidRPr="00000000">
            <w:fldChar w:fldCharType="begin"/>
            <w:instrText xml:space="preserve"> PAGEREF _dkmpgna6icup \h </w:instrText>
            <w:fldChar w:fldCharType="separate"/>
          </w:r>
          <w:r w:rsidDel="00000000" w:rsidR="00000000" w:rsidRPr="00000000">
            <w:rPr>
              <w:rFonts w:ascii="Times New Roman" w:cs="Times New Roman" w:eastAsia="Times New Roman" w:hAnsi="Times New Roman"/>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ind w:left="360" w:firstLine="0"/>
            <w:rPr>
              <w:color w:val="000000"/>
              <w:u w:val="none"/>
            </w:rPr>
          </w:pPr>
          <w:hyperlink w:anchor="_ozjzia6f9y4y">
            <w:r w:rsidDel="00000000" w:rsidR="00000000" w:rsidRPr="00000000">
              <w:rPr>
                <w:rFonts w:ascii="Times New Roman" w:cs="Times New Roman" w:eastAsia="Times New Roman" w:hAnsi="Times New Roman"/>
                <w:color w:val="000000"/>
                <w:sz w:val="24"/>
                <w:szCs w:val="24"/>
                <w:u w:val="none"/>
                <w:rtl w:val="0"/>
              </w:rPr>
              <w:t xml:space="preserve">References</w:t>
            </w:r>
          </w:hyperlink>
          <w:hyperlink w:anchor="_ozjzia6f9y4y">
            <w:r w:rsidDel="00000000" w:rsidR="00000000" w:rsidRPr="00000000">
              <w:rPr>
                <w:color w:val="000000"/>
                <w:u w:val="none"/>
                <w:rtl w:val="0"/>
              </w:rPr>
              <w:tab/>
            </w:r>
          </w:hyperlink>
          <w:r w:rsidDel="00000000" w:rsidR="00000000" w:rsidRPr="00000000">
            <w:fldChar w:fldCharType="begin"/>
            <w:instrText xml:space="preserve"> PAGEREF _ozjzia6f9y4y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keepNext w:val="0"/>
        <w:keepLines w:val="0"/>
        <w:spacing w:after="8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2"/>
        <w:keepNext w:val="0"/>
        <w:keepLines w:val="0"/>
        <w:spacing w:after="80" w:line="360" w:lineRule="auto"/>
        <w:jc w:val="center"/>
        <w:rPr>
          <w:rFonts w:ascii="Times New Roman" w:cs="Times New Roman" w:eastAsia="Times New Roman" w:hAnsi="Times New Roman"/>
          <w:b w:val="1"/>
          <w:bCs w:val="1"/>
          <w:sz w:val="34"/>
          <w:szCs w:val="34"/>
        </w:rPr>
      </w:pPr>
      <w:bookmarkStart w:colFirst="0" w:colLast="0" w:name="_rcz6kdklobdx" w:id="2"/>
      <w:bookmarkEnd w:id="2"/>
      <w:r w:rsidDel="00000000" w:rsidR="00000000" w:rsidRPr="00000000">
        <w:rPr>
          <w:rtl w:val="0"/>
        </w:rPr>
      </w:r>
    </w:p>
    <w:p w:rsidR="00000000" w:rsidDel="00000000" w:rsidP="00000000" w:rsidRDefault="00000000" w:rsidRPr="00000000" w14:paraId="00000017">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3mvhb5gu1vlz" w:id="3"/>
      <w:bookmarkEnd w:id="3"/>
      <w:r w:rsidDel="00000000" w:rsidR="00000000" w:rsidRPr="00000000">
        <w:rPr>
          <w:rFonts w:ascii="Times New Roman" w:cs="Times New Roman" w:eastAsia="Times New Roman" w:hAnsi="Times New Roman"/>
          <w:b w:val="1"/>
          <w:bCs w:val="1"/>
          <w:sz w:val="34"/>
          <w:szCs w:val="34"/>
          <w:rtl w:val="0"/>
        </w:rPr>
        <w:t xml:space="preserve">1.0 Introduction</w:t>
      </w:r>
    </w:p>
    <w:p w:rsidR="00000000" w:rsidDel="00000000" w:rsidP="00000000" w:rsidRDefault="00000000" w:rsidRPr="00000000" w14:paraId="0000001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energy sector has been facing some major changes, as governments, businesses, and customers have started responding on decardbonisation, energy security, and fluctuations in energy costs. Moreover, investments in clean energy have also increased with IEA reporting that investment on clean energy could reach up to $2 trillion. This transition has created so many opportunities for companies developing lower-carbon fuels and technologies. </w:t>
      </w:r>
    </w:p>
    <w:p w:rsidR="00000000" w:rsidDel="00000000" w:rsidP="00000000" w:rsidRDefault="00000000" w:rsidRPr="00000000" w14:paraId="0000001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Gold Limited exists to operate in this dynamic landscape to develop and commercialise renewable dimethyl ether (rDME), a renewable fuel that can take advantage of existing LPG infrastructure. The company may be able to break into the European market through its commercial production facility in Rotterdam.</w:t>
      </w:r>
    </w:p>
    <w:p w:rsidR="00000000" w:rsidDel="00000000" w:rsidP="00000000" w:rsidRDefault="00000000" w:rsidRPr="00000000" w14:paraId="000000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examines the external business environment, competitiveness, operational requirements, technology, employee management, stakeholder relationships and finances, as these relate to the expansion that Green Gold has in mind. To analyse the external and competitive environment, PESTLE analysis and Porter's Five Forces are used. The report then proposes three strategic conclusions: having a commercial rDME plant in Rotterdam, a step-wise roll-out of AI, IoT and blockchain systems, and formal agreements with waste suppliers and LPG distributors/investors.</w:t>
      </w:r>
      <w:r w:rsidDel="00000000" w:rsidR="00000000" w:rsidRPr="00000000">
        <w:rPr>
          <w:rtl w:val="0"/>
        </w:rPr>
      </w:r>
    </w:p>
    <w:p w:rsidR="00000000" w:rsidDel="00000000" w:rsidP="00000000" w:rsidRDefault="00000000" w:rsidRPr="00000000" w14:paraId="0000001B">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fjsxkkb5wh8f" w:id="4"/>
      <w:bookmarkEnd w:id="4"/>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us0eneu5vno9" w:id="5"/>
      <w:bookmarkEnd w:id="5"/>
      <w:r w:rsidDel="00000000" w:rsidR="00000000" w:rsidRPr="00000000">
        <w:rPr>
          <w:rFonts w:ascii="Times New Roman" w:cs="Times New Roman" w:eastAsia="Times New Roman" w:hAnsi="Times New Roman"/>
          <w:b w:val="1"/>
          <w:bCs w:val="1"/>
          <w:sz w:val="34"/>
          <w:szCs w:val="34"/>
          <w:rtl w:val="0"/>
        </w:rPr>
        <w:t xml:space="preserve">2.0 Green Gold Limited and Business Context</w:t>
      </w:r>
    </w:p>
    <w:p w:rsidR="00000000" w:rsidDel="00000000" w:rsidP="00000000" w:rsidRDefault="00000000" w:rsidRPr="00000000" w14:paraId="0000001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broader sense, Green Gold's business model assists in the transition to lower carbon use of energy. Sustainable fuels can be included in a larger portfolio of measures to be taken to meet emissions targets in sectors where direct electrification might be challenging (McKinsey &amp; Company, 2022a). rDME offers a chance to create renewable fuel by utilising waste feedstocks and involves current LPG related infrastructure.</w:t>
      </w:r>
    </w:p>
    <w:p w:rsidR="00000000" w:rsidDel="00000000" w:rsidP="00000000" w:rsidRDefault="00000000" w:rsidRPr="00000000" w14:paraId="0000001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city of Rotterdam is especially interesting because of its important position in the Netherlands as a logistics and energy hub, which has a long history of industrial development and distribution activities. The storage, transport and distribution of rDME can be achieved using existing LPG networks, thereby decreasing the need for full-scale distribution systems (Liquid Gas Europe, 2024).</w:t>
      </w:r>
    </w:p>
    <w:p w:rsidR="00000000" w:rsidDel="00000000" w:rsidP="00000000" w:rsidRDefault="00000000" w:rsidRPr="00000000" w14:paraId="0000001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project is a large decision of expansion. The cost of setting up the plant is estimated at £10m and revenues are possible at £8m in 2027, £12m in 2028 and £15m in 2029. The numbers reveal a market opportunity, but also that there is a danger of poor capital management and market development.</w:t>
      </w:r>
      <w:r w:rsidDel="00000000" w:rsidR="00000000" w:rsidRPr="00000000">
        <w:rPr>
          <w:rtl w:val="0"/>
        </w:rPr>
      </w:r>
    </w:p>
    <w:p w:rsidR="00000000" w:rsidDel="00000000" w:rsidP="00000000" w:rsidRDefault="00000000" w:rsidRPr="00000000" w14:paraId="00000020">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f44zg64xmm90" w:id="6"/>
      <w:bookmarkEnd w:id="6"/>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7cqyexqlc439" w:id="7"/>
      <w:bookmarkEnd w:id="7"/>
      <w:r w:rsidDel="00000000" w:rsidR="00000000" w:rsidRPr="00000000">
        <w:rPr>
          <w:rFonts w:ascii="Times New Roman" w:cs="Times New Roman" w:eastAsia="Times New Roman" w:hAnsi="Times New Roman"/>
          <w:b w:val="1"/>
          <w:bCs w:val="1"/>
          <w:sz w:val="34"/>
          <w:szCs w:val="34"/>
          <w:rtl w:val="0"/>
        </w:rPr>
        <w:t xml:space="preserve">3.0 Consultancy Approach</w:t>
      </w:r>
    </w:p>
    <w:p w:rsidR="00000000" w:rsidDel="00000000" w:rsidP="00000000" w:rsidRDefault="00000000" w:rsidRPr="00000000" w14:paraId="0000002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Consultancy should be conducted with a well-defined business problem, data collection and analysis, and actionable recommendations. Hodges suggests that consultancy in organisational change should be through diagnosis, intervention and evaluation, and that care needs to be taken with the relationships between consultant and client (Hodges, 2017). Contracting and clear expectations and client involvement also feature in Block's list of effective consultancy characteristics.</w:t>
      </w:r>
    </w:p>
    <w:p w:rsidR="00000000" w:rsidDel="00000000" w:rsidP="00000000" w:rsidRDefault="00000000" w:rsidRPr="00000000" w14:paraId="0000002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for Green Gold does not get into the specifics of engineering design, but rather on international expansion. Conditions for commercial growth are assessed using secondary evidence, strategic management frameworks and company information. Analysis includes external opportunities and internal capabilities before making recommendations.</w:t>
      </w:r>
      <w:r w:rsidDel="00000000" w:rsidR="00000000" w:rsidRPr="00000000">
        <w:rPr>
          <w:rtl w:val="0"/>
        </w:rPr>
      </w:r>
    </w:p>
    <w:p w:rsidR="00000000" w:rsidDel="00000000" w:rsidP="00000000" w:rsidRDefault="00000000" w:rsidRPr="00000000" w14:paraId="00000024">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qyks6tvestu4" w:id="8"/>
      <w:bookmarkEnd w:id="8"/>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d4dq4henw5dh" w:id="9"/>
      <w:bookmarkEnd w:id="9"/>
      <w:r w:rsidDel="00000000" w:rsidR="00000000" w:rsidRPr="00000000">
        <w:rPr>
          <w:rFonts w:ascii="Times New Roman" w:cs="Times New Roman" w:eastAsia="Times New Roman" w:hAnsi="Times New Roman"/>
          <w:b w:val="1"/>
          <w:bCs w:val="1"/>
          <w:sz w:val="34"/>
          <w:szCs w:val="34"/>
          <w:rtl w:val="0"/>
        </w:rPr>
        <w:t xml:space="preserve">4.0 Business Environment Analysis</w:t>
      </w:r>
    </w:p>
    <w:p w:rsidR="00000000" w:rsidDel="00000000" w:rsidP="00000000" w:rsidRDefault="00000000" w:rsidRPr="00000000" w14:paraId="00000026">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ocal9lcgyuwl" w:id="10"/>
      <w:bookmarkEnd w:id="10"/>
      <w:r w:rsidDel="00000000" w:rsidR="00000000" w:rsidRPr="00000000">
        <w:rPr>
          <w:rFonts w:ascii="Times New Roman" w:cs="Times New Roman" w:eastAsia="Times New Roman" w:hAnsi="Times New Roman"/>
          <w:b w:val="1"/>
          <w:bCs w:val="1"/>
          <w:color w:val="000000"/>
          <w:sz w:val="26"/>
          <w:szCs w:val="26"/>
          <w:rtl w:val="0"/>
        </w:rPr>
        <w:t xml:space="preserve">4.1 PESTLE Analysis</w:t>
      </w:r>
    </w:p>
    <w:p w:rsidR="00000000" w:rsidDel="00000000" w:rsidP="00000000" w:rsidRDefault="00000000" w:rsidRPr="00000000" w14:paraId="0000002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Political factors.</w:t>
      </w:r>
      <w:r w:rsidDel="00000000" w:rsidR="00000000" w:rsidRPr="00000000">
        <w:rPr>
          <w:rFonts w:ascii="Times New Roman" w:cs="Times New Roman" w:eastAsia="Times New Roman" w:hAnsi="Times New Roman"/>
          <w:sz w:val="24"/>
          <w:szCs w:val="24"/>
          <w:rtl w:val="0"/>
        </w:rPr>
        <w:t xml:space="preserve"> The government's decarbonisation and energy security pledges are providing renewable fuels with opportunities. European investments in clean energy technologies are large, but may be riskier in the cross-border context because of policy uncertainty among countries (IEA, 2024). Therefore, Green Gold needs to take the regulatory aspects into account before investing a lot of capital into the Rotterdam plant.</w:t>
      </w:r>
    </w:p>
    <w:p w:rsidR="00000000" w:rsidDel="00000000" w:rsidP="00000000" w:rsidRDefault="00000000" w:rsidRPr="00000000" w14:paraId="0000002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Economic factors.</w:t>
      </w:r>
      <w:r w:rsidDel="00000000" w:rsidR="00000000" w:rsidRPr="00000000">
        <w:rPr>
          <w:rFonts w:ascii="Times New Roman" w:cs="Times New Roman" w:eastAsia="Times New Roman" w:hAnsi="Times New Roman"/>
          <w:sz w:val="24"/>
          <w:szCs w:val="24"/>
          <w:rtl w:val="0"/>
        </w:rPr>
        <w:t xml:space="preserve"> It is a large sum of money that is required for the proposed investment of £10 million. Increased financing costs may impact project economics and shifting energy costs may impact demand for alternative fuels. According to IEA (2024), financing conditions as well as energy-security considerations are significant factors that impact energy investments. Therefore, Green Gold should look at the possibility of a blend of private investment, strategic investment, and also the existing clean energy funding.</w:t>
      </w:r>
    </w:p>
    <w:p w:rsidR="00000000" w:rsidDel="00000000" w:rsidP="00000000" w:rsidRDefault="00000000" w:rsidRPr="00000000" w14:paraId="000000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Social factors.</w:t>
      </w:r>
      <w:r w:rsidDel="00000000" w:rsidR="00000000" w:rsidRPr="00000000">
        <w:rPr>
          <w:rFonts w:ascii="Times New Roman" w:cs="Times New Roman" w:eastAsia="Times New Roman" w:hAnsi="Times New Roman"/>
          <w:sz w:val="24"/>
          <w:szCs w:val="24"/>
          <w:rtl w:val="0"/>
        </w:rPr>
        <w:t xml:space="preserve"> The project will be affected by customer acceptance and the availability of workforce. Industrial customers demand assurance on product quality, reliability, price, and environmental performance. Meanwhile, skilled workers are in short supply in the renewable-energy industry. Clean energy jobs have been expanding at a good pace, and there is concern about a lack of workers with appropriate skills, according to the IEA (2023).</w:t>
      </w:r>
    </w:p>
    <w:p w:rsidR="00000000" w:rsidDel="00000000" w:rsidP="00000000" w:rsidRDefault="00000000" w:rsidRPr="00000000" w14:paraId="0000002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Technological factors.</w:t>
      </w:r>
      <w:r w:rsidDel="00000000" w:rsidR="00000000" w:rsidRPr="00000000">
        <w:rPr>
          <w:rFonts w:ascii="Times New Roman" w:cs="Times New Roman" w:eastAsia="Times New Roman" w:hAnsi="Times New Roman"/>
          <w:sz w:val="24"/>
          <w:szCs w:val="24"/>
          <w:rtl w:val="0"/>
        </w:rPr>
        <w:t xml:space="preserve"> Technology is important to Green Gold's proposed expansion. A.I., IoT sensors and blockchain can help monitor the plants, predict maintenance, and track supply chains. While blockchain can help to create more transparent documentation in supply chains, it is important that the quality, integration and cybersecurity of data is managed properly (Kumar et al., 2025).</w:t>
      </w:r>
    </w:p>
    <w:p w:rsidR="00000000" w:rsidDel="00000000" w:rsidP="00000000" w:rsidRDefault="00000000" w:rsidRPr="00000000" w14:paraId="0000002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factors.</w:t>
      </w:r>
      <w:r w:rsidDel="00000000" w:rsidR="00000000" w:rsidRPr="00000000">
        <w:rPr>
          <w:rFonts w:ascii="Times New Roman" w:cs="Times New Roman" w:eastAsia="Times New Roman" w:hAnsi="Times New Roman"/>
          <w:sz w:val="24"/>
          <w:szCs w:val="24"/>
          <w:rtl w:val="0"/>
        </w:rPr>
        <w:t xml:space="preserve"> Waste-to-fuel production can be seen as a part of a broader circular-economy approach that involves turning waste feedstocks into useful energy products. Environmental value of rDME can support the market positioning of Green Gold; environmental claims need to be backed by evidence and trustworthy information on feedstocks, production and emissions.</w:t>
      </w:r>
    </w:p>
    <w:p w:rsidR="00000000" w:rsidDel="00000000" w:rsidP="00000000" w:rsidRDefault="00000000" w:rsidRPr="00000000" w14:paraId="0000002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Legal factors.</w:t>
      </w:r>
      <w:r w:rsidDel="00000000" w:rsidR="00000000" w:rsidRPr="00000000">
        <w:rPr>
          <w:rFonts w:ascii="Times New Roman" w:cs="Times New Roman" w:eastAsia="Times New Roman" w:hAnsi="Times New Roman"/>
          <w:sz w:val="24"/>
          <w:szCs w:val="24"/>
          <w:rtl w:val="0"/>
        </w:rPr>
        <w:t xml:space="preserve"> Proposed plant will have to comply with environmental, employment, safety, energy and commercial regulations. So regulatory delay is a major risk to the project. Prior to making significant investment decisions, regulatory due diligence should be conducted.</w:t>
      </w:r>
    </w:p>
    <w:p w:rsidR="00000000" w:rsidDel="00000000" w:rsidP="00000000" w:rsidRDefault="00000000" w:rsidRPr="00000000" w14:paraId="0000002D">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dy1426y5cblg" w:id="11"/>
      <w:bookmarkEnd w:id="11"/>
      <w:r w:rsidDel="00000000" w:rsidR="00000000" w:rsidRPr="00000000">
        <w:rPr>
          <w:rFonts w:ascii="Times New Roman" w:cs="Times New Roman" w:eastAsia="Times New Roman" w:hAnsi="Times New Roman"/>
          <w:b w:val="1"/>
          <w:bCs w:val="1"/>
          <w:color w:val="000000"/>
          <w:sz w:val="26"/>
          <w:szCs w:val="26"/>
          <w:rtl w:val="0"/>
        </w:rPr>
        <w:t xml:space="preserve">4.2 Porter's Five Forces</w:t>
      </w:r>
    </w:p>
    <w:p w:rsidR="00000000" w:rsidDel="00000000" w:rsidP="00000000" w:rsidRDefault="00000000" w:rsidRPr="00000000" w14:paraId="0000002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Porter (1980) identified five elements of competitive pressures.</w:t>
      </w:r>
    </w:p>
    <w:p w:rsidR="00000000" w:rsidDel="00000000" w:rsidP="00000000" w:rsidRDefault="00000000" w:rsidRPr="00000000" w14:paraId="0000002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to high competition exists, as Green Gold in a broader market of renewable fuels and alternative energy technologies. Therefore, differentiation via rDME technology, reliable supply and existing LPG infrastructure is important.</w:t>
      </w:r>
    </w:p>
    <w:p w:rsidR="00000000" w:rsidDel="00000000" w:rsidP="00000000" w:rsidRDefault="00000000" w:rsidRPr="00000000" w14:paraId="0000003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threats are a major issue. There may be competition between hydrogen and electrification or other low carbon fuels in the market for lower emissions energy solutions. Green Gold therefore has to target application areas where the properties of rDME and its compatibility with the LPG system are of commercial significance.</w:t>
      </w:r>
    </w:p>
    <w:p w:rsidR="00000000" w:rsidDel="00000000" w:rsidP="00000000" w:rsidRDefault="00000000" w:rsidRPr="00000000" w14:paraId="0000003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power could be high if there is limited suitable waste feedstock. If the company has only a few suppliers, this could lead to production disruptions. Several contracts of supply should, therefore, be created.</w:t>
      </w:r>
    </w:p>
    <w:p w:rsidR="00000000" w:rsidDel="00000000" w:rsidP="00000000" w:rsidRDefault="00000000" w:rsidRPr="00000000" w14:paraId="0000003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Buyer power can also be important as large industrial customers and distributors can do comparisons between suppliers and other fuels. Long term contracts, reliable delivery and technical support can enhance customer relationships.</w:t>
      </w:r>
    </w:p>
    <w:p w:rsidR="00000000" w:rsidDel="00000000" w:rsidP="00000000" w:rsidRDefault="00000000" w:rsidRPr="00000000" w14:paraId="0000003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Capital requirements, technical knowledge and regulation and access to suitable feedstocks moderate the threat of new entrants. But new players could come in and raise the stakes on clean energy.</w:t>
      </w:r>
    </w:p>
    <w:p w:rsidR="00000000" w:rsidDel="00000000" w:rsidP="00000000" w:rsidRDefault="00000000" w:rsidRPr="00000000" w14:paraId="0000003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the external environment offers some interesting opportunities; however, Green Gold have to contend with competition, finance, regulatory, supply, and technology risks.</w:t>
      </w:r>
      <w:r w:rsidDel="00000000" w:rsidR="00000000" w:rsidRPr="00000000">
        <w:rPr>
          <w:rtl w:val="0"/>
        </w:rPr>
      </w:r>
    </w:p>
    <w:p w:rsidR="00000000" w:rsidDel="00000000" w:rsidP="00000000" w:rsidRDefault="00000000" w:rsidRPr="00000000" w14:paraId="00000035">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8asjqkci8z7r" w:id="12"/>
      <w:bookmarkEnd w:id="12"/>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quz3fqc3wisg" w:id="13"/>
      <w:bookmarkEnd w:id="13"/>
      <w:r w:rsidDel="00000000" w:rsidR="00000000" w:rsidRPr="00000000">
        <w:rPr>
          <w:rFonts w:ascii="Times New Roman" w:cs="Times New Roman" w:eastAsia="Times New Roman" w:hAnsi="Times New Roman"/>
          <w:b w:val="1"/>
          <w:bCs w:val="1"/>
          <w:sz w:val="34"/>
          <w:szCs w:val="34"/>
          <w:rtl w:val="0"/>
        </w:rPr>
        <w:t xml:space="preserve">5.0 Operations and Technology</w:t>
      </w:r>
    </w:p>
    <w:p w:rsidR="00000000" w:rsidDel="00000000" w:rsidP="00000000" w:rsidRDefault="00000000" w:rsidRPr="00000000" w14:paraId="0000003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commercial rDME plant for Green Gold is recommended to be located in Rotterdam, Europe. It has a solid operational structure thanks to its logistics network, industrial customers, and existing LPG networks. Market access and reduction in capital requirements may be supported by existing LPG infrastructure to enable rDME storage, transportation and distribution (Liquid Gas Europe, 2024).</w:t>
      </w:r>
    </w:p>
    <w:p w:rsidR="00000000" w:rsidDel="00000000" w:rsidP="00000000" w:rsidRDefault="00000000" w:rsidRPr="00000000" w14:paraId="0000003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production process needs to include feedstock sourcing, feedstock storage and transport, rDME production, quality control, rDME storage and distribution. Waste-management companies, LPG distributors, technology and logistics operators will be important sources of strong relationships, as disruption in either feedstock or distribution may impact production.</w:t>
      </w:r>
    </w:p>
    <w:p w:rsidR="00000000" w:rsidDel="00000000" w:rsidP="00000000" w:rsidRDefault="00000000" w:rsidRPr="00000000" w14:paraId="000000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systems shall be deployed in conjunction with the construction of physical plant. AI monitoring can provide production performance and equipment condition information. Real-time operating data can be collected through IoT sensors, and feedstock and supply-chain data can be recorded in blockchain. While Kumar recognize the technology potential of blockchain for supply-chain transparency, it demands the right data governance and technical measures (Kumar et al., 2025).</w:t>
      </w:r>
    </w:p>
    <w:p w:rsidR="00000000" w:rsidDel="00000000" w:rsidP="00000000" w:rsidRDefault="00000000" w:rsidRPr="00000000" w14:paraId="000000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Ideally, a phased approach is best. Green Gold must choose the technology partners, run a pilot programme, train staff and then gradually roll it out. The allocated capital of £250,000 sets a specific budget limit for sensors, software, blockchain integration, cyber security and training.</w:t>
      </w:r>
      <w:r w:rsidDel="00000000" w:rsidR="00000000" w:rsidRPr="00000000">
        <w:rPr>
          <w:rtl w:val="0"/>
        </w:rPr>
      </w:r>
    </w:p>
    <w:p w:rsidR="00000000" w:rsidDel="00000000" w:rsidP="00000000" w:rsidRDefault="00000000" w:rsidRPr="00000000" w14:paraId="0000003B">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7qvt70v8ohum" w:id="14"/>
      <w:bookmarkEnd w:id="14"/>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etf02l3uxiof" w:id="15"/>
      <w:bookmarkEnd w:id="15"/>
      <w:r w:rsidDel="00000000" w:rsidR="00000000" w:rsidRPr="00000000">
        <w:rPr>
          <w:rFonts w:ascii="Times New Roman" w:cs="Times New Roman" w:eastAsia="Times New Roman" w:hAnsi="Times New Roman"/>
          <w:b w:val="1"/>
          <w:bCs w:val="1"/>
          <w:sz w:val="34"/>
          <w:szCs w:val="34"/>
          <w:rtl w:val="0"/>
        </w:rPr>
        <w:t xml:space="preserve">6.0 People Management</w:t>
      </w:r>
    </w:p>
    <w:p w:rsidR="00000000" w:rsidDel="00000000" w:rsidP="00000000" w:rsidRDefault="00000000" w:rsidRPr="00000000" w14:paraId="0000003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capability will be essential to the Rotterdam operation. Chemical engineers, process technicians, digital specialists and operations managers are anticipated to be required for the facility. Skilled labour shortages are highlighted as an issue in the energy transition by the IEA (2023), especially in technical and construction jobs.</w:t>
      </w:r>
    </w:p>
    <w:p w:rsidR="00000000" w:rsidDel="00000000" w:rsidP="00000000" w:rsidRDefault="00000000" w:rsidRPr="00000000" w14:paraId="0000003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mix of permanent recruitment and graduate and apprenticeship programmes should be integrated into Green Gold. Production processes, safety, digital systems and quality management should be part of the technical training. Staff needs to be trained prior to the introduction of new digital technologies as well.</w:t>
      </w:r>
    </w:p>
    <w:p w:rsidR="00000000" w:rsidDel="00000000" w:rsidP="00000000" w:rsidRDefault="00000000" w:rsidRPr="00000000" w14:paraId="0000003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On-going professional development can help staff retention and engagement. Alam et al. (2025) have correlated employee development to the capability of the employees, engagement and retention. Cross cultural training can also help improve teamwork between teams from various countries.</w:t>
      </w:r>
    </w:p>
    <w:p w:rsidR="00000000" w:rsidDel="00000000" w:rsidP="00000000" w:rsidRDefault="00000000" w:rsidRPr="00000000" w14:paraId="00000040">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3qjqk2paexmb" w:id="16"/>
      <w:bookmarkEnd w:id="16"/>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gb6awtvulhjl" w:id="17"/>
      <w:bookmarkEnd w:id="17"/>
      <w:r w:rsidDel="00000000" w:rsidR="00000000" w:rsidRPr="00000000">
        <w:rPr>
          <w:rFonts w:ascii="Times New Roman" w:cs="Times New Roman" w:eastAsia="Times New Roman" w:hAnsi="Times New Roman"/>
          <w:b w:val="1"/>
          <w:bCs w:val="1"/>
          <w:sz w:val="34"/>
          <w:szCs w:val="34"/>
          <w:rtl w:val="0"/>
        </w:rPr>
        <w:t xml:space="preserve">7.0 Marketing, Public Relations and Stakeholders</w:t>
      </w:r>
    </w:p>
    <w:p w:rsidR="00000000" w:rsidDel="00000000" w:rsidP="00000000" w:rsidRDefault="00000000" w:rsidRPr="00000000" w14:paraId="000000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stakeholders of Green Gold are investors, employees, governments, waste suppliers, LPG distributors, and industrial customers and the surrounding communities. Groups have varying information needs and expectations.</w:t>
      </w:r>
    </w:p>
    <w:p w:rsidR="00000000" w:rsidDel="00000000" w:rsidP="00000000" w:rsidRDefault="00000000" w:rsidRPr="00000000" w14:paraId="0000004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Consumers require proof of product capabilities, cost, availability and sustainability. Investors need to know about capital spending, risks and returns. Evidence of compliance is required by regulators and clear commercial agreements by suppliers and distributors.</w:t>
      </w:r>
    </w:p>
    <w:p w:rsidR="00000000" w:rsidDel="00000000" w:rsidP="00000000" w:rsidRDefault="00000000" w:rsidRPr="00000000" w14:paraId="0000004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demonstrations, B2B communication, sustainability reporting, investor briefings and customer feedback systems should be, therefore, leveraged by Green Gold. Enquiry, conversion and customer relationship records can be maintained with CRM systems. Transparent communication is especially vital as renewable-fuel businesses may be open to questions regarding environmental claims.</w:t>
      </w:r>
      <w:r w:rsidDel="00000000" w:rsidR="00000000" w:rsidRPr="00000000">
        <w:rPr>
          <w:rtl w:val="0"/>
        </w:rPr>
      </w:r>
    </w:p>
    <w:p w:rsidR="00000000" w:rsidDel="00000000" w:rsidP="00000000" w:rsidRDefault="00000000" w:rsidRPr="00000000" w14:paraId="00000045">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gxgll7n9rncv" w:id="18"/>
      <w:bookmarkEnd w:id="18"/>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rzu996is6sc7" w:id="19"/>
      <w:bookmarkEnd w:id="19"/>
      <w:r w:rsidDel="00000000" w:rsidR="00000000" w:rsidRPr="00000000">
        <w:rPr>
          <w:rFonts w:ascii="Times New Roman" w:cs="Times New Roman" w:eastAsia="Times New Roman" w:hAnsi="Times New Roman"/>
          <w:b w:val="1"/>
          <w:bCs w:val="1"/>
          <w:sz w:val="34"/>
          <w:szCs w:val="34"/>
          <w:rtl w:val="0"/>
        </w:rPr>
        <w:t xml:space="preserve">8.0 Financial Management</w:t>
      </w:r>
    </w:p>
    <w:p w:rsidR="00000000" w:rsidDel="00000000" w:rsidP="00000000" w:rsidRDefault="00000000" w:rsidRPr="00000000" w14:paraId="0000004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capital expenditure needed for the proposed Rotterdam plant is some £10 million. Great funding sources to go with are private equity, strategic partnerships, public clean energy grants and green investment funds.</w:t>
      </w:r>
    </w:p>
    <w:p w:rsidR="00000000" w:rsidDel="00000000" w:rsidP="00000000" w:rsidRDefault="00000000" w:rsidRPr="00000000" w14:paraId="0000004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estimates are that the revenue will be £8m in 2027, £12m in 2028, and £15m in 2029, and that the profits will be £3m, £6m, and £8m, respectively, for the same years. </w:t>
      </w:r>
    </w:p>
    <w:p w:rsidR="00000000" w:rsidDel="00000000" w:rsidP="00000000" w:rsidRDefault="00000000" w:rsidRPr="00000000" w14:paraId="0000004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monitoring capital expenditure, cash flow, operating costs, revenue, margins and budget variance, management can monitor. Some of the key financial risks are construction cost escalation, financing timeliness, customer uptake delay and feedstock disruption.</w:t>
      </w:r>
      <w:r w:rsidDel="00000000" w:rsidR="00000000" w:rsidRPr="00000000">
        <w:rPr>
          <w:rtl w:val="0"/>
        </w:rPr>
      </w:r>
    </w:p>
    <w:p w:rsidR="00000000" w:rsidDel="00000000" w:rsidP="00000000" w:rsidRDefault="00000000" w:rsidRPr="00000000" w14:paraId="0000004A">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s1buyqzgx4mq" w:id="20"/>
      <w:bookmarkEnd w:id="20"/>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zdfbllvkc00" w:id="21"/>
      <w:bookmarkEnd w:id="21"/>
      <w:r w:rsidDel="00000000" w:rsidR="00000000" w:rsidRPr="00000000">
        <w:rPr>
          <w:rFonts w:ascii="Times New Roman" w:cs="Times New Roman" w:eastAsia="Times New Roman" w:hAnsi="Times New Roman"/>
          <w:b w:val="1"/>
          <w:bCs w:val="1"/>
          <w:sz w:val="34"/>
          <w:szCs w:val="34"/>
          <w:rtl w:val="0"/>
        </w:rPr>
        <w:t xml:space="preserve">9.0 Recommendations</w:t>
      </w:r>
    </w:p>
    <w:p w:rsidR="00000000" w:rsidDel="00000000" w:rsidP="00000000" w:rsidRDefault="00000000" w:rsidRPr="00000000" w14:paraId="0000004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suggestions are made.</w:t>
      </w:r>
    </w:p>
    <w:p w:rsidR="00000000" w:rsidDel="00000000" w:rsidP="00000000" w:rsidRDefault="00000000" w:rsidRPr="00000000" w14:paraId="0000004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step is to get Green Gold's commercial rDME plant set up in Rotterdam. The project should proceed in stages beginning with a site assessment, regulatory clearance, funding, construction, testing, and then go into commercialization. The existing infrastructure and market access make Rotterdam a good base in Europe.</w:t>
      </w:r>
    </w:p>
    <w:p w:rsidR="00000000" w:rsidDel="00000000" w:rsidP="00000000" w:rsidRDefault="00000000" w:rsidRPr="00000000" w14:paraId="0000004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slowly introduce the AI, IoT, and blockchain technology systems into Green Gold. Pilot testing should be done prior to full deployment and performance should be assessed based on production data, maintenance indicators, traceability and compliance records.</w:t>
      </w:r>
    </w:p>
    <w:p w:rsidR="00000000" w:rsidDel="00000000" w:rsidP="00000000" w:rsidRDefault="00000000" w:rsidRPr="00000000" w14:paraId="0000004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Green Gold needs to establish strategic partnerships. Several waste suppliers, LPG distributors and investors have signed up contracts that allow them to not rely on one supplier only, but to improve the supply of feedstock, distribution, and financing.</w:t>
      </w:r>
      <w:r w:rsidDel="00000000" w:rsidR="00000000" w:rsidRPr="00000000">
        <w:rPr>
          <w:rtl w:val="0"/>
        </w:rPr>
      </w:r>
    </w:p>
    <w:p w:rsidR="00000000" w:rsidDel="00000000" w:rsidP="00000000" w:rsidRDefault="00000000" w:rsidRPr="00000000" w14:paraId="00000050">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q5o0lye88a8" w:id="22"/>
      <w:bookmarkEnd w:id="22"/>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dkmpgna6icup" w:id="23"/>
      <w:bookmarkEnd w:id="23"/>
      <w:r w:rsidDel="00000000" w:rsidR="00000000" w:rsidRPr="00000000">
        <w:rPr>
          <w:rFonts w:ascii="Times New Roman" w:cs="Times New Roman" w:eastAsia="Times New Roman" w:hAnsi="Times New Roman"/>
          <w:b w:val="1"/>
          <w:bCs w:val="1"/>
          <w:sz w:val="34"/>
          <w:szCs w:val="34"/>
          <w:rtl w:val="0"/>
        </w:rPr>
        <w:t xml:space="preserve">10.0 Conclusion</w:t>
      </w:r>
    </w:p>
    <w:p w:rsidR="00000000" w:rsidDel="00000000" w:rsidP="00000000" w:rsidRDefault="00000000" w:rsidRPr="00000000" w14:paraId="0000005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Gold has a good chance to enter into the European market for rDME. The logistical and commercial conditions in Rotterdam are good, and existing LPG infrastructure can facilitate customer access and distribution.</w:t>
      </w:r>
    </w:p>
    <w:p w:rsidR="00000000" w:rsidDel="00000000" w:rsidP="00000000" w:rsidRDefault="00000000" w:rsidRPr="00000000" w14:paraId="0000005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many risks and uncertainties associated with the project including financial, regulatory, operational and people risks. Well-prepared expansion needs to be coordinated regarding production capacity, digital systems and stakeholder relations.</w:t>
      </w:r>
    </w:p>
    <w:p w:rsidR="00000000" w:rsidDel="00000000" w:rsidP="00000000" w:rsidRDefault="00000000" w:rsidRPr="00000000" w14:paraId="0000005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plant is proposed for Rotterdam with a gradual implementation of technology and formal strategic partnerships, which gives a good basis for the international development of Green Gold. There should be effective financial control, workforce development, risk management and stakeholder communication throughout implementation.</w:t>
      </w:r>
      <w:r w:rsidDel="00000000" w:rsidR="00000000" w:rsidRPr="00000000">
        <w:rPr>
          <w:rtl w:val="0"/>
        </w:rPr>
      </w:r>
    </w:p>
    <w:p w:rsidR="00000000" w:rsidDel="00000000" w:rsidP="00000000" w:rsidRDefault="00000000" w:rsidRPr="00000000" w14:paraId="00000055">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gsbfgbxq4wum" w:id="24"/>
      <w:bookmarkEnd w:id="24"/>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2"/>
        <w:keepNext w:val="0"/>
        <w:keepLines w:val="0"/>
        <w:spacing w:before="480" w:line="360" w:lineRule="auto"/>
        <w:rPr>
          <w:rFonts w:ascii="Times New Roman" w:cs="Times New Roman" w:eastAsia="Times New Roman" w:hAnsi="Times New Roman"/>
          <w:b w:val="1"/>
          <w:bCs w:val="1"/>
          <w:sz w:val="34"/>
          <w:szCs w:val="34"/>
        </w:rPr>
      </w:pPr>
      <w:bookmarkStart w:colFirst="0" w:colLast="0" w:name="_ozjzia6f9y4y" w:id="25"/>
      <w:bookmarkEnd w:id="25"/>
      <w:r w:rsidDel="00000000" w:rsidR="00000000" w:rsidRPr="00000000">
        <w:rPr>
          <w:rFonts w:ascii="Times New Roman" w:cs="Times New Roman" w:eastAsia="Times New Roman" w:hAnsi="Times New Roman"/>
          <w:b w:val="1"/>
          <w:bCs w:val="1"/>
          <w:sz w:val="34"/>
          <w:szCs w:val="34"/>
          <w:rtl w:val="0"/>
        </w:rPr>
        <w:t xml:space="preserve">References</w:t>
      </w:r>
    </w:p>
    <w:p w:rsidR="00000000" w:rsidDel="00000000" w:rsidP="00000000" w:rsidRDefault="00000000" w:rsidRPr="00000000" w14:paraId="00000057">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Alam, S., Vyas, A., Sultana, N. and Ahmad, S. (2025) ‘Green economy: integration of environmental, social and economic component for sustainable development and employee retention’, in Sharma, V. et al. (eds.) </w:t>
      </w:r>
      <w:r w:rsidDel="00000000" w:rsidR="00000000" w:rsidRPr="00000000">
        <w:rPr>
          <w:rFonts w:ascii="Times New Roman" w:cs="Times New Roman" w:eastAsia="Times New Roman" w:hAnsi="Times New Roman"/>
          <w:i w:val="1"/>
          <w:iCs w:val="1"/>
          <w:sz w:val="24"/>
          <w:szCs w:val="24"/>
          <w:rtl w:val="0"/>
        </w:rPr>
        <w:t xml:space="preserve">FinTech for Sustainable Finance and a Well-Blue Economy</w:t>
      </w:r>
      <w:r w:rsidDel="00000000" w:rsidR="00000000" w:rsidRPr="00000000">
        <w:rPr>
          <w:rFonts w:ascii="Times New Roman" w:cs="Times New Roman" w:eastAsia="Times New Roman" w:hAnsi="Times New Roman"/>
          <w:sz w:val="24"/>
          <w:szCs w:val="24"/>
          <w:rtl w:val="0"/>
        </w:rPr>
        <w:t xml:space="preserve">. Cham: Springer Nature Switzerland, pp. 21–44.</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https://doi.org/10.1007/978-3-031-92390-6_2</w:t>
        </w:r>
      </w:hyperlink>
      <w:r w:rsidDel="00000000" w:rsidR="00000000" w:rsidRPr="00000000">
        <w:rPr>
          <w:rtl w:val="0"/>
        </w:rPr>
      </w:r>
    </w:p>
    <w:p w:rsidR="00000000" w:rsidDel="00000000" w:rsidP="00000000" w:rsidRDefault="00000000" w:rsidRPr="00000000" w14:paraId="00000058">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Armstrong, M. and Taylor, S. (2023) </w:t>
      </w:r>
      <w:r w:rsidDel="00000000" w:rsidR="00000000" w:rsidRPr="00000000">
        <w:rPr>
          <w:rFonts w:ascii="Times New Roman" w:cs="Times New Roman" w:eastAsia="Times New Roman" w:hAnsi="Times New Roman"/>
          <w:i w:val="1"/>
          <w:iCs w:val="1"/>
          <w:sz w:val="24"/>
          <w:szCs w:val="24"/>
          <w:rtl w:val="0"/>
        </w:rPr>
        <w:t xml:space="preserve">Armstrong’s Handbook of Human Resource Management Practice</w:t>
      </w:r>
      <w:r w:rsidDel="00000000" w:rsidR="00000000" w:rsidRPr="00000000">
        <w:rPr>
          <w:rFonts w:ascii="Times New Roman" w:cs="Times New Roman" w:eastAsia="Times New Roman" w:hAnsi="Times New Roman"/>
          <w:sz w:val="24"/>
          <w:szCs w:val="24"/>
          <w:rtl w:val="0"/>
        </w:rPr>
        <w:t xml:space="preserve">. 16th edn. London: Kogan Page.</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https://www.koganpage.com/hr-learning-development/armstrong-s-handbook-of-human-resource-management-practice-9781398622081</w:t>
        </w:r>
      </w:hyperlink>
      <w:r w:rsidDel="00000000" w:rsidR="00000000" w:rsidRPr="00000000">
        <w:rPr>
          <w:rtl w:val="0"/>
        </w:rPr>
      </w:r>
    </w:p>
    <w:p w:rsidR="00000000" w:rsidDel="00000000" w:rsidP="00000000" w:rsidRDefault="00000000" w:rsidRPr="00000000" w14:paraId="00000059">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Block, P. (2011) </w:t>
      </w:r>
      <w:r w:rsidDel="00000000" w:rsidR="00000000" w:rsidRPr="00000000">
        <w:rPr>
          <w:rFonts w:ascii="Times New Roman" w:cs="Times New Roman" w:eastAsia="Times New Roman" w:hAnsi="Times New Roman"/>
          <w:i w:val="1"/>
          <w:iCs w:val="1"/>
          <w:sz w:val="24"/>
          <w:szCs w:val="24"/>
          <w:rtl w:val="0"/>
        </w:rPr>
        <w:t xml:space="preserve">Flawless Consulting: A Guide to Getting Your Expertise Used</w:t>
      </w:r>
      <w:r w:rsidDel="00000000" w:rsidR="00000000" w:rsidRPr="00000000">
        <w:rPr>
          <w:rFonts w:ascii="Times New Roman" w:cs="Times New Roman" w:eastAsia="Times New Roman" w:hAnsi="Times New Roman"/>
          <w:sz w:val="24"/>
          <w:szCs w:val="24"/>
          <w:rtl w:val="0"/>
        </w:rPr>
        <w:t xml:space="preserve">. 3rd edn. San Francisco: Pfeiffer.</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https://www.wiley.com/en-us/Flawless+Consulting%3A+A+Guide+to+Getting+Your+Expertise+Used%2C+3rd+Edition-p-9781118157960</w:t>
        </w:r>
      </w:hyperlink>
      <w:r w:rsidDel="00000000" w:rsidR="00000000" w:rsidRPr="00000000">
        <w:rPr>
          <w:rtl w:val="0"/>
        </w:rPr>
      </w:r>
    </w:p>
    <w:p w:rsidR="00000000" w:rsidDel="00000000" w:rsidP="00000000" w:rsidRDefault="00000000" w:rsidRPr="00000000" w14:paraId="0000005A">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Hodges, J. (2017) </w:t>
      </w:r>
      <w:r w:rsidDel="00000000" w:rsidR="00000000" w:rsidRPr="00000000">
        <w:rPr>
          <w:rFonts w:ascii="Times New Roman" w:cs="Times New Roman" w:eastAsia="Times New Roman" w:hAnsi="Times New Roman"/>
          <w:i w:val="1"/>
          <w:iCs w:val="1"/>
          <w:sz w:val="24"/>
          <w:szCs w:val="24"/>
          <w:rtl w:val="0"/>
        </w:rPr>
        <w:t xml:space="preserve">Consultancy, Organizational Development and Change: A Practical Guide to Delivering Value</w:t>
      </w:r>
      <w:r w:rsidDel="00000000" w:rsidR="00000000" w:rsidRPr="00000000">
        <w:rPr>
          <w:rFonts w:ascii="Times New Roman" w:cs="Times New Roman" w:eastAsia="Times New Roman" w:hAnsi="Times New Roman"/>
          <w:sz w:val="24"/>
          <w:szCs w:val="24"/>
          <w:rtl w:val="0"/>
        </w:rPr>
        <w:t xml:space="preserve">. London: Kogan Page.</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https://www.koganpage.com/product/consultancy-organizational-development-and-change-9780749478636</w:t>
        </w:r>
      </w:hyperlink>
      <w:r w:rsidDel="00000000" w:rsidR="00000000" w:rsidRPr="00000000">
        <w:rPr>
          <w:rtl w:val="0"/>
        </w:rPr>
      </w:r>
    </w:p>
    <w:p w:rsidR="00000000" w:rsidDel="00000000" w:rsidP="00000000" w:rsidRDefault="00000000" w:rsidRPr="00000000" w14:paraId="0000005B">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International Energy Agency (IEA) (2023) </w:t>
      </w:r>
      <w:r w:rsidDel="00000000" w:rsidR="00000000" w:rsidRPr="00000000">
        <w:rPr>
          <w:rFonts w:ascii="Times New Roman" w:cs="Times New Roman" w:eastAsia="Times New Roman" w:hAnsi="Times New Roman"/>
          <w:i w:val="1"/>
          <w:iCs w:val="1"/>
          <w:sz w:val="24"/>
          <w:szCs w:val="24"/>
          <w:rtl w:val="0"/>
        </w:rPr>
        <w:t xml:space="preserve">World Energy Employment 2023</w:t>
      </w:r>
      <w:r w:rsidDel="00000000" w:rsidR="00000000" w:rsidRPr="00000000">
        <w:rPr>
          <w:rFonts w:ascii="Times New Roman" w:cs="Times New Roman" w:eastAsia="Times New Roman" w:hAnsi="Times New Roman"/>
          <w:sz w:val="24"/>
          <w:szCs w:val="24"/>
          <w:rtl w:val="0"/>
        </w:rPr>
        <w:t xml:space="preserve">. Paris: IEA.</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https://www.iea.org/reports/world-energy-employment-2023</w:t>
        </w:r>
      </w:hyperlink>
      <w:r w:rsidDel="00000000" w:rsidR="00000000" w:rsidRPr="00000000">
        <w:rPr>
          <w:rtl w:val="0"/>
        </w:rPr>
      </w:r>
    </w:p>
    <w:p w:rsidR="00000000" w:rsidDel="00000000" w:rsidP="00000000" w:rsidRDefault="00000000" w:rsidRPr="00000000" w14:paraId="0000005C">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International Energy Agency (IEA) (2024) </w:t>
      </w:r>
      <w:r w:rsidDel="00000000" w:rsidR="00000000" w:rsidRPr="00000000">
        <w:rPr>
          <w:rFonts w:ascii="Times New Roman" w:cs="Times New Roman" w:eastAsia="Times New Roman" w:hAnsi="Times New Roman"/>
          <w:i w:val="1"/>
          <w:iCs w:val="1"/>
          <w:sz w:val="24"/>
          <w:szCs w:val="24"/>
          <w:rtl w:val="0"/>
        </w:rPr>
        <w:t xml:space="preserve">World Energy Investment 2024</w:t>
      </w:r>
      <w:r w:rsidDel="00000000" w:rsidR="00000000" w:rsidRPr="00000000">
        <w:rPr>
          <w:rFonts w:ascii="Times New Roman" w:cs="Times New Roman" w:eastAsia="Times New Roman" w:hAnsi="Times New Roman"/>
          <w:sz w:val="24"/>
          <w:szCs w:val="24"/>
          <w:rtl w:val="0"/>
        </w:rPr>
        <w:t xml:space="preserve">. Paris: IEA.</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https://www.iea.org/reports/world-energy-investment-2024</w:t>
        </w:r>
      </w:hyperlink>
      <w:r w:rsidDel="00000000" w:rsidR="00000000" w:rsidRPr="00000000">
        <w:rPr>
          <w:rtl w:val="0"/>
        </w:rPr>
      </w:r>
    </w:p>
    <w:p w:rsidR="00000000" w:rsidDel="00000000" w:rsidP="00000000" w:rsidRDefault="00000000" w:rsidRPr="00000000" w14:paraId="0000005D">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Kumar, N., Kumar, K., Aeron, A. and Verre, F. (2025) ‘Blockchain technology in supply chain management: innovations, applications, and challenges’, </w:t>
      </w:r>
      <w:r w:rsidDel="00000000" w:rsidR="00000000" w:rsidRPr="00000000">
        <w:rPr>
          <w:rFonts w:ascii="Times New Roman" w:cs="Times New Roman" w:eastAsia="Times New Roman" w:hAnsi="Times New Roman"/>
          <w:i w:val="1"/>
          <w:iCs w:val="1"/>
          <w:sz w:val="24"/>
          <w:szCs w:val="24"/>
          <w:rtl w:val="0"/>
        </w:rPr>
        <w:t xml:space="preserve">Telematics and Informatics Reports</w:t>
      </w:r>
      <w:r w:rsidDel="00000000" w:rsidR="00000000" w:rsidRPr="00000000">
        <w:rPr>
          <w:rFonts w:ascii="Times New Roman" w:cs="Times New Roman" w:eastAsia="Times New Roman" w:hAnsi="Times New Roman"/>
          <w:sz w:val="24"/>
          <w:szCs w:val="24"/>
          <w:rtl w:val="0"/>
        </w:rPr>
        <w:t xml:space="preserve">, 18, 100204.</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https://doi.org/10.1016/j.teler.2025.100204</w:t>
        </w:r>
      </w:hyperlink>
      <w:r w:rsidDel="00000000" w:rsidR="00000000" w:rsidRPr="00000000">
        <w:rPr>
          <w:rtl w:val="0"/>
        </w:rPr>
      </w:r>
    </w:p>
    <w:p w:rsidR="00000000" w:rsidDel="00000000" w:rsidP="00000000" w:rsidRDefault="00000000" w:rsidRPr="00000000" w14:paraId="0000005E">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Liquid Gas Europe (2024) </w:t>
      </w:r>
      <w:r w:rsidDel="00000000" w:rsidR="00000000" w:rsidRPr="00000000">
        <w:rPr>
          <w:rFonts w:ascii="Times New Roman" w:cs="Times New Roman" w:eastAsia="Times New Roman" w:hAnsi="Times New Roman"/>
          <w:i w:val="1"/>
          <w:iCs w:val="1"/>
          <w:sz w:val="24"/>
          <w:szCs w:val="24"/>
          <w:rtl w:val="0"/>
        </w:rPr>
        <w:t xml:space="preserve">Renewables</w:t>
      </w:r>
      <w:r w:rsidDel="00000000" w:rsidR="00000000" w:rsidRPr="00000000">
        <w:rPr>
          <w:rFonts w:ascii="Times New Roman" w:cs="Times New Roman" w:eastAsia="Times New Roman" w:hAnsi="Times New Roman"/>
          <w:sz w:val="24"/>
          <w:szCs w:val="24"/>
          <w:rtl w:val="0"/>
        </w:rPr>
        <w:t xml:space="preserve">.</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https://www.liquidgaseurope.eu/renewables/</w:t>
        </w:r>
      </w:hyperlink>
      <w:r w:rsidDel="00000000" w:rsidR="00000000" w:rsidRPr="00000000">
        <w:rPr>
          <w:rtl w:val="0"/>
        </w:rPr>
      </w:r>
    </w:p>
    <w:p w:rsidR="00000000" w:rsidDel="00000000" w:rsidP="00000000" w:rsidRDefault="00000000" w:rsidRPr="00000000" w14:paraId="0000005F">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McKinsey &amp; Company (2022a) </w:t>
      </w:r>
      <w:r w:rsidDel="00000000" w:rsidR="00000000" w:rsidRPr="00000000">
        <w:rPr>
          <w:rFonts w:ascii="Times New Roman" w:cs="Times New Roman" w:eastAsia="Times New Roman" w:hAnsi="Times New Roman"/>
          <w:i w:val="1"/>
          <w:iCs w:val="1"/>
          <w:sz w:val="24"/>
          <w:szCs w:val="24"/>
          <w:rtl w:val="0"/>
        </w:rPr>
        <w:t xml:space="preserve">Global Energy Perspective 2022</w:t>
      </w:r>
      <w:r w:rsidDel="00000000" w:rsidR="00000000" w:rsidRPr="00000000">
        <w:rPr>
          <w:rFonts w:ascii="Times New Roman" w:cs="Times New Roman" w:eastAsia="Times New Roman" w:hAnsi="Times New Roman"/>
          <w:sz w:val="24"/>
          <w:szCs w:val="24"/>
          <w:rtl w:val="0"/>
        </w:rPr>
        <w:t xml:space="preserve">.</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https://www.mckinsey.com/industries/oil-and-gas/our-insights/global-energy-perspective-2022</w:t>
        </w:r>
      </w:hyperlink>
      <w:r w:rsidDel="00000000" w:rsidR="00000000" w:rsidRPr="00000000">
        <w:rPr>
          <w:rtl w:val="0"/>
        </w:rPr>
      </w:r>
    </w:p>
    <w:p w:rsidR="00000000" w:rsidDel="00000000" w:rsidP="00000000" w:rsidRDefault="00000000" w:rsidRPr="00000000" w14:paraId="00000060">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McKinsey &amp; Company (2022b) </w:t>
      </w:r>
      <w:r w:rsidDel="00000000" w:rsidR="00000000" w:rsidRPr="00000000">
        <w:rPr>
          <w:rFonts w:ascii="Times New Roman" w:cs="Times New Roman" w:eastAsia="Times New Roman" w:hAnsi="Times New Roman"/>
          <w:i w:val="1"/>
          <w:iCs w:val="1"/>
          <w:sz w:val="24"/>
          <w:szCs w:val="24"/>
          <w:rtl w:val="0"/>
        </w:rPr>
        <w:t xml:space="preserve">The Energy Transition: A Region-by-Region Agenda for Near-Term Action</w:t>
      </w:r>
      <w:r w:rsidDel="00000000" w:rsidR="00000000" w:rsidRPr="00000000">
        <w:rPr>
          <w:rFonts w:ascii="Times New Roman" w:cs="Times New Roman" w:eastAsia="Times New Roman" w:hAnsi="Times New Roman"/>
          <w:sz w:val="24"/>
          <w:szCs w:val="24"/>
          <w:rtl w:val="0"/>
        </w:rPr>
        <w:t xml:space="preserve">.</w:t>
      </w:r>
      <w:hyperlink r:id="rId24">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61">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Porter, M.E. (1980) </w:t>
      </w:r>
      <w:r w:rsidDel="00000000" w:rsidR="00000000" w:rsidRPr="00000000">
        <w:rPr>
          <w:rFonts w:ascii="Times New Roman" w:cs="Times New Roman" w:eastAsia="Times New Roman" w:hAnsi="Times New Roman"/>
          <w:i w:val="1"/>
          <w:iCs w:val="1"/>
          <w:sz w:val="24"/>
          <w:szCs w:val="24"/>
          <w:rtl w:val="0"/>
        </w:rPr>
        <w:t xml:space="preserve">Competitive Strategy: Techniques for Analysing Industries and Competitors</w:t>
      </w:r>
      <w:r w:rsidDel="00000000" w:rsidR="00000000" w:rsidRPr="00000000">
        <w:rPr>
          <w:rFonts w:ascii="Times New Roman" w:cs="Times New Roman" w:eastAsia="Times New Roman" w:hAnsi="Times New Roman"/>
          <w:sz w:val="24"/>
          <w:szCs w:val="24"/>
          <w:rtl w:val="0"/>
        </w:rPr>
        <w:t xml:space="preserve">. New York: Free Press.</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https://books.google.com/books?id=Nl21AAAAIAAJ</w:t>
        </w:r>
      </w:hyperlink>
      <w:r w:rsidDel="00000000" w:rsidR="00000000" w:rsidRPr="00000000">
        <w:rPr>
          <w:rtl w:val="0"/>
        </w:rPr>
      </w:r>
    </w:p>
    <w:p w:rsidR="00000000" w:rsidDel="00000000" w:rsidP="00000000" w:rsidRDefault="00000000" w:rsidRPr="00000000" w14:paraId="00000062">
      <w:pPr>
        <w:spacing w:after="240" w:before="24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yv0jsi2u6jap" w:id="26"/>
      <w:bookmarkEnd w:id="26"/>
      <w:r w:rsidDel="00000000" w:rsidR="00000000" w:rsidRPr="00000000">
        <w:rPr>
          <w:rFonts w:ascii="Times New Roman" w:cs="Times New Roman" w:eastAsia="Times New Roman" w:hAnsi="Times New Roman"/>
          <w:b w:val="1"/>
          <w:bCs w:val="1"/>
          <w:sz w:val="46"/>
          <w:szCs w:val="46"/>
          <w:rtl w:val="0"/>
        </w:rPr>
        <w:t xml:space="preserve">Appendices</w:t>
      </w:r>
    </w:p>
    <w:p w:rsidR="00000000" w:rsidDel="00000000" w:rsidP="00000000" w:rsidRDefault="00000000" w:rsidRPr="00000000" w14:paraId="00000064">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5mcrrr50hj22" w:id="27"/>
      <w:bookmarkEnd w:id="27"/>
      <w:r w:rsidDel="00000000" w:rsidR="00000000" w:rsidRPr="00000000">
        <w:rPr>
          <w:rFonts w:ascii="Times New Roman" w:cs="Times New Roman" w:eastAsia="Times New Roman" w:hAnsi="Times New Roman"/>
          <w:b w:val="1"/>
          <w:bCs w:val="1"/>
          <w:sz w:val="34"/>
          <w:szCs w:val="34"/>
          <w:rtl w:val="0"/>
        </w:rPr>
        <w:t xml:space="preserve">Appendix 1 – Detailed PESTLE Analysis</w:t>
      </w:r>
    </w:p>
    <w:p w:rsidR="00000000" w:rsidDel="00000000" w:rsidP="00000000" w:rsidRDefault="00000000" w:rsidRPr="00000000" w14:paraId="00000065">
      <w:pPr>
        <w:spacing w:after="240" w:before="240" w:line="360" w:lineRule="auto"/>
        <w:rPr>
          <w:rFonts w:ascii="Times New Roman" w:cs="Times New Roman" w:eastAsia="Times New Roman" w:hAnsi="Times New Roman"/>
          <w:sz w:val="24"/>
          <w:szCs w:val="24"/>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5.761868678549"/>
        <w:gridCol w:w="2638.7348861727014"/>
        <w:gridCol w:w="2327.1847922775346"/>
        <w:gridCol w:w="2383.8302638948376"/>
        <w:tblGridChange w:id="0">
          <w:tblGrid>
            <w:gridCol w:w="1675.761868678549"/>
            <w:gridCol w:w="2638.7348861727014"/>
            <w:gridCol w:w="2327.1847922775346"/>
            <w:gridCol w:w="2383.8302638948376"/>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PESTLE Factor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Issue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Potential Impact on Green Gold Limited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Strategic Implication</w:t>
            </w:r>
            <w:r w:rsidDel="00000000" w:rsidR="00000000" w:rsidRPr="00000000">
              <w:rPr>
                <w:rtl w:val="0"/>
              </w:rPr>
            </w:r>
          </w:p>
        </w:tc>
      </w:tr>
      <w:tr>
        <w:trPr>
          <w:cantSplit w:val="0"/>
          <w:trHeight w:val="21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Political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decarbonisation and energy-security policies are creating opportunities for renewable fuels.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changes may create market opportunities but can also affect investment decisions and regulatory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Gold should monitor European energy policies and complete regulatory checks before major investment decisions.</w:t>
            </w:r>
          </w:p>
        </w:tc>
      </w:tr>
      <w:tr>
        <w:trPr>
          <w:cantSplit w:val="0"/>
          <w:trHeight w:val="2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Economic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Rotterdam plant requires approximately £10 million of capital investment. Financing costs and changes in energy prices may affect project economics.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financing costs or weaker demand could affect profitability and cash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Gold should consider private investment, strategic investment and clean-energy funding options.</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Social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acceptance and availability of skilled workers are important to the project.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 in recruiting suitable technical workers could affect plant development and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Recruitment, technical training, graduate programmes and apprenticeships should form part of the workforce plan.</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IoT sensors and blockchain can support plant monitoring, maintenance and supply-chain traceability.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data quality, integration difficulties and cybersecurity issues could affect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should be introduced in stages, with pilot testing and employee training before full implementation.</w:t>
            </w:r>
          </w:p>
        </w:tc>
      </w:tr>
      <w:tr>
        <w:trPr>
          <w:cantSplit w:val="0"/>
          <w:trHeight w:val="2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rDME production from waste feedstocks supports a wider circular-economy approach.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environmental performance may support market positioning, while unsupported environmental claims could damage credibility.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information relating to feedstocks, production and emissions should be supported by reliable evidence.</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Legal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plant will need to comply with environmental, employment, safety, energy and commercial regulations.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delays could increase costs and delay commercial production.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due diligence should be carried out before significant capital commitments are made.</w:t>
            </w:r>
          </w:p>
        </w:tc>
      </w:tr>
    </w:tbl>
    <w:p w:rsidR="00000000" w:rsidDel="00000000" w:rsidP="00000000" w:rsidRDefault="00000000" w:rsidRPr="00000000" w14:paraId="0000008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Style w:val="Heading1"/>
        <w:keepNext w:val="0"/>
        <w:keepLines w:val="0"/>
        <w:spacing w:before="480" w:line="360" w:lineRule="auto"/>
        <w:rPr>
          <w:rFonts w:ascii="Times New Roman" w:cs="Times New Roman" w:eastAsia="Times New Roman" w:hAnsi="Times New Roman"/>
          <w:sz w:val="24"/>
          <w:szCs w:val="24"/>
        </w:rPr>
      </w:pPr>
      <w:bookmarkStart w:colFirst="0" w:colLast="0" w:name="_i01vy6bjpmcx" w:id="28"/>
      <w:bookmarkEnd w:id="28"/>
      <w:r w:rsidDel="00000000" w:rsidR="00000000" w:rsidRPr="00000000">
        <w:rPr>
          <w:rFonts w:ascii="Times New Roman" w:cs="Times New Roman" w:eastAsia="Times New Roman" w:hAnsi="Times New Roman"/>
          <w:b w:val="1"/>
          <w:bCs w:val="1"/>
          <w:sz w:val="46"/>
          <w:szCs w:val="46"/>
          <w:rtl w:val="0"/>
        </w:rPr>
        <w:t xml:space="preserve">Appendix 2 – Porter's Five Forces Assessment</w:t>
      </w: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2.470925443943"/>
        <w:gridCol w:w="1364.2117747833822"/>
        <w:gridCol w:w="3021.091819589497"/>
        <w:gridCol w:w="3077.7372912068004"/>
        <w:tblGridChange w:id="0">
          <w:tblGrid>
            <w:gridCol w:w="1562.470925443943"/>
            <w:gridCol w:w="1364.2117747833822"/>
            <w:gridCol w:w="3021.091819589497"/>
            <w:gridCol w:w="3077.737291206800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Competitive Force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Reason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Implication for Green Gold Limited</w:t>
            </w:r>
            <w:r w:rsidDel="00000000" w:rsidR="00000000" w:rsidRPr="00000000">
              <w:rPr>
                <w:rtl w:val="0"/>
              </w:rPr>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Competitive Rivalry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Gold operates within a wider market containing renewable fuels and alternative energy technologies.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Gold needs to differentiate through rDME capability, reliable supply and access to existing LPG infrastructure.</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Threat of Substitutes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Hydrogen, electrification and other low-carbon fuels can provide alternatives for customers seeking lower-emission energy solutions.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Gold should focus on applications where rDME's properties and compatibility with LPG infrastructure provide commercial value.</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Supplier Power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waste feedstock may be limited, creating potential dependence on a small number of suppliers.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feedstock suppliers and supply agreements should be developed to reduce supply disruption.</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Buyer Power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customers and distributors can compare Green Gold with other fuel suppliers and alternative technologies.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Reliable delivery, competitive pricing, technical support and longer-term customer agreements can support customer relationships.</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Threat of New Entrants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Capital requirements, technical knowledge, regulatory requirements and access to suitable feedstocks create barriers to entry.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Gold should build strong operational capability, supplier relationships and market relationships as the business develops.</w:t>
            </w:r>
          </w:p>
        </w:tc>
      </w:tr>
    </w:tbl>
    <w:p w:rsidR="00000000" w:rsidDel="00000000" w:rsidP="00000000" w:rsidRDefault="00000000" w:rsidRPr="00000000" w14:paraId="0000009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1isvf9tbdy40" w:id="29"/>
      <w:bookmarkEnd w:id="29"/>
      <w:r w:rsidDel="00000000" w:rsidR="00000000" w:rsidRPr="00000000">
        <w:rPr>
          <w:rFonts w:ascii="Times New Roman" w:cs="Times New Roman" w:eastAsia="Times New Roman" w:hAnsi="Times New Roman"/>
          <w:b w:val="1"/>
          <w:bCs w:val="1"/>
          <w:sz w:val="46"/>
          <w:szCs w:val="46"/>
          <w:rtl w:val="0"/>
        </w:rPr>
        <w:t xml:space="preserve">Appendix 3 – Financial Projection and Investment Summary</w:t>
      </w:r>
    </w:p>
    <w:p w:rsidR="00000000" w:rsidDel="00000000" w:rsidP="00000000" w:rsidRDefault="00000000" w:rsidRPr="00000000" w14:paraId="0000009E">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rzqayie4ijqv" w:id="30"/>
      <w:bookmarkEnd w:id="30"/>
      <w:r w:rsidDel="00000000" w:rsidR="00000000" w:rsidRPr="00000000">
        <w:rPr>
          <w:rFonts w:ascii="Times New Roman" w:cs="Times New Roman" w:eastAsia="Times New Roman" w:hAnsi="Times New Roman"/>
          <w:b w:val="1"/>
          <w:bCs w:val="1"/>
          <w:color w:val="000000"/>
          <w:sz w:val="26"/>
          <w:szCs w:val="26"/>
          <w:rtl w:val="0"/>
        </w:rPr>
        <w:t xml:space="preserve">A. Revenue and Profit Projection</w:t>
      </w:r>
    </w:p>
    <w:tbl>
      <w:tblPr>
        <w:tblStyle w:val="Table3"/>
        <w:tblW w:w="6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1220"/>
        <w:gridCol w:w="1340"/>
        <w:gridCol w:w="1340"/>
        <w:tblGridChange w:id="0">
          <w:tblGrid>
            <w:gridCol w:w="2750"/>
            <w:gridCol w:w="1220"/>
            <w:gridCol w:w="1340"/>
            <w:gridCol w:w="13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Financial Measure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2029</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Projected Revenue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million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million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million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Projected Profit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million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million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million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Indicative Profit Margin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53.3%</w:t>
            </w:r>
          </w:p>
        </w:tc>
      </w:tr>
    </w:tbl>
    <w:p w:rsidR="00000000" w:rsidDel="00000000" w:rsidP="00000000" w:rsidRDefault="00000000" w:rsidRPr="00000000" w14:paraId="000000AF">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q4zorxscuu7j" w:id="31"/>
      <w:bookmarkEnd w:id="31"/>
      <w:r w:rsidDel="00000000" w:rsidR="00000000" w:rsidRPr="00000000">
        <w:rPr>
          <w:rFonts w:ascii="Times New Roman" w:cs="Times New Roman" w:eastAsia="Times New Roman" w:hAnsi="Times New Roman"/>
          <w:b w:val="1"/>
          <w:bCs w:val="1"/>
          <w:color w:val="000000"/>
          <w:sz w:val="26"/>
          <w:szCs w:val="26"/>
          <w:rtl w:val="0"/>
        </w:rPr>
        <w:t xml:space="preserve">B. Initial Implementation Investment</w:t>
      </w:r>
    </w:p>
    <w:tbl>
      <w:tblPr>
        <w:tblStyle w:val="Table4"/>
        <w:tblW w:w="7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2375"/>
        <w:gridCol w:w="1670"/>
        <w:tblGridChange w:id="0">
          <w:tblGrid>
            <w:gridCol w:w="3515"/>
            <w:gridCol w:w="2375"/>
            <w:gridCol w:w="16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Investment 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Estimated Allocation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Share of Total</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Rotterdam rDME plant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IoT and blockchain systems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partnership 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Estimated Investment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£10,400,000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tl w:val="0"/>
              </w:rPr>
            </w:r>
          </w:p>
        </w:tc>
      </w:tr>
    </w:tbl>
    <w:p w:rsidR="00000000" w:rsidDel="00000000" w:rsidP="00000000" w:rsidRDefault="00000000" w:rsidRPr="00000000" w14:paraId="000000B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pStyle w:val="Heading1"/>
        <w:keepNext w:val="0"/>
        <w:keepLines w:val="0"/>
        <w:spacing w:before="480" w:line="360" w:lineRule="auto"/>
        <w:rPr>
          <w:rFonts w:ascii="Times New Roman" w:cs="Times New Roman" w:eastAsia="Times New Roman" w:hAnsi="Times New Roman"/>
          <w:sz w:val="24"/>
          <w:szCs w:val="24"/>
        </w:rPr>
      </w:pPr>
      <w:bookmarkStart w:colFirst="0" w:colLast="0" w:name="_f3wtbd9dgv14" w:id="32"/>
      <w:bookmarkEnd w:id="32"/>
      <w:r w:rsidDel="00000000" w:rsidR="00000000" w:rsidRPr="00000000">
        <w:rPr>
          <w:rFonts w:ascii="Times New Roman" w:cs="Times New Roman" w:eastAsia="Times New Roman" w:hAnsi="Times New Roman"/>
          <w:b w:val="1"/>
          <w:bCs w:val="1"/>
          <w:sz w:val="46"/>
          <w:szCs w:val="46"/>
          <w:rtl w:val="0"/>
        </w:rPr>
        <w:t xml:space="preserve">Appendix 4 – Stakeholder Analysis Matrix</w:t>
      </w: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3.8810076797959"/>
        <w:gridCol w:w="1103.8395740100834"/>
        <w:gridCol w:w="1242.9790161121948"/>
        <w:gridCol w:w="2411.7503297699304"/>
        <w:gridCol w:w="2523.0618834516195"/>
        <w:tblGridChange w:id="0">
          <w:tblGrid>
            <w:gridCol w:w="1743.8810076797959"/>
            <w:gridCol w:w="1103.8395740100834"/>
            <w:gridCol w:w="1242.9790161121948"/>
            <w:gridCol w:w="2411.7503297699304"/>
            <w:gridCol w:w="2523.061883451619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 of Interest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 of Influence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Expectations /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Recommended Engagement</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Investors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capital control, project progress and risk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Investor briefings and financial reporting</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Government and Regulators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compliance, environmental standards and safety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communication and formal compliance reporting</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Waste Suppliers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supply requirements, reliable contracts and long-term demand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Supply agreements and regular supplier meetings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LPG Distributors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Reliable product availability, quality and delivery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 agreements and performance reviews</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Industrial Customers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quality, price, reliability and environmental 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B2B communication, technical demonstrations and customer feedback</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Employees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development, safety and employment opportunities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programmes, staff communication and development activities</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 Communities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impact, employment and responsible business activity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communication and stakeholder engagement</w:t>
            </w:r>
          </w:p>
        </w:tc>
      </w:tr>
    </w:tbl>
    <w:p w:rsidR="00000000" w:rsidDel="00000000" w:rsidP="00000000" w:rsidRDefault="00000000" w:rsidRPr="00000000" w14:paraId="000000E9">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qhrnrns7zyo0" w:id="33"/>
      <w:bookmarkEnd w:id="33"/>
      <w:r w:rsidDel="00000000" w:rsidR="00000000" w:rsidRPr="00000000">
        <w:rPr>
          <w:rFonts w:ascii="Times New Roman" w:cs="Times New Roman" w:eastAsia="Times New Roman" w:hAnsi="Times New Roman"/>
          <w:b w:val="1"/>
          <w:bCs w:val="1"/>
          <w:color w:val="000000"/>
          <w:sz w:val="26"/>
          <w:szCs w:val="26"/>
          <w:rtl w:val="0"/>
        </w:rPr>
        <w:t xml:space="preserve">Stakeholder Priority</w:t>
      </w:r>
    </w:p>
    <w:p w:rsidR="00000000" w:rsidDel="00000000" w:rsidP="00000000" w:rsidRDefault="00000000" w:rsidRPr="00000000" w14:paraId="000000EA">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Manage closely:</w:t>
      </w:r>
    </w:p>
    <w:p w:rsidR="00000000" w:rsidDel="00000000" w:rsidP="00000000" w:rsidRDefault="00000000" w:rsidRPr="00000000" w14:paraId="000000EB">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Investors</w:t>
      </w:r>
    </w:p>
    <w:p w:rsidR="00000000" w:rsidDel="00000000" w:rsidP="00000000" w:rsidRDefault="00000000" w:rsidRPr="00000000" w14:paraId="000000EC">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and regulators</w:t>
      </w:r>
    </w:p>
    <w:p w:rsidR="00000000" w:rsidDel="00000000" w:rsidP="00000000" w:rsidRDefault="00000000" w:rsidRPr="00000000" w14:paraId="000000ED">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Waste suppliers</w:t>
      </w:r>
    </w:p>
    <w:p w:rsidR="00000000" w:rsidDel="00000000" w:rsidP="00000000" w:rsidRDefault="00000000" w:rsidRPr="00000000" w14:paraId="000000EE">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LPG distributors</w:t>
      </w:r>
    </w:p>
    <w:p w:rsidR="00000000" w:rsidDel="00000000" w:rsidP="00000000" w:rsidRDefault="00000000" w:rsidRPr="00000000" w14:paraId="000000EF">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 customers</w:t>
      </w:r>
    </w:p>
    <w:p w:rsidR="00000000" w:rsidDel="00000000" w:rsidP="00000000" w:rsidRDefault="00000000" w:rsidRPr="00000000" w14:paraId="000000F0">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Keep informed:</w:t>
      </w:r>
    </w:p>
    <w:p w:rsidR="00000000" w:rsidDel="00000000" w:rsidP="00000000" w:rsidRDefault="00000000" w:rsidRPr="00000000" w14:paraId="000000F1">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w:t>
      </w:r>
    </w:p>
    <w:p w:rsidR="00000000" w:rsidDel="00000000" w:rsidP="00000000" w:rsidRDefault="00000000" w:rsidRPr="00000000" w14:paraId="000000F2">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communities</w:t>
      </w:r>
      <w:r w:rsidDel="00000000" w:rsidR="00000000" w:rsidRPr="00000000">
        <w:rPr>
          <w:rtl w:val="0"/>
        </w:rPr>
      </w:r>
    </w:p>
    <w:p w:rsidR="00000000" w:rsidDel="00000000" w:rsidP="00000000" w:rsidRDefault="00000000" w:rsidRPr="00000000" w14:paraId="000000F3">
      <w:pPr>
        <w:spacing w:line="360" w:lineRule="auto"/>
        <w:rPr>
          <w:rFonts w:ascii="Times New Roman" w:cs="Times New Roman" w:eastAsia="Times New Roman" w:hAnsi="Times New Roman"/>
        </w:rPr>
      </w:pPr>
      <w:r w:rsidDel="00000000" w:rsidR="00000000" w:rsidRPr="00000000">
        <w:rPr>
          <w:rtl w:val="0"/>
        </w:rPr>
      </w:r>
    </w:p>
    <w:sectPr>
      <w:headerReference r:id="rId2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jc w:val="right"/>
      <w:rPr/>
    </w:pPr>
    <w:r w:rsidDel="00000000" w:rsidR="00000000" w:rsidRPr="00000000">
      <w:rPr/>
      <w:drawing>
        <wp:inline distB="114300" distT="114300" distL="114300" distR="114300">
          <wp:extent cx="1385888" cy="138588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85888" cy="13858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liquidgaseurope.eu/renewables/" TargetMode="External"/><Relationship Id="rId22" Type="http://schemas.openxmlformats.org/officeDocument/2006/relationships/hyperlink" Target="https://www.mckinsey.com/industries/oil-and-gas/our-insights/global-energy-perspective-2022" TargetMode="External"/><Relationship Id="rId21" Type="http://schemas.openxmlformats.org/officeDocument/2006/relationships/hyperlink" Target="https://www.liquidgaseurope.eu/renewables/" TargetMode="External"/><Relationship Id="rId24" Type="http://schemas.openxmlformats.org/officeDocument/2006/relationships/hyperlink" Target="https://www.mckinsey.com/~/media/mckinsey/industries/electric%20power%20and%20natural%20gas/our%20insights/the%20energy%20transition%20a%20region%20by%20region%20agenda%20for%20near%20term%20action/the-energy-transition-a-region-by-region-agenda-for-near-term-action-final.pdf" TargetMode="External"/><Relationship Id="rId23" Type="http://schemas.openxmlformats.org/officeDocument/2006/relationships/hyperlink" Target="https://www.mckinsey.com/industries/oil-and-gas/our-insights/global-energy-perspective-202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oganpage.com/hr-learning-development/armstrong-s-handbook-of-human-resource-management-practice-9781398622081" TargetMode="External"/><Relationship Id="rId26" Type="http://schemas.openxmlformats.org/officeDocument/2006/relationships/hyperlink" Target="https://books.google.com/books?id=Nl21AAAAIAAJ" TargetMode="External"/><Relationship Id="rId25" Type="http://schemas.openxmlformats.org/officeDocument/2006/relationships/hyperlink" Target="https://books.google.com/books?id=Nl21AAAAIAAJ" TargetMode="Externa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i.org/10.1007/978-3-031-92390-6_2" TargetMode="External"/><Relationship Id="rId7" Type="http://schemas.openxmlformats.org/officeDocument/2006/relationships/hyperlink" Target="https://doi.org/10.1007/978-3-031-92390-6_2" TargetMode="External"/><Relationship Id="rId8" Type="http://schemas.openxmlformats.org/officeDocument/2006/relationships/hyperlink" Target="https://www.koganpage.com/hr-learning-development/armstrong-s-handbook-of-human-resource-management-practice-9781398622081" TargetMode="External"/><Relationship Id="rId11" Type="http://schemas.openxmlformats.org/officeDocument/2006/relationships/hyperlink" Target="https://www.wiley.com/en-us/Flawless+Consulting%3A+A+Guide+to+Getting+Your+Expertise+Used%2C+3rd+Edition-p-9781118157960" TargetMode="External"/><Relationship Id="rId10" Type="http://schemas.openxmlformats.org/officeDocument/2006/relationships/hyperlink" Target="https://www.wiley.com/en-us/Flawless+Consulting%3A+A+Guide+to+Getting+Your+Expertise+Used%2C+3rd+Edition-p-9781118157960" TargetMode="External"/><Relationship Id="rId13" Type="http://schemas.openxmlformats.org/officeDocument/2006/relationships/hyperlink" Target="https://www.koganpage.com/product/consultancy-organizational-development-and-change-9780749478636" TargetMode="External"/><Relationship Id="rId12" Type="http://schemas.openxmlformats.org/officeDocument/2006/relationships/hyperlink" Target="https://www.koganpage.com/product/consultancy-organizational-development-and-change-9780749478636" TargetMode="External"/><Relationship Id="rId15" Type="http://schemas.openxmlformats.org/officeDocument/2006/relationships/hyperlink" Target="https://www.iea.org/reports/world-energy-employment-2023" TargetMode="External"/><Relationship Id="rId14" Type="http://schemas.openxmlformats.org/officeDocument/2006/relationships/hyperlink" Target="https://www.iea.org/reports/world-energy-employment-2023" TargetMode="External"/><Relationship Id="rId17" Type="http://schemas.openxmlformats.org/officeDocument/2006/relationships/hyperlink" Target="https://www.iea.org/reports/world-energy-investment-2024" TargetMode="External"/><Relationship Id="rId16" Type="http://schemas.openxmlformats.org/officeDocument/2006/relationships/hyperlink" Target="https://www.iea.org/reports/world-energy-investment-2024" TargetMode="External"/><Relationship Id="rId19" Type="http://schemas.openxmlformats.org/officeDocument/2006/relationships/hyperlink" Target="https://doi.org/10.1016/j.teler.2025.100204" TargetMode="External"/><Relationship Id="rId18" Type="http://schemas.openxmlformats.org/officeDocument/2006/relationships/hyperlink" Target="https://doi.org/10.1016/j.teler.2025.10020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