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center"/>
        <w:rPr>
          <w:rFonts w:ascii="Times New Roman" w:cs="Times New Roman" w:eastAsia="Times New Roman" w:hAnsi="Times New Roman"/>
          <w:b w:val="1"/>
          <w:bCs w:val="1"/>
          <w:sz w:val="46"/>
          <w:szCs w:val="46"/>
        </w:rPr>
      </w:pPr>
      <w:bookmarkStart w:colFirst="0" w:colLast="0" w:name="_punk49bcy1pa" w:id="0"/>
      <w:bookmarkEnd w:id="0"/>
      <w:r w:rsidDel="00000000" w:rsidR="00000000" w:rsidRPr="00000000">
        <w:rPr>
          <w:rFonts w:ascii="Times New Roman" w:cs="Times New Roman" w:eastAsia="Times New Roman" w:hAnsi="Times New Roman"/>
          <w:b w:val="1"/>
          <w:bCs w:val="1"/>
          <w:sz w:val="46"/>
          <w:szCs w:val="46"/>
          <w:rtl w:val="0"/>
        </w:rPr>
        <w:t xml:space="preserve">Green Gold Limited – Strategic Action Plan</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Name</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Number (Student Number)</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p w:rsidR="00000000" w:rsidDel="00000000" w:rsidP="00000000" w:rsidRDefault="00000000" w:rsidRPr="00000000" w14:paraId="00000005">
      <w:pPr>
        <w:keepNext w:val="0"/>
        <w:keepLines w:val="0"/>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Report:</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67v3vccl7mif" w:id="1"/>
      <w:bookmarkEnd w:id="1"/>
      <w:r w:rsidDel="00000000" w:rsidR="00000000" w:rsidRPr="00000000">
        <w:rPr>
          <w:rFonts w:ascii="Times New Roman" w:cs="Times New Roman" w:eastAsia="Times New Roman" w:hAnsi="Times New Roman"/>
          <w:b w:val="1"/>
          <w:bCs w:val="1"/>
          <w:sz w:val="34"/>
          <w:szCs w:val="34"/>
          <w:rtl w:val="0"/>
        </w:rPr>
        <w:t xml:space="preserve">1.0 Purpose of the Action Plan</w:t>
      </w:r>
    </w:p>
    <w:p w:rsidR="00000000" w:rsidDel="00000000" w:rsidP="00000000" w:rsidRDefault="00000000" w:rsidRPr="00000000" w14:paraId="0000000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action plan outlines the actions that Green Gold Limited will take based on the recommendations from this consultancy. The report recognizes that, along with the development of the Rotterdam plant, the project depends on being able to source finance, feedstock, customers, a skilled workforce, regulatory advancements, and stakeholder buy-in to succeed.</w:t>
      </w:r>
    </w:p>
    <w:p w:rsidR="00000000" w:rsidDel="00000000" w:rsidP="00000000" w:rsidRDefault="00000000" w:rsidRPr="00000000" w14:paraId="0000000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p98lnk8nd8eh" w:id="2"/>
      <w:bookmarkEnd w:id="2"/>
      <w:r w:rsidDel="00000000" w:rsidR="00000000" w:rsidRPr="00000000">
        <w:rPr>
          <w:rFonts w:ascii="Times New Roman" w:cs="Times New Roman" w:eastAsia="Times New Roman" w:hAnsi="Times New Roman"/>
          <w:b w:val="1"/>
          <w:bCs w:val="1"/>
          <w:sz w:val="34"/>
          <w:szCs w:val="34"/>
          <w:rtl w:val="0"/>
        </w:rPr>
        <w:t xml:space="preserve">2.0 Recommendation One: Establish a Commercial Readiness Board</w:t>
      </w:r>
    </w:p>
    <w:p w:rsidR="00000000" w:rsidDel="00000000" w:rsidP="00000000" w:rsidRDefault="00000000" w:rsidRPr="00000000" w14:paraId="0000000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Gold should set up a Commercial Readiness Board, made of senior representatives from finance, operations, engineering, HR, commercial management, and regulatory functions to speed up the process of commercial readiness. There shall be a review by the board to determine if the company is ready to advance its development. This is similar to Hodges' definition of consultancy, which focuses on discovering an organisation's needs, risks and interventions.</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7.4193654663463"/>
        <w:gridCol w:w="2072.2801699996708"/>
        <w:gridCol w:w="1180.1139920271473"/>
        <w:gridCol w:w="1845.6982835304584"/>
        <w:tblGridChange w:id="0">
          <w:tblGrid>
            <w:gridCol w:w="3927.4193654663463"/>
            <w:gridCol w:w="2072.2801699996708"/>
            <w:gridCol w:w="1180.1139920271473"/>
            <w:gridCol w:w="1845.698283530458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 senior sponsor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Sponsor appointed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operational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readiness criteria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 2027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 approved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finance and regulation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 Regulatory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reported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suppliers, customers and workforce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Readiness report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stage progression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recorded</w:t>
            </w:r>
          </w:p>
        </w:tc>
      </w:tr>
    </w:tbl>
    <w:p w:rsidR="00000000" w:rsidDel="00000000" w:rsidP="00000000" w:rsidRDefault="00000000" w:rsidRPr="00000000" w14:paraId="0000002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advantage will be more effective coordination and investment decisions. Unclear roles and decision-making procedures are risks and can be mitigated by establishing clear roles and reporting. The board should be the main governance structure for the controlled commercial growth.</w:t>
      </w:r>
    </w:p>
    <w:p w:rsidR="00000000" w:rsidDel="00000000" w:rsidP="00000000" w:rsidRDefault="00000000" w:rsidRPr="00000000" w14:paraId="0000002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kfcy9wafqi0" w:id="3"/>
      <w:bookmarkEnd w:id="3"/>
      <w:r w:rsidDel="00000000" w:rsidR="00000000" w:rsidRPr="00000000">
        <w:rPr>
          <w:rFonts w:ascii="Times New Roman" w:cs="Times New Roman" w:eastAsia="Times New Roman" w:hAnsi="Times New Roman"/>
          <w:b w:val="1"/>
          <w:bCs w:val="1"/>
          <w:sz w:val="34"/>
          <w:szCs w:val="34"/>
          <w:rtl w:val="0"/>
        </w:rPr>
        <w:t xml:space="preserve">3.0 Recommendation Two: Develop a Multi-Supplier Feedstock Strategy</w:t>
      </w:r>
    </w:p>
    <w:p w:rsidR="00000000" w:rsidDel="00000000" w:rsidP="00000000" w:rsidRDefault="00000000" w:rsidRPr="00000000" w14:paraId="0000002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Gold should diversify away from relying on a single feedstock supplier to a portfolio of suppliers. Suppliers should be evaluated from the volume, quality, price and geographical location and reliability. Long-term contracts should be linked with short term purchasing arrangements, so as to ensure flexibility.</w:t>
      </w:r>
    </w:p>
    <w:p w:rsidR="00000000" w:rsidDel="00000000" w:rsidP="00000000" w:rsidRDefault="00000000" w:rsidRPr="00000000" w14:paraId="0000002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production of rDME requires proper renewable feedstocks and production processes (TNO, 2023).</w:t>
      </w:r>
      <w:r w:rsidDel="00000000" w:rsidR="00000000" w:rsidRPr="00000000">
        <w:rPr>
          <w:rtl w:val="0"/>
        </w:rPr>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2690"/>
        <w:gridCol w:w="2015"/>
        <w:tblGridChange w:id="0">
          <w:tblGrid>
            <w:gridCol w:w="3920"/>
            <w:gridCol w:w="2690"/>
            <w:gridCol w:w="20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 2026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capacity, quality and 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Procurement /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 2026–Q1 2027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prices and logistics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 Procurement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 2027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Negotiate supply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Q1–Q2 2027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contingency 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 2027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supplier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Quarterly</w:t>
            </w:r>
          </w:p>
        </w:tc>
      </w:tr>
    </w:tbl>
    <w:p w:rsidR="00000000" w:rsidDel="00000000" w:rsidP="00000000" w:rsidRDefault="00000000" w:rsidRPr="00000000" w14:paraId="0000004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should minimize reliance on a single supplier and ensure continuity in production. Main risks include lack of quantity, quality, and delivery issues. These risks should be dealt with via multiple suppliers, clear terms, and contingency plans.</w:t>
      </w:r>
    </w:p>
    <w:p w:rsidR="00000000" w:rsidDel="00000000" w:rsidP="00000000" w:rsidRDefault="00000000" w:rsidRPr="00000000" w14:paraId="0000004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x6xut53whd0" w:id="4"/>
      <w:bookmarkEnd w:id="4"/>
      <w:r w:rsidDel="00000000" w:rsidR="00000000" w:rsidRPr="00000000">
        <w:rPr>
          <w:rFonts w:ascii="Times New Roman" w:cs="Times New Roman" w:eastAsia="Times New Roman" w:hAnsi="Times New Roman"/>
          <w:b w:val="1"/>
          <w:bCs w:val="1"/>
          <w:sz w:val="34"/>
          <w:szCs w:val="34"/>
          <w:rtl w:val="0"/>
        </w:rPr>
        <w:t xml:space="preserve">4.0 Recommendation Three: Introduce Customer Pilot Agreements</w:t>
      </w:r>
    </w:p>
    <w:p w:rsidR="00000000" w:rsidDel="00000000" w:rsidP="00000000" w:rsidRDefault="00000000" w:rsidRPr="00000000" w14:paraId="0000004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Gold should not be too hasty in transitioning from product development to big commercial contracts. Fuel performance, operating requirements, delivery, pricing, reliability and repeat purchase intentions are key characteristics that should be first tested in the laboratory by controlled pilots with industrial customers and distributors.</w:t>
      </w:r>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1.979572840935"/>
        <w:gridCol w:w="2556.7477547734647"/>
        <w:gridCol w:w="1936.7844834092225"/>
        <w:tblGridChange w:id="0">
          <w:tblGrid>
            <w:gridCol w:w="4531.979572840935"/>
            <w:gridCol w:w="2556.7477547734647"/>
            <w:gridCol w:w="1936.78448340922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target 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 2026–Q1 2027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technical and commercial discussions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 Technical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Q1–Q2 2027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 pilot 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 Legal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 2027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controlled pilots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 Commercial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Q2–Q3 2027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results and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 2027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successful pilots into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 2027</w:t>
            </w:r>
          </w:p>
        </w:tc>
      </w:tr>
    </w:tbl>
    <w:p w:rsidR="00000000" w:rsidDel="00000000" w:rsidP="00000000" w:rsidRDefault="00000000" w:rsidRPr="00000000" w14:paraId="0000005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large-scale production commitments, the pilots should be able to give practical market evidence. Weak customer interest, poor product performance and inappropriate pricing are among risks. These must be planned on a defined basis (pilot criteria) and formally reviewed prior to agreements of a longer term.</w:t>
      </w:r>
    </w:p>
    <w:p w:rsidR="00000000" w:rsidDel="00000000" w:rsidP="00000000" w:rsidRDefault="00000000" w:rsidRPr="00000000" w14:paraId="0000005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oe63z5upxyyr" w:id="5"/>
      <w:bookmarkEnd w:id="5"/>
      <w:r w:rsidDel="00000000" w:rsidR="00000000" w:rsidRPr="00000000">
        <w:rPr>
          <w:rFonts w:ascii="Times New Roman" w:cs="Times New Roman" w:eastAsia="Times New Roman" w:hAnsi="Times New Roman"/>
          <w:b w:val="1"/>
          <w:bCs w:val="1"/>
          <w:sz w:val="34"/>
          <w:szCs w:val="34"/>
          <w:rtl w:val="0"/>
        </w:rPr>
        <w:t xml:space="preserve">5.0 Recommendation Four: Build a Strategic Skills Pipeline</w:t>
      </w:r>
    </w:p>
    <w:p w:rsidR="00000000" w:rsidDel="00000000" w:rsidP="00000000" w:rsidRDefault="00000000" w:rsidRPr="00000000" w14:paraId="0000005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Gold needs to develop a workforce programme – recruitment, training and external partnerships. Roles that are critical to commissioning should be identified prior to commissioning and training should include production, safety, digital systems and quality management. The report relates this to the perspective on workforce planning that it should be aligned to organisational needs (Armstrong and Taylor's, 2023).</w:t>
      </w:r>
      <w:r w:rsidDel="00000000" w:rsidR="00000000" w:rsidRPr="00000000">
        <w:rPr>
          <w:rtl w:val="0"/>
        </w:rPr>
      </w:r>
    </w:p>
    <w:tbl>
      <w:tblPr>
        <w:tblStyle w:val="Table4"/>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5"/>
        <w:gridCol w:w="1805"/>
        <w:gridCol w:w="2015"/>
        <w:tblGridChange w:id="0">
          <w:tblGrid>
            <w:gridCol w:w="3725"/>
            <w:gridCol w:w="1805"/>
            <w:gridCol w:w="20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critical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 2026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skills-gap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 2026–Q1 2027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 priority employees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Q1–Q2 2027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training programme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Q1–Q2 2027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technical and safety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Q2–Q3 2027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workforce readiness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Q3–Q4 2027</w:t>
            </w:r>
          </w:p>
        </w:tc>
      </w:tr>
    </w:tbl>
    <w:p w:rsidR="00000000" w:rsidDel="00000000" w:rsidP="00000000" w:rsidRDefault="00000000" w:rsidRPr="00000000" w14:paraId="0000007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advantage is that the technical ability is available prior to commercial operation. Key risks are recruitment shortages and training delays; therefore, recruitment should be started at an early stage and external training partnerships considered.</w:t>
      </w:r>
    </w:p>
    <w:p w:rsidR="00000000" w:rsidDel="00000000" w:rsidP="00000000" w:rsidRDefault="00000000" w:rsidRPr="00000000" w14:paraId="0000007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7fyyld6shtji" w:id="6"/>
      <w:bookmarkEnd w:id="6"/>
      <w:r w:rsidDel="00000000" w:rsidR="00000000" w:rsidRPr="00000000">
        <w:rPr>
          <w:rFonts w:ascii="Times New Roman" w:cs="Times New Roman" w:eastAsia="Times New Roman" w:hAnsi="Times New Roman"/>
          <w:b w:val="1"/>
          <w:bCs w:val="1"/>
          <w:sz w:val="34"/>
          <w:szCs w:val="34"/>
          <w:rtl w:val="0"/>
        </w:rPr>
        <w:t xml:space="preserve">6.0 Overall Implementation and Performance</w:t>
      </w:r>
    </w:p>
    <w:p w:rsidR="00000000" w:rsidDel="00000000" w:rsidP="00000000" w:rsidRDefault="00000000" w:rsidRPr="00000000" w14:paraId="0000007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recommendations should work together to make up one programme for commercial readiness. The Commercial Readiness Board will take care of coordination and supplier security, customer validation, and workforce preparation and communication to support transition to commercial production.</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3.1456629310674"/>
        <w:gridCol w:w="4306.194649739865"/>
        <w:gridCol w:w="2046.17149835269"/>
        <w:tblGridChange w:id="0">
          <w:tblGrid>
            <w:gridCol w:w="2673.1456629310674"/>
            <w:gridCol w:w="4306.194649739865"/>
            <w:gridCol w:w="2046.1714983526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 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 Required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Feasibility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 and commercial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Proceed / Review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supplier and customer 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Proceed / Review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Funding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Investment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 Review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Facility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Proceed / Review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Commissioning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Workforce and operational readiness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 / Delay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Commercial production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delivery and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 Review</w:t>
            </w:r>
          </w:p>
        </w:tc>
      </w:tr>
    </w:tbl>
    <w:p w:rsidR="00000000" w:rsidDel="00000000" w:rsidP="00000000" w:rsidRDefault="00000000" w:rsidRPr="00000000" w14:paraId="0000008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investment in the facility is around £10m, and forecasted revenue for the facility is £8m in 2027, £12m in 2028 and £15m in 2029. These numbers are not projections, but are merely forecasts for management purposes.</w:t>
      </w:r>
    </w:p>
    <w:p w:rsidR="00000000" w:rsidDel="00000000" w:rsidP="00000000" w:rsidRDefault="00000000" w:rsidRPr="00000000" w14:paraId="0000008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should keep an eye on capital expenditure, sales, production output, plant downtime, feedstock availability, product quality, conversion of pilot to contract, recruitment and training, safety and issues with stakeholders.</w:t>
      </w:r>
    </w:p>
    <w:p w:rsidR="00000000" w:rsidDel="00000000" w:rsidP="00000000" w:rsidRDefault="00000000" w:rsidRPr="00000000" w14:paraId="0000008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spacing w:after="240" w:before="240" w:line="360" w:lineRule="auto"/>
        <w:rPr>
          <w:rFonts w:ascii="Times New Roman" w:cs="Times New Roman" w:eastAsia="Times New Roman" w:hAnsi="Times New Roman"/>
          <w:b w:val="1"/>
          <w:bCs w:val="1"/>
        </w:rPr>
      </w:pPr>
      <w:bookmarkStart w:colFirst="0" w:colLast="0" w:name="_bf36izxhgip7" w:id="7"/>
      <w:bookmarkEnd w:id="7"/>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8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Armstrong, M. and Taylor, S. (2023) </w:t>
      </w:r>
      <w:r w:rsidDel="00000000" w:rsidR="00000000" w:rsidRPr="00000000">
        <w:rPr>
          <w:rFonts w:ascii="Times New Roman" w:cs="Times New Roman" w:eastAsia="Times New Roman" w:hAnsi="Times New Roman"/>
          <w:i w:val="1"/>
          <w:iCs w:val="1"/>
          <w:rtl w:val="0"/>
        </w:rPr>
        <w:t xml:space="preserve">Armstrong's Handbook of Human Resource Management Practice</w:t>
      </w:r>
      <w:r w:rsidDel="00000000" w:rsidR="00000000" w:rsidRPr="00000000">
        <w:rPr>
          <w:rFonts w:ascii="Times New Roman" w:cs="Times New Roman" w:eastAsia="Times New Roman" w:hAnsi="Times New Roman"/>
          <w:rtl w:val="0"/>
        </w:rPr>
        <w:t xml:space="preserve">. 16th edn. London: Kogan Page.</w:t>
      </w:r>
    </w:p>
    <w:p w:rsidR="00000000" w:rsidDel="00000000" w:rsidP="00000000" w:rsidRDefault="00000000" w:rsidRPr="00000000" w14:paraId="0000008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Hodges, J. (2017) </w:t>
      </w:r>
      <w:r w:rsidDel="00000000" w:rsidR="00000000" w:rsidRPr="00000000">
        <w:rPr>
          <w:rFonts w:ascii="Times New Roman" w:cs="Times New Roman" w:eastAsia="Times New Roman" w:hAnsi="Times New Roman"/>
          <w:i w:val="1"/>
          <w:iCs w:val="1"/>
          <w:rtl w:val="0"/>
        </w:rPr>
        <w:t xml:space="preserve">Consultancy, Organizational Development and Change: A Practical Guide to Delivering Value</w:t>
      </w:r>
      <w:r w:rsidDel="00000000" w:rsidR="00000000" w:rsidRPr="00000000">
        <w:rPr>
          <w:rFonts w:ascii="Times New Roman" w:cs="Times New Roman" w:eastAsia="Times New Roman" w:hAnsi="Times New Roman"/>
          <w:rtl w:val="0"/>
        </w:rPr>
        <w:t xml:space="preserve">. London: Kogan Page.</w:t>
      </w:r>
    </w:p>
    <w:p w:rsidR="00000000" w:rsidDel="00000000" w:rsidP="00000000" w:rsidRDefault="00000000" w:rsidRPr="00000000" w14:paraId="0000008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TNO (2023) ‘Producing renewable DME using renewable energy and CO₂’.</w:t>
      </w:r>
    </w:p>
    <w:p w:rsidR="00000000" w:rsidDel="00000000" w:rsidP="00000000" w:rsidRDefault="00000000" w:rsidRPr="00000000" w14:paraId="0000008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keepNext w:val="0"/>
        <w:keepLines w:val="0"/>
        <w:spacing w:after="80" w:line="360" w:lineRule="auto"/>
        <w:rPr>
          <w:rFonts w:ascii="Times New Roman" w:cs="Times New Roman" w:eastAsia="Times New Roman" w:hAnsi="Times New Roman"/>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pPr>
    <w:r w:rsidDel="00000000" w:rsidR="00000000" w:rsidRPr="00000000">
      <w:rPr/>
      <w:drawing>
        <wp:inline distB="114300" distT="114300" distL="114300" distR="114300">
          <wp:extent cx="1909763" cy="190976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9763" cy="19097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