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r>
    </w:p>
    <w:p w:rsidR="00000000" w:rsidDel="00000000" w:rsidP="00000000" w:rsidRDefault="00000000" w:rsidRPr="00000000" w14:paraId="00000002">
      <w:pPr>
        <w:spacing w:line="360" w:lineRule="auto"/>
        <w:rPr/>
      </w:pP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spacing w:line="360" w:lineRule="auto"/>
        <w:rPr/>
      </w:pPr>
      <w:r w:rsidDel="00000000" w:rsidR="00000000" w:rsidRPr="00000000">
        <w:rPr>
          <w:rtl w:val="0"/>
        </w:rPr>
      </w:r>
    </w:p>
    <w:p w:rsidR="00000000" w:rsidDel="00000000" w:rsidP="00000000" w:rsidRDefault="00000000" w:rsidRPr="00000000" w14:paraId="0000000A">
      <w:pPr>
        <w:spacing w:line="360" w:lineRule="auto"/>
        <w:rPr/>
      </w:pPr>
      <w:r w:rsidDel="00000000" w:rsidR="00000000" w:rsidRPr="00000000">
        <w:rPr>
          <w:rtl w:val="0"/>
        </w:rPr>
      </w:r>
    </w:p>
    <w:p w:rsidR="00000000" w:rsidDel="00000000" w:rsidP="00000000" w:rsidRDefault="00000000" w:rsidRPr="00000000" w14:paraId="0000000B">
      <w:pPr>
        <w:spacing w:line="360" w:lineRule="auto"/>
        <w:rPr/>
      </w:pPr>
      <w:r w:rsidDel="00000000" w:rsidR="00000000" w:rsidRPr="00000000">
        <w:rPr>
          <w:rtl w:val="0"/>
        </w:rPr>
      </w:r>
    </w:p>
    <w:p w:rsidR="00000000" w:rsidDel="00000000" w:rsidP="00000000" w:rsidRDefault="00000000" w:rsidRPr="00000000" w14:paraId="0000000C">
      <w:pPr>
        <w:spacing w:line="360" w:lineRule="auto"/>
        <w:rPr/>
      </w:pPr>
      <w:r w:rsidDel="00000000" w:rsidR="00000000" w:rsidRPr="00000000">
        <w:rPr>
          <w:rtl w:val="0"/>
        </w:rPr>
      </w:r>
    </w:p>
    <w:p w:rsidR="00000000" w:rsidDel="00000000" w:rsidP="00000000" w:rsidRDefault="00000000" w:rsidRPr="00000000" w14:paraId="0000000D">
      <w:pPr>
        <w:spacing w:line="360" w:lineRule="auto"/>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ASSESSMENT 2: BABM3008 BUSINESS PROJECT</w:t>
      </w:r>
    </w:p>
    <w:p w:rsidR="00000000" w:rsidDel="00000000" w:rsidP="00000000" w:rsidRDefault="00000000" w:rsidRPr="00000000" w14:paraId="0000000F">
      <w:pPr>
        <w:spacing w:line="36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BUSINESS PROJECT REPORT ON VOLKSWAGEN ID.3 BODY OPTIMISATION</w:t>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rtl w:val="0"/>
        </w:rPr>
      </w:r>
    </w:p>
    <w:p w:rsidR="00000000" w:rsidDel="00000000" w:rsidP="00000000" w:rsidRDefault="00000000" w:rsidRPr="00000000" w14:paraId="00000016">
      <w:pPr>
        <w:spacing w:after="240" w:before="240" w:line="360" w:lineRule="auto"/>
        <w:rPr/>
      </w:pPr>
      <w:r w:rsidDel="00000000" w:rsidR="00000000" w:rsidRPr="00000000">
        <w:rPr>
          <w:rtl w:val="0"/>
        </w:rPr>
      </w:r>
    </w:p>
    <w:p w:rsidR="00000000" w:rsidDel="00000000" w:rsidP="00000000" w:rsidRDefault="00000000" w:rsidRPr="00000000" w14:paraId="00000017">
      <w:pPr>
        <w:spacing w:after="240" w:before="240" w:line="360" w:lineRule="auto"/>
        <w:rPr/>
      </w:pPr>
      <w:r w:rsidDel="00000000" w:rsidR="00000000" w:rsidRPr="00000000">
        <w:rPr>
          <w:rtl w:val="0"/>
        </w:rPr>
      </w:r>
    </w:p>
    <w:p w:rsidR="00000000" w:rsidDel="00000000" w:rsidP="00000000" w:rsidRDefault="00000000" w:rsidRPr="00000000" w14:paraId="0000001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Style w:val="Heading1"/>
        <w:spacing w:line="360" w:lineRule="auto"/>
        <w:rPr>
          <w:rFonts w:ascii="Times New Roman" w:cs="Times New Roman" w:eastAsia="Times New Roman" w:hAnsi="Times New Roman"/>
          <w:b w:val="1"/>
          <w:sz w:val="32"/>
          <w:szCs w:val="32"/>
        </w:rPr>
      </w:pPr>
      <w:bookmarkStart w:colFirst="0" w:colLast="0" w:name="_jb7au2wamcjv" w:id="0"/>
      <w:bookmarkEnd w:id="0"/>
      <w:r w:rsidDel="00000000" w:rsidR="00000000" w:rsidRPr="00000000">
        <w:rPr>
          <w:rFonts w:ascii="Times New Roman" w:cs="Times New Roman" w:eastAsia="Times New Roman" w:hAnsi="Times New Roman"/>
          <w:b w:val="1"/>
          <w:sz w:val="32"/>
          <w:szCs w:val="32"/>
          <w:rtl w:val="0"/>
        </w:rPr>
        <w:t xml:space="preserve">1. Introduction</w:t>
      </w:r>
    </w:p>
    <w:p w:rsidR="00000000" w:rsidDel="00000000" w:rsidP="00000000" w:rsidRDefault="00000000" w:rsidRPr="00000000" w14:paraId="0000001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The global automotive industry is going through an unprecedented transformation due to stringent environmental regulations, innovative technology and changing consumer preferences. Key to such a transition is the rapid uptake of electric vehicles (EVs), which, for many, are now considered a key to environmental sustainability and net-zero emission goals (Pollock et al., 2024).</w:t>
      </w:r>
    </w:p>
    <w:p w:rsidR="00000000" w:rsidDel="00000000" w:rsidP="00000000" w:rsidRDefault="00000000" w:rsidRPr="00000000" w14:paraId="0000001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trend presents opportunities and threats for large manufacturers, such as Volkswagen. For instance, they can improve the levels of efficiency of the vehicles, as well as the range of the vehicles, to meet new environmental regulations, such as the EU Green Deal, which will ban sales of internal combustion engine (ICE) vehicles by 2035 (Hysa and Mularczyk, 2024). One popular alternative to increase EV performance and efficiency is to lightweighting the vehicle, which affects energy use, acceleration, battery load, and driving range (Joost, 2012).</w:t>
      </w:r>
    </w:p>
    <w:p w:rsidR="00000000" w:rsidDel="00000000" w:rsidP="00000000" w:rsidRDefault="00000000" w:rsidRPr="00000000" w14:paraId="0000001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employing a lightweighting strategy, automakers are able to reduce their carbon burden without sacrificing the vehicle’s safety/structural integrity. The reported literature and research have shown that for every 10% lightening of the vehicle’s body weight, the energy consumption will be reduced by 6–8% and the EV range could be extended by 14% (Office of Energy Efficiency &amp; Renewable Energy, 2015). It will be especially critical when it comes to Volkswagen’s ID.3 model, its standalone compact EV, its success largely relying on whether customers will find its longer driving range and more environmentally friendly aspects at a reasonable price. This can only be achieved through a relationship between material cost, structural performance, crash safety and producibility (Castro Miranda et al., 2022).</w:t>
      </w:r>
    </w:p>
    <w:p w:rsidR="00000000" w:rsidDel="00000000" w:rsidP="00000000" w:rsidRDefault="00000000" w:rsidRPr="00000000" w14:paraId="0000001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report outlines a structured business project proposal to reduce the weight of Volkswagen's ID.3 model by 50kg while still retaining safe and functional performance. There are two primary aims of this project:</w:t>
      </w:r>
    </w:p>
    <w:p w:rsidR="00000000" w:rsidDel="00000000" w:rsidP="00000000" w:rsidRDefault="00000000" w:rsidRPr="00000000" w14:paraId="00000020">
      <w:pPr>
        <w:numPr>
          <w:ilvl w:val="0"/>
          <w:numId w:val="3"/>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an integrated body structure to achieve a 30 kg weight reduction.</w:t>
      </w:r>
    </w:p>
    <w:p w:rsidR="00000000" w:rsidDel="00000000" w:rsidP="00000000" w:rsidRDefault="00000000" w:rsidRPr="00000000" w14:paraId="00000021">
      <w:pPr>
        <w:numPr>
          <w:ilvl w:val="0"/>
          <w:numId w:val="3"/>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substitute traditional materials with lightweight materials for another 20 kg weight reduction.</w:t>
      </w:r>
    </w:p>
    <w:p w:rsidR="00000000" w:rsidDel="00000000" w:rsidP="00000000" w:rsidRDefault="00000000" w:rsidRPr="00000000" w14:paraId="0000002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objectives were defined through an extensive PESTEL analysis of the external environmental pressure, which indicated technological innovation, legislative change and consumer sustainability expectations as the most significant issues to address (Hysa and Mularczyk, 2024).</w:t>
      </w:r>
    </w:p>
    <w:p w:rsidR="00000000" w:rsidDel="00000000" w:rsidP="00000000" w:rsidRDefault="00000000" w:rsidRPr="00000000" w14:paraId="0000002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aligns with Volkswagen's strategy to become the world market leader in electric mobility and environmentally compatible vehicles. It also represents best practice in industry in terms of applying project management techniques and tools, including the use of Work Breakdown Structure (WBS), Gantt chart scheduling, resource estimation and Duties, Responsibility, Authority, Communication, &amp; Information framework (RACI), to manage scope, timelines and responsibilities effectively (J  Rodney Turner, 2016). Through a data-based and theory-supported approach, this will work through the technical and economic feasibility, risks, benefits and costs of the optimisation project and suggest procedures and actions necessary to realise a successful implementation.</w:t>
      </w:r>
    </w:p>
    <w:p w:rsidR="00000000" w:rsidDel="00000000" w:rsidP="00000000" w:rsidRDefault="00000000" w:rsidRPr="00000000" w14:paraId="0000002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based on a qualitative project method by using secondary research with industrial benchmarks, academic literature and, last of all, historical studies. Several research and methodological integrations of the PESTEL approach, WBS, Gantt chart, EVM and RACI matrix have been employed to consolidate the planning and control advances and to measure the risk and the viability.</w:t>
      </w:r>
    </w:p>
    <w:p w:rsidR="00000000" w:rsidDel="00000000" w:rsidP="00000000" w:rsidRDefault="00000000" w:rsidRPr="00000000" w14:paraId="00000025">
      <w:pPr>
        <w:pStyle w:val="Heading1"/>
        <w:spacing w:after="240" w:before="240" w:line="360" w:lineRule="auto"/>
        <w:rPr>
          <w:rFonts w:ascii="Times New Roman" w:cs="Times New Roman" w:eastAsia="Times New Roman" w:hAnsi="Times New Roman"/>
          <w:b w:val="1"/>
          <w:sz w:val="32"/>
          <w:szCs w:val="32"/>
        </w:rPr>
      </w:pPr>
      <w:bookmarkStart w:colFirst="0" w:colLast="0" w:name="_dd0j4kg5ul8" w:id="1"/>
      <w:bookmarkEnd w:id="1"/>
      <w:r w:rsidDel="00000000" w:rsidR="00000000" w:rsidRPr="00000000">
        <w:rPr>
          <w:rFonts w:ascii="Times New Roman" w:cs="Times New Roman" w:eastAsia="Times New Roman" w:hAnsi="Times New Roman"/>
          <w:b w:val="1"/>
          <w:sz w:val="32"/>
          <w:szCs w:val="32"/>
          <w:rtl w:val="0"/>
        </w:rPr>
        <w:t xml:space="preserve">2. The Project</w:t>
      </w:r>
    </w:p>
    <w:p w:rsidR="00000000" w:rsidDel="00000000" w:rsidP="00000000" w:rsidRDefault="00000000" w:rsidRPr="00000000" w14:paraId="0000002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the business project Volkswagen implemented trying to increase the competitive position of its electric vehicle (EV) by strategic lightweighting. The project is designed to help Volkswagen cut the weight of its ID.3 model by 50kg while also ensuring performance, safety, and cost savings are unchanged. This section is complemented with the objectives, phases, timetable, work plan and engineering emphasis of the project following common project management and engineering design models.</w:t>
      </w:r>
    </w:p>
    <w:p w:rsidR="00000000" w:rsidDel="00000000" w:rsidP="00000000" w:rsidRDefault="00000000" w:rsidRPr="00000000" w14:paraId="00000027">
      <w:pPr>
        <w:pStyle w:val="Heading2"/>
        <w:spacing w:after="240" w:before="240" w:line="360" w:lineRule="auto"/>
        <w:rPr>
          <w:rFonts w:ascii="Times New Roman" w:cs="Times New Roman" w:eastAsia="Times New Roman" w:hAnsi="Times New Roman"/>
          <w:b w:val="1"/>
          <w:i w:val="1"/>
          <w:sz w:val="28"/>
          <w:szCs w:val="28"/>
        </w:rPr>
      </w:pPr>
      <w:bookmarkStart w:colFirst="0" w:colLast="0" w:name="_rj28432sbpjf" w:id="2"/>
      <w:bookmarkEnd w:id="2"/>
      <w:r w:rsidDel="00000000" w:rsidR="00000000" w:rsidRPr="00000000">
        <w:rPr>
          <w:rFonts w:ascii="Times New Roman" w:cs="Times New Roman" w:eastAsia="Times New Roman" w:hAnsi="Times New Roman"/>
          <w:b w:val="1"/>
          <w:i w:val="1"/>
          <w:sz w:val="28"/>
          <w:szCs w:val="28"/>
          <w:rtl w:val="0"/>
        </w:rPr>
        <w:t xml:space="preserve">2.1 Project Description</w:t>
      </w:r>
    </w:p>
    <w:p w:rsidR="00000000" w:rsidDel="00000000" w:rsidP="00000000" w:rsidRDefault="00000000" w:rsidRPr="00000000" w14:paraId="0000002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important objective of this project is to strengthen the market position of the Volkswagen ID.3 model by 50kg weight reduction. This will be accomplished by 2 primary approaches:</w:t>
      </w:r>
    </w:p>
    <w:p w:rsidR="00000000" w:rsidDel="00000000" w:rsidP="00000000" w:rsidRDefault="00000000" w:rsidRPr="00000000" w14:paraId="00000029">
      <w:pPr>
        <w:numPr>
          <w:ilvl w:val="0"/>
          <w:numId w:val="1"/>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or redesign the integrated structural design of Volkswagen ID.3’s body to reduce weight by 30kg.</w:t>
      </w:r>
    </w:p>
    <w:p w:rsidR="00000000" w:rsidDel="00000000" w:rsidP="00000000" w:rsidRDefault="00000000" w:rsidRPr="00000000" w14:paraId="0000002A">
      <w:pPr>
        <w:numPr>
          <w:ilvl w:val="0"/>
          <w:numId w:val="1"/>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Adopt lightweight materials (aluminium alloys, high-performance steel, etc.) to cut weight by another 20kg.</w:t>
      </w:r>
    </w:p>
    <w:p w:rsidR="00000000" w:rsidDel="00000000" w:rsidP="00000000" w:rsidRDefault="00000000" w:rsidRPr="00000000" w14:paraId="0000002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targets were inspired by benchmarking these competitors' EVs and literature research about the relationship between mass and energy efficiency that indicates that even modest reductions in weight can result in large increases in range and performance (Joost, 2012).</w:t>
      </w:r>
    </w:p>
    <w:p w:rsidR="00000000" w:rsidDel="00000000" w:rsidP="00000000" w:rsidRDefault="00000000" w:rsidRPr="00000000" w14:paraId="0000002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manage the project, a Work Breakdown Structure (WBS) was made. It makes certain that every task is well defined, time profiled and assigned to the responsible owner. The main work packages, deliverables, responsibles and estimated time schedule are summarised in Table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2265"/>
        <w:gridCol w:w="2430"/>
        <w:gridCol w:w="1995"/>
        <w:gridCol w:w="1470"/>
        <w:tblGridChange w:id="0">
          <w:tblGrid>
            <w:gridCol w:w="885"/>
            <w:gridCol w:w="2265"/>
            <w:gridCol w:w="2430"/>
            <w:gridCol w:w="1995"/>
            <w:gridCol w:w="1470"/>
          </w:tblGrid>
        </w:tblGridChange>
      </w:tblGrid>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shd w:fill="f9cb9c" w:val="clear"/>
            <w:tcMar>
              <w:top w:w="100.0" w:type="dxa"/>
              <w:left w:w="100.0" w:type="dxa"/>
              <w:bottom w:w="100.0" w:type="dxa"/>
              <w:right w:w="100.0" w:type="dxa"/>
            </w:tcMar>
          </w:tcPr>
          <w:p w:rsidR="00000000" w:rsidDel="00000000" w:rsidP="00000000" w:rsidRDefault="00000000" w:rsidRPr="00000000" w14:paraId="0000002D">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S.No.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9cb9c" w:val="clear"/>
            <w:tcMar>
              <w:top w:w="100.0" w:type="dxa"/>
              <w:left w:w="100.0" w:type="dxa"/>
              <w:bottom w:w="100.0" w:type="dxa"/>
              <w:right w:w="100.0" w:type="dxa"/>
            </w:tcMar>
          </w:tcPr>
          <w:p w:rsidR="00000000" w:rsidDel="00000000" w:rsidP="00000000" w:rsidRDefault="00000000" w:rsidRPr="00000000" w14:paraId="0000002E">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Work Package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9cb9c" w:val="clear"/>
            <w:tcMar>
              <w:top w:w="100.0" w:type="dxa"/>
              <w:left w:w="100.0" w:type="dxa"/>
              <w:bottom w:w="100.0" w:type="dxa"/>
              <w:right w:w="100.0" w:type="dxa"/>
            </w:tcMar>
          </w:tcPr>
          <w:p w:rsidR="00000000" w:rsidDel="00000000" w:rsidP="00000000" w:rsidRDefault="00000000" w:rsidRPr="00000000" w14:paraId="0000002F">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Deliverable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9cb9c" w:val="clear"/>
            <w:tcMar>
              <w:top w:w="100.0" w:type="dxa"/>
              <w:left w:w="100.0" w:type="dxa"/>
              <w:bottom w:w="100.0" w:type="dxa"/>
              <w:right w:w="100.0" w:type="dxa"/>
            </w:tcMar>
          </w:tcPr>
          <w:p w:rsidR="00000000" w:rsidDel="00000000" w:rsidP="00000000" w:rsidRDefault="00000000" w:rsidRPr="00000000" w14:paraId="00000030">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 Personnel</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9cb9c" w:val="clear"/>
            <w:tcMar>
              <w:top w:w="100.0" w:type="dxa"/>
              <w:left w:w="100.0" w:type="dxa"/>
              <w:bottom w:w="100.0" w:type="dxa"/>
              <w:right w:w="100.0" w:type="dxa"/>
            </w:tcMar>
          </w:tcPr>
          <w:p w:rsidR="00000000" w:rsidDel="00000000" w:rsidP="00000000" w:rsidRDefault="00000000" w:rsidRPr="00000000" w14:paraId="00000031">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Schedule (Months)</w:t>
            </w:r>
            <w:r w:rsidDel="00000000" w:rsidR="00000000" w:rsidRPr="00000000">
              <w:rPr>
                <w:rtl w:val="0"/>
              </w:rPr>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32">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33">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Analyse ID.3 weight distribution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34">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analysis report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35">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 Design Engineer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36">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1</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37">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38">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Structural optimization via simulation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39">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report (stress/collision)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3A">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CAE Simulation Engineer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3B">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Months 2–3</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3C">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3D">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selection and testing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3E">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performance comparison report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3F">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&amp; Supplier Quality Engineers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40">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Months 3–4</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41">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42">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Manufacturing feasibility validation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43">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Manufacturing process documents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44">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&amp; Body Structure Engineers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45">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Months 4–5</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46">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47">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production and structural testing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48">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test report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49">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Engineer, Project Manager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4A">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Months 5–7</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4B">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4C">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and risk management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4D">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Certification and environmental reports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4E">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Director, External Auditors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4F">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8</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50">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51">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handover and monitoring plan setup</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52">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summary, tracking and risk plan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53">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54">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8</w:t>
            </w:r>
          </w:p>
        </w:tc>
      </w:tr>
    </w:tbl>
    <w:p w:rsidR="00000000" w:rsidDel="00000000" w:rsidP="00000000" w:rsidRDefault="00000000" w:rsidRPr="00000000" w14:paraId="00000055">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1: Project Work Breakdown Structure</w:t>
      </w:r>
    </w:p>
    <w:p w:rsidR="00000000" w:rsidDel="00000000" w:rsidP="00000000" w:rsidRDefault="00000000" w:rsidRPr="00000000" w14:paraId="0000005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Hence, the overall project expenses, including labour and material, are about £14,376. To allow for resilience against price escalations (due to commodity price spikes or licence upgrades), a 10% (approximately £1,437) contingency reserve is included, resulting in a total proposed budget of £15,813. This reserve is consistent with the typical industry approach for technology projects with multi-phase testing and engineering impacts (Capone and Narbaev, 2022).</w:t>
      </w:r>
    </w:p>
    <w:p w:rsidR="00000000" w:rsidDel="00000000" w:rsidP="00000000" w:rsidRDefault="00000000" w:rsidRPr="00000000" w14:paraId="0000005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justification is associated with the success determinants of the projects. For instance, structural integrity verification under new material environments is one of the key areas for the CAE simulation engineer. Further, material scientists contribute and help in selecting particular substitutions with superior strength-to-weight ratios and recyclability. incorporating the project with one of its objectives towards sustainability (Baccarini, 2014). Further, lean staffing will not only keep costs down but also adequately ensure all work packages in the work breakdown structure have sufficient personnel coverage.</w:t>
      </w:r>
    </w:p>
    <w:p w:rsidR="00000000" w:rsidDel="00000000" w:rsidP="00000000" w:rsidRDefault="00000000" w:rsidRPr="00000000" w14:paraId="0000005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Earned Value Management (EVM) will be used to control progress and the cost-effectiveness of the budget. EVM combines scope, schedule, and cost statistics while including actual real-time variance measures such as Cost Performance Index (CPI) and Schedule Performance Index (SPI). EVM can be implemented via project management software (e.g., MS Project), and teams can monitor budget variances and take corrective pre-emptive actions such as reallocation or corrective planning (J  Rodney Turner, 2016).</w:t>
      </w:r>
    </w:p>
    <w:p w:rsidR="00000000" w:rsidDel="00000000" w:rsidP="00000000" w:rsidRDefault="00000000" w:rsidRPr="00000000" w14:paraId="0000005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resource and cost estimates of the project are obtained through proven quantitative methods, industry standards and established frameworks. They are practical while also maintaining the flexibility, a key criterion for success in business project management.</w:t>
      </w:r>
    </w:p>
    <w:p w:rsidR="00000000" w:rsidDel="00000000" w:rsidP="00000000" w:rsidRDefault="00000000" w:rsidRPr="00000000" w14:paraId="0000005A">
      <w:pPr>
        <w:pStyle w:val="Heading2"/>
        <w:spacing w:after="240" w:before="240" w:line="360" w:lineRule="auto"/>
        <w:rPr>
          <w:rFonts w:ascii="Times New Roman" w:cs="Times New Roman" w:eastAsia="Times New Roman" w:hAnsi="Times New Roman"/>
          <w:b w:val="1"/>
          <w:i w:val="1"/>
          <w:sz w:val="28"/>
          <w:szCs w:val="28"/>
        </w:rPr>
      </w:pPr>
      <w:bookmarkStart w:colFirst="0" w:colLast="0" w:name="_19ftyrql5trh" w:id="3"/>
      <w:bookmarkEnd w:id="3"/>
      <w:r w:rsidDel="00000000" w:rsidR="00000000" w:rsidRPr="00000000">
        <w:rPr>
          <w:rFonts w:ascii="Times New Roman" w:cs="Times New Roman" w:eastAsia="Times New Roman" w:hAnsi="Times New Roman"/>
          <w:b w:val="1"/>
          <w:i w:val="1"/>
          <w:sz w:val="28"/>
          <w:szCs w:val="28"/>
          <w:rtl w:val="0"/>
        </w:rPr>
        <w:t xml:space="preserve">2.2 Cost and Human Resource Estimates</w:t>
      </w:r>
    </w:p>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estimates the cost and human resources required to deliver Volkswagen's ID.3 body weight optimisation programme. Effective estimating methods and effective resource planning will result in realistic budgets, lower risk, and successful completion within time and cost parameters.</w:t>
      </w:r>
    </w:p>
    <w:p w:rsidR="00000000" w:rsidDel="00000000" w:rsidP="00000000" w:rsidRDefault="00000000" w:rsidRPr="00000000" w14:paraId="0000005C">
      <w:pPr>
        <w:pStyle w:val="Heading3"/>
        <w:spacing w:line="360" w:lineRule="auto"/>
        <w:rPr>
          <w:rFonts w:ascii="Times New Roman" w:cs="Times New Roman" w:eastAsia="Times New Roman" w:hAnsi="Times New Roman"/>
          <w:b w:val="1"/>
          <w:i w:val="1"/>
          <w:sz w:val="24"/>
          <w:szCs w:val="24"/>
        </w:rPr>
      </w:pPr>
      <w:bookmarkStart w:colFirst="0" w:colLast="0" w:name="_3mx24luz0ajm" w:id="4"/>
      <w:bookmarkEnd w:id="4"/>
      <w:r w:rsidDel="00000000" w:rsidR="00000000" w:rsidRPr="00000000">
        <w:rPr>
          <w:rFonts w:ascii="Times New Roman" w:cs="Times New Roman" w:eastAsia="Times New Roman" w:hAnsi="Times New Roman"/>
          <w:b w:val="1"/>
          <w:i w:val="1"/>
          <w:sz w:val="24"/>
          <w:szCs w:val="24"/>
          <w:rtl w:val="0"/>
        </w:rPr>
        <w:t xml:space="preserve">2.2.1 Estimation Methodology</w:t>
      </w:r>
    </w:p>
    <w:p w:rsidR="00000000" w:rsidDel="00000000" w:rsidP="00000000" w:rsidRDefault="00000000" w:rsidRPr="00000000" w14:paraId="000000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best practices in project management, the cost estimation of this project follows a hybrid methodology.</w:t>
      </w:r>
    </w:p>
    <w:p w:rsidR="00000000" w:rsidDel="00000000" w:rsidP="00000000" w:rsidRDefault="00000000" w:rsidRPr="00000000" w14:paraId="0000005E">
      <w:pPr>
        <w:numPr>
          <w:ilvl w:val="0"/>
          <w:numId w:val="6"/>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Bottom-up estimation has been used at the task-level detail, such as for simulation, design and test periods.</w:t>
      </w:r>
    </w:p>
    <w:p w:rsidR="00000000" w:rsidDel="00000000" w:rsidP="00000000" w:rsidRDefault="00000000" w:rsidRPr="00000000" w14:paraId="0000005F">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Parametric estimation also facilitated budgeting of material procurement and tooling changes, using established cost-per-kg weight reduction rates cited in the previous literature (Hofer, Wilhelm and Schenler, 2012).</w:t>
      </w:r>
    </w:p>
    <w:p w:rsidR="00000000" w:rsidDel="00000000" w:rsidP="00000000" w:rsidRDefault="00000000" w:rsidRPr="00000000" w14:paraId="00000060">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Analogous estimation used historical project data from earlier EV platform optimisations at Volkswagen for general resource estimates.</w:t>
      </w:r>
    </w:p>
    <w:p w:rsidR="00000000" w:rsidDel="00000000" w:rsidP="00000000" w:rsidRDefault="00000000" w:rsidRPr="00000000" w14:paraId="000000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methods were chosen based on their relevance to task specificity, data availability, and risk tolerance. Spreadsheet tools were used to support cost modelling, and these estimates went through expert review and vendor quotes.</w:t>
      </w:r>
    </w:p>
    <w:p w:rsidR="00000000" w:rsidDel="00000000" w:rsidP="00000000" w:rsidRDefault="00000000" w:rsidRPr="00000000" w14:paraId="00000062">
      <w:pPr>
        <w:pStyle w:val="Heading3"/>
        <w:spacing w:line="360" w:lineRule="auto"/>
        <w:rPr>
          <w:rFonts w:ascii="Times New Roman" w:cs="Times New Roman" w:eastAsia="Times New Roman" w:hAnsi="Times New Roman"/>
          <w:b w:val="1"/>
          <w:i w:val="1"/>
          <w:sz w:val="24"/>
          <w:szCs w:val="24"/>
        </w:rPr>
      </w:pPr>
      <w:bookmarkStart w:colFirst="0" w:colLast="0" w:name="_18k2iklvgw95" w:id="5"/>
      <w:bookmarkEnd w:id="5"/>
      <w:r w:rsidDel="00000000" w:rsidR="00000000" w:rsidRPr="00000000">
        <w:rPr>
          <w:rFonts w:ascii="Times New Roman" w:cs="Times New Roman" w:eastAsia="Times New Roman" w:hAnsi="Times New Roman"/>
          <w:b w:val="1"/>
          <w:i w:val="1"/>
          <w:sz w:val="24"/>
          <w:szCs w:val="24"/>
          <w:rtl w:val="0"/>
        </w:rPr>
        <w:t xml:space="preserve">2.2.2 Human Resource Planning</w:t>
      </w:r>
    </w:p>
    <w:p w:rsidR="00000000" w:rsidDel="00000000" w:rsidP="00000000" w:rsidRDefault="00000000" w:rsidRPr="00000000" w14:paraId="0000006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success of the ID.3 Lightweighting project requires a well-qualified, multi-disciplinary and experienced project team. Roles were categorised according to the allocation for each task within the Work Breakdown Structure (WBS), and estimated labour hours per role were based on the workload and the estimated time to perform the work. Each specialist role was costed at industry-standard contractual rates, based on freelance or project-based working (GOV.UK, 2021).</w:t>
      </w:r>
    </w:p>
    <w:tbl>
      <w:tblPr>
        <w:tblStyle w:val="Table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6"/>
        <w:gridCol w:w="1730"/>
        <w:gridCol w:w="1423"/>
        <w:gridCol w:w="1423"/>
        <w:gridCol w:w="1953"/>
        <w:tblGridChange w:id="0">
          <w:tblGrid>
            <w:gridCol w:w="2496"/>
            <w:gridCol w:w="1730"/>
            <w:gridCol w:w="1423"/>
            <w:gridCol w:w="1423"/>
            <w:gridCol w:w="1953"/>
          </w:tblGrid>
        </w:tblGridChange>
      </w:tblGrid>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shd w:fill="f9cb9c" w:val="clear"/>
            <w:tcMar>
              <w:top w:w="100.0" w:type="dxa"/>
              <w:left w:w="100.0" w:type="dxa"/>
              <w:bottom w:w="100.0" w:type="dxa"/>
              <w:right w:w="100.0" w:type="dxa"/>
            </w:tcMar>
          </w:tcPr>
          <w:p w:rsidR="00000000" w:rsidDel="00000000" w:rsidP="00000000" w:rsidRDefault="00000000" w:rsidRPr="00000000" w14:paraId="00000064">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Role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9cb9c" w:val="clear"/>
            <w:tcMar>
              <w:top w:w="100.0" w:type="dxa"/>
              <w:left w:w="100.0" w:type="dxa"/>
              <w:bottom w:w="100.0" w:type="dxa"/>
              <w:right w:w="100.0" w:type="dxa"/>
            </w:tcMar>
          </w:tcPr>
          <w:p w:rsidR="00000000" w:rsidDel="00000000" w:rsidP="00000000" w:rsidRDefault="00000000" w:rsidRPr="00000000" w14:paraId="00000065">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Estimated Hours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9cb9c" w:val="clear"/>
            <w:tcMar>
              <w:top w:w="100.0" w:type="dxa"/>
              <w:left w:w="100.0" w:type="dxa"/>
              <w:bottom w:w="100.0" w:type="dxa"/>
              <w:right w:w="100.0" w:type="dxa"/>
            </w:tcMar>
          </w:tcPr>
          <w:p w:rsidR="00000000" w:rsidDel="00000000" w:rsidP="00000000" w:rsidRDefault="00000000" w:rsidRPr="00000000" w14:paraId="00000066">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Rate (£/hour)</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9cb9c" w:val="clear"/>
            <w:tcMar>
              <w:top w:w="100.0" w:type="dxa"/>
              <w:left w:w="100.0" w:type="dxa"/>
              <w:bottom w:w="100.0" w:type="dxa"/>
              <w:right w:w="100.0" w:type="dxa"/>
            </w:tcMar>
          </w:tcPr>
          <w:p w:rsidR="00000000" w:rsidDel="00000000" w:rsidP="00000000" w:rsidRDefault="00000000" w:rsidRPr="00000000" w14:paraId="00000067">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 Cost (£)</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9cb9c" w:val="clear"/>
            <w:tcMar>
              <w:top w:w="100.0" w:type="dxa"/>
              <w:left w:w="100.0" w:type="dxa"/>
              <w:bottom w:w="100.0" w:type="dxa"/>
              <w:right w:w="100.0" w:type="dxa"/>
            </w:tcMar>
          </w:tcPr>
          <w:p w:rsidR="00000000" w:rsidDel="00000000" w:rsidP="00000000" w:rsidRDefault="00000000" w:rsidRPr="00000000" w14:paraId="00000068">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Estimation Method</w:t>
            </w:r>
            <w:r w:rsidDel="00000000" w:rsidR="00000000" w:rsidRPr="00000000">
              <w:rPr>
                <w:rtl w:val="0"/>
              </w:rPr>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69">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6A">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6B">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6C">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£2,750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6D">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Three-point estimate</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6E">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CAE Simulation Engineer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6F">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70">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71">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£3,150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72">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Bottom-up</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73">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Scientist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74">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75">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76">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77">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Bottom-up</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78">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Manufacturing Lead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79">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7A">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7B">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£1,470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7C">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Analogous</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7D">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Structural Testing Engineer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7E">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7F">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80">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81">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Bottom-up</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tcPr>
          <w:p w:rsidR="00000000" w:rsidDel="00000000" w:rsidP="00000000" w:rsidRDefault="00000000" w:rsidRPr="00000000" w14:paraId="00000082">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 Labour Cost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tcPr>
          <w:p w:rsidR="00000000" w:rsidDel="00000000" w:rsidP="00000000" w:rsidRDefault="00000000" w:rsidRPr="00000000" w14:paraId="00000083">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tcPr>
          <w:p w:rsidR="00000000" w:rsidDel="00000000" w:rsidP="00000000" w:rsidRDefault="00000000" w:rsidRPr="00000000" w14:paraId="00000084">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tcPr>
          <w:p w:rsidR="00000000" w:rsidDel="00000000" w:rsidP="00000000" w:rsidRDefault="00000000" w:rsidRPr="00000000" w14:paraId="00000085">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£11,090</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tcPr>
          <w:p w:rsidR="00000000" w:rsidDel="00000000" w:rsidP="00000000" w:rsidRDefault="00000000" w:rsidRPr="00000000" w14:paraId="00000086">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7">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2: Labour Cost Estimates by Role</w:t>
      </w:r>
    </w:p>
    <w:p w:rsidR="00000000" w:rsidDel="00000000" w:rsidP="00000000" w:rsidRDefault="00000000" w:rsidRPr="00000000" w14:paraId="0000008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composition presents a lean yet expert staffing strategy whereby each workstream, from digital simulation to prototype test, is adequately staffed without inflating costs unnecessarily (Pollock et al., 2024). The three-point estimation technique used for the project manager accounts for variability in workload across different phases of the project (Project Management Institute, 2021).</w:t>
      </w:r>
    </w:p>
    <w:p w:rsidR="00000000" w:rsidDel="00000000" w:rsidP="00000000" w:rsidRDefault="00000000" w:rsidRPr="00000000" w14:paraId="00000089">
      <w:pPr>
        <w:pStyle w:val="Heading3"/>
        <w:spacing w:after="240" w:before="240" w:line="360" w:lineRule="auto"/>
        <w:rPr>
          <w:rFonts w:ascii="Times New Roman" w:cs="Times New Roman" w:eastAsia="Times New Roman" w:hAnsi="Times New Roman"/>
          <w:b w:val="1"/>
          <w:i w:val="1"/>
          <w:sz w:val="24"/>
          <w:szCs w:val="24"/>
        </w:rPr>
      </w:pPr>
      <w:bookmarkStart w:colFirst="0" w:colLast="0" w:name="_29rfgzmlrgr8" w:id="6"/>
      <w:bookmarkEnd w:id="6"/>
      <w:r w:rsidDel="00000000" w:rsidR="00000000" w:rsidRPr="00000000">
        <w:rPr>
          <w:rFonts w:ascii="Times New Roman" w:cs="Times New Roman" w:eastAsia="Times New Roman" w:hAnsi="Times New Roman"/>
          <w:b w:val="1"/>
          <w:i w:val="1"/>
          <w:sz w:val="24"/>
          <w:szCs w:val="24"/>
          <w:rtl w:val="0"/>
        </w:rPr>
        <w:t xml:space="preserve">2.2.3 Equipment and Material Cost Estimation</w:t>
      </w:r>
    </w:p>
    <w:p w:rsidR="00000000" w:rsidDel="00000000" w:rsidP="00000000" w:rsidRDefault="00000000" w:rsidRPr="00000000" w14:paraId="0000008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Apart from human resources, the project incurs equipment and materials costs to be used for prototyping and analysis. These comprise items such as lightweight aluminium alloys, CAE software licensing, and outsourced crash simulation services. Costs were confirmed by comparing them with other vendors and were matched with current market prices of automotive-grade materials (Fan et al., 2024).</w:t>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1290"/>
        <w:gridCol w:w="1215"/>
        <w:gridCol w:w="1275"/>
        <w:gridCol w:w="2445"/>
        <w:tblGridChange w:id="0">
          <w:tblGrid>
            <w:gridCol w:w="2805"/>
            <w:gridCol w:w="1290"/>
            <w:gridCol w:w="1215"/>
            <w:gridCol w:w="1275"/>
            <w:gridCol w:w="2445"/>
          </w:tblGrid>
        </w:tblGridChange>
      </w:tblGrid>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shd w:fill="f9cb9c" w:val="clear"/>
            <w:tcMar>
              <w:top w:w="100.0" w:type="dxa"/>
              <w:left w:w="100.0" w:type="dxa"/>
              <w:bottom w:w="100.0" w:type="dxa"/>
              <w:right w:w="100.0" w:type="dxa"/>
            </w:tcMar>
          </w:tcPr>
          <w:p w:rsidR="00000000" w:rsidDel="00000000" w:rsidP="00000000" w:rsidRDefault="00000000" w:rsidRPr="00000000" w14:paraId="0000008B">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Item</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9cb9c" w:val="clear"/>
            <w:tcMar>
              <w:top w:w="100.0" w:type="dxa"/>
              <w:left w:w="100.0" w:type="dxa"/>
              <w:bottom w:w="100.0" w:type="dxa"/>
              <w:right w:w="100.0" w:type="dxa"/>
            </w:tcMar>
          </w:tcPr>
          <w:p w:rsidR="00000000" w:rsidDel="00000000" w:rsidP="00000000" w:rsidRDefault="00000000" w:rsidRPr="00000000" w14:paraId="0000008C">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Quantity</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9cb9c" w:val="clear"/>
            <w:tcMar>
              <w:top w:w="100.0" w:type="dxa"/>
              <w:left w:w="100.0" w:type="dxa"/>
              <w:bottom w:w="100.0" w:type="dxa"/>
              <w:right w:w="100.0" w:type="dxa"/>
            </w:tcMar>
          </w:tcPr>
          <w:p w:rsidR="00000000" w:rsidDel="00000000" w:rsidP="00000000" w:rsidRDefault="00000000" w:rsidRPr="00000000" w14:paraId="0000008D">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Cost (£)</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9cb9c" w:val="clear"/>
            <w:tcMar>
              <w:top w:w="100.0" w:type="dxa"/>
              <w:left w:w="100.0" w:type="dxa"/>
              <w:bottom w:w="100.0" w:type="dxa"/>
              <w:right w:w="100.0" w:type="dxa"/>
            </w:tcMar>
          </w:tcPr>
          <w:p w:rsidR="00000000" w:rsidDel="00000000" w:rsidP="00000000" w:rsidRDefault="00000000" w:rsidRPr="00000000" w14:paraId="0000008E">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 Cost (£)</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9cb9c" w:val="clear"/>
            <w:tcMar>
              <w:top w:w="100.0" w:type="dxa"/>
              <w:left w:w="100.0" w:type="dxa"/>
              <w:bottom w:w="100.0" w:type="dxa"/>
              <w:right w:w="100.0" w:type="dxa"/>
            </w:tcMar>
          </w:tcPr>
          <w:p w:rsidR="00000000" w:rsidDel="00000000" w:rsidP="00000000" w:rsidRDefault="00000000" w:rsidRPr="00000000" w14:paraId="0000008F">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Source/Method</w:t>
            </w:r>
            <w:r w:rsidDel="00000000" w:rsidR="00000000" w:rsidRPr="00000000">
              <w:rPr>
                <w:rtl w:val="0"/>
              </w:rPr>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90">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Aluminium panels (120 kg)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91">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92">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£2.80/kg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93">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£336</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94">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 quote</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95">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CAE software licence (6 months)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96">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97">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98">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99">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 software provider</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9A">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Crash simulation service (outsourced)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9B">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9C">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9D">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9E">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contractor</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9F">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compliance audit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A0">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A1">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A2">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A3">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Regulatory consultancy</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tcPr>
          <w:p w:rsidR="00000000" w:rsidDel="00000000" w:rsidP="00000000" w:rsidRDefault="00000000" w:rsidRPr="00000000" w14:paraId="000000A4">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 Materials &amp; Equipment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tcPr>
          <w:p w:rsidR="00000000" w:rsidDel="00000000" w:rsidP="00000000" w:rsidRDefault="00000000" w:rsidRPr="00000000" w14:paraId="000000A5">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tcPr>
          <w:p w:rsidR="00000000" w:rsidDel="00000000" w:rsidP="00000000" w:rsidRDefault="00000000" w:rsidRPr="00000000" w14:paraId="000000A6">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tcPr>
          <w:p w:rsidR="00000000" w:rsidDel="00000000" w:rsidP="00000000" w:rsidRDefault="00000000" w:rsidRPr="00000000" w14:paraId="000000A7">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£3,286</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tcPr>
          <w:p w:rsidR="00000000" w:rsidDel="00000000" w:rsidP="00000000" w:rsidRDefault="00000000" w:rsidRPr="00000000" w14:paraId="000000A8">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9">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3: Equipment and Material Cost Breakdown</w:t>
      </w:r>
    </w:p>
    <w:p w:rsidR="00000000" w:rsidDel="00000000" w:rsidP="00000000" w:rsidRDefault="00000000" w:rsidRPr="00000000" w14:paraId="000000A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Material supply is about functionality but also about cost and sustainability. The identified aluminium alloy provides a high strength per mass ratio and recyclability consistent with VW’s environmental plan (Robinson, Taub and Keoleian, 2019).</w:t>
      </w:r>
    </w:p>
    <w:p w:rsidR="00000000" w:rsidDel="00000000" w:rsidP="00000000" w:rsidRDefault="00000000" w:rsidRPr="00000000" w14:paraId="000000AB">
      <w:pPr>
        <w:pStyle w:val="Heading3"/>
        <w:spacing w:after="240" w:before="240" w:line="360" w:lineRule="auto"/>
        <w:rPr>
          <w:rFonts w:ascii="Times New Roman" w:cs="Times New Roman" w:eastAsia="Times New Roman" w:hAnsi="Times New Roman"/>
          <w:b w:val="1"/>
          <w:i w:val="1"/>
          <w:sz w:val="24"/>
          <w:szCs w:val="24"/>
        </w:rPr>
      </w:pPr>
      <w:bookmarkStart w:colFirst="0" w:colLast="0" w:name="_27kmhbthcd4o" w:id="7"/>
      <w:bookmarkEnd w:id="7"/>
      <w:r w:rsidDel="00000000" w:rsidR="00000000" w:rsidRPr="00000000">
        <w:rPr>
          <w:rFonts w:ascii="Times New Roman" w:cs="Times New Roman" w:eastAsia="Times New Roman" w:hAnsi="Times New Roman"/>
          <w:b w:val="1"/>
          <w:i w:val="1"/>
          <w:sz w:val="24"/>
          <w:szCs w:val="24"/>
          <w:rtl w:val="0"/>
        </w:rPr>
        <w:t xml:space="preserve">2.2.4 Total Project Cost and Contingency Allocation</w:t>
      </w:r>
    </w:p>
    <w:p w:rsidR="00000000" w:rsidDel="00000000" w:rsidP="00000000" w:rsidRDefault="00000000" w:rsidRPr="00000000" w14:paraId="000000A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Taking both labour and materials into account, direct costs of the project is estimated at £14,376. A contingency of 10% is added to allow for the innovative nature of the redesign and any potential changes in commodity prices or delays to simulation, leading to a total budget of £15,813. This is consistent with the mid-range engineering project work practised within prototype iterations and legal compliance management (J  Rodney Turner, 2016).</w:t>
      </w:r>
    </w:p>
    <w:p w:rsidR="00000000" w:rsidDel="00000000" w:rsidP="00000000" w:rsidRDefault="00000000" w:rsidRPr="00000000" w14:paraId="000000A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62600" cy="312444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62600" cy="3124442"/>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1: Cost Composition Breakdown</w:t>
      </w:r>
    </w:p>
    <w:p w:rsidR="00000000" w:rsidDel="00000000" w:rsidP="00000000" w:rsidRDefault="00000000" w:rsidRPr="00000000" w14:paraId="000000AF">
      <w:pPr>
        <w:pStyle w:val="Heading3"/>
        <w:spacing w:after="240" w:before="240" w:line="360" w:lineRule="auto"/>
        <w:rPr>
          <w:rFonts w:ascii="Times New Roman" w:cs="Times New Roman" w:eastAsia="Times New Roman" w:hAnsi="Times New Roman"/>
          <w:b w:val="1"/>
          <w:i w:val="1"/>
          <w:sz w:val="24"/>
          <w:szCs w:val="24"/>
        </w:rPr>
      </w:pPr>
      <w:bookmarkStart w:colFirst="0" w:colLast="0" w:name="_pwnwq8rpxoys" w:id="8"/>
      <w:bookmarkEnd w:id="8"/>
      <w:r w:rsidDel="00000000" w:rsidR="00000000" w:rsidRPr="00000000">
        <w:rPr>
          <w:rFonts w:ascii="Times New Roman" w:cs="Times New Roman" w:eastAsia="Times New Roman" w:hAnsi="Times New Roman"/>
          <w:b w:val="1"/>
          <w:i w:val="1"/>
          <w:sz w:val="24"/>
          <w:szCs w:val="24"/>
          <w:rtl w:val="0"/>
        </w:rPr>
        <w:t xml:space="preserve">2.2.5 Resource Alignment with Strategic Goals</w:t>
      </w:r>
    </w:p>
    <w:p w:rsidR="00000000" w:rsidDel="00000000" w:rsidP="00000000" w:rsidRDefault="00000000" w:rsidRPr="00000000" w14:paraId="000000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project goal is supported by each cost centre:</w:t>
      </w:r>
    </w:p>
    <w:p w:rsidR="00000000" w:rsidDel="00000000" w:rsidP="00000000" w:rsidRDefault="00000000" w:rsidRPr="00000000" w14:paraId="000000B1">
      <w:pPr>
        <w:numPr>
          <w:ilvl w:val="0"/>
          <w:numId w:val="2"/>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engineers ensure that the redesign structure meets the crash and torsional stiffness requirements.</w:t>
      </w:r>
    </w:p>
    <w:p w:rsidR="00000000" w:rsidDel="00000000" w:rsidP="00000000" w:rsidRDefault="00000000" w:rsidRPr="00000000" w14:paraId="000000B2">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Durability, recyclability and weight trade-offs are evaluated by material scientists for new alloys (Joost, 2012).</w:t>
      </w:r>
    </w:p>
    <w:p w:rsidR="00000000" w:rsidDel="00000000" w:rsidP="00000000" w:rsidRDefault="00000000" w:rsidRPr="00000000" w14:paraId="000000B3">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engineers confirm the structural modifications comply with the European safety legislation (European Commission, 2023).</w:t>
      </w:r>
    </w:p>
    <w:p w:rsidR="00000000" w:rsidDel="00000000" w:rsidP="00000000" w:rsidRDefault="00000000" w:rsidRPr="00000000" w14:paraId="000000B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targeted allocation secures technical quality while sustaining budgetary discipline, a requirement for strategic R&amp;D investments in the auto industry (Capone and Narbaev, 2022).</w:t>
      </w:r>
    </w:p>
    <w:p w:rsidR="00000000" w:rsidDel="00000000" w:rsidP="00000000" w:rsidRDefault="00000000" w:rsidRPr="00000000" w14:paraId="000000B6">
      <w:pPr>
        <w:pStyle w:val="Heading3"/>
        <w:spacing w:after="240" w:before="240" w:line="360" w:lineRule="auto"/>
        <w:rPr>
          <w:rFonts w:ascii="Times New Roman" w:cs="Times New Roman" w:eastAsia="Times New Roman" w:hAnsi="Times New Roman"/>
          <w:b w:val="1"/>
          <w:i w:val="1"/>
          <w:sz w:val="24"/>
          <w:szCs w:val="24"/>
        </w:rPr>
      </w:pPr>
      <w:bookmarkStart w:colFirst="0" w:colLast="0" w:name="_xrkmftjaszj3" w:id="9"/>
      <w:bookmarkEnd w:id="9"/>
      <w:r w:rsidDel="00000000" w:rsidR="00000000" w:rsidRPr="00000000">
        <w:rPr>
          <w:rFonts w:ascii="Times New Roman" w:cs="Times New Roman" w:eastAsia="Times New Roman" w:hAnsi="Times New Roman"/>
          <w:b w:val="1"/>
          <w:i w:val="1"/>
          <w:sz w:val="24"/>
          <w:szCs w:val="24"/>
          <w:rtl w:val="0"/>
        </w:rPr>
        <w:t xml:space="preserve">2.2.6 Cost Monitoring and Control</w:t>
      </w:r>
    </w:p>
    <w:p w:rsidR="00000000" w:rsidDel="00000000" w:rsidP="00000000" w:rsidRDefault="00000000" w:rsidRPr="00000000" w14:paraId="000000B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also employ an Earned Value Management (EVM) System as a performance measurement tool to monitor the project’s progress in terms of scope, schedule and cost. For example, tools such as the Cost Performance Index (CPI) and Schedule Performance Index (SPI) will also be used to allow real-time monitoring of budget efficiency and forecasting (Castro Miranda et al., 2022). Variations outside of tolerance limits would initiate internal review and correction procedures.</w:t>
      </w:r>
    </w:p>
    <w:p w:rsidR="00000000" w:rsidDel="00000000" w:rsidP="00000000" w:rsidRDefault="00000000" w:rsidRPr="00000000" w14:paraId="000000B8">
      <w:pPr>
        <w:pStyle w:val="Heading2"/>
        <w:spacing w:after="240" w:before="240" w:line="360" w:lineRule="auto"/>
        <w:rPr>
          <w:rFonts w:ascii="Times New Roman" w:cs="Times New Roman" w:eastAsia="Times New Roman" w:hAnsi="Times New Roman"/>
          <w:b w:val="1"/>
          <w:i w:val="1"/>
          <w:sz w:val="28"/>
          <w:szCs w:val="28"/>
        </w:rPr>
      </w:pPr>
      <w:bookmarkStart w:colFirst="0" w:colLast="0" w:name="_t8p26njyqtyb" w:id="10"/>
      <w:bookmarkEnd w:id="10"/>
      <w:r w:rsidDel="00000000" w:rsidR="00000000" w:rsidRPr="00000000">
        <w:rPr>
          <w:rFonts w:ascii="Times New Roman" w:cs="Times New Roman" w:eastAsia="Times New Roman" w:hAnsi="Times New Roman"/>
          <w:b w:val="1"/>
          <w:i w:val="1"/>
          <w:sz w:val="28"/>
          <w:szCs w:val="28"/>
          <w:rtl w:val="0"/>
        </w:rPr>
        <w:t xml:space="preserve">2.3 Allocation of Roles and Responsibilities</w:t>
      </w:r>
    </w:p>
    <w:p w:rsidR="00000000" w:rsidDel="00000000" w:rsidP="00000000" w:rsidRDefault="00000000" w:rsidRPr="00000000" w14:paraId="000000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clear allocation of roles and responsibilities is a key to the successful implementation of a project, particularly in more complex engineering projects with multi-discipline teams. As for the Volkswagen ID.3 lightweighting project, responsibilities are distributed according to the RACI model, which is an established project governance framework that stipulates who is Responsible (R), Accountable (A), Consulted (C), and Informed (I) for each of the main activities (Project Management Institute, 2021).</w:t>
      </w:r>
    </w:p>
    <w:p w:rsidR="00000000" w:rsidDel="00000000" w:rsidP="00000000" w:rsidRDefault="00000000" w:rsidRPr="00000000" w14:paraId="000000B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accountability and communication lines are clearly defined in the RACI Model, it promotes cross-departmental coordination, minimises role ambiguity, and facilitates prompt decision-making (J  Rodney Turner, 2016). That clarity is especially important in this project, which features a series of technical stages (simulation, prototyping, and validation compliance) and diverse stakeholders (engineers, suppliers, and the regulatory team).</w:t>
      </w:r>
    </w:p>
    <w:p w:rsidR="00000000" w:rsidDel="00000000" w:rsidP="00000000" w:rsidRDefault="00000000" w:rsidRPr="00000000" w14:paraId="000000B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 have been mapped in line with the work breakdown structure (WBS) and cost estimation in previous sections. Staff were recruited for their expertise in the areas of digital design, material science, process engineering, and structural validation.</w:t>
      </w:r>
    </w:p>
    <w:p w:rsidR="00000000" w:rsidDel="00000000" w:rsidP="00000000" w:rsidRDefault="00000000" w:rsidRPr="00000000" w14:paraId="000000BC">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795"/>
        <w:gridCol w:w="915"/>
        <w:gridCol w:w="945"/>
        <w:gridCol w:w="990"/>
        <w:gridCol w:w="900"/>
        <w:gridCol w:w="1770"/>
        <w:tblGridChange w:id="0">
          <w:tblGrid>
            <w:gridCol w:w="2715"/>
            <w:gridCol w:w="795"/>
            <w:gridCol w:w="915"/>
            <w:gridCol w:w="945"/>
            <w:gridCol w:w="990"/>
            <w:gridCol w:w="900"/>
            <w:gridCol w:w="1770"/>
          </w:tblGrid>
        </w:tblGridChange>
      </w:tblGrid>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shd w:fill="f9cb9c" w:val="clear"/>
            <w:tcMar>
              <w:top w:w="100.0" w:type="dxa"/>
              <w:left w:w="100.0" w:type="dxa"/>
              <w:bottom w:w="100.0" w:type="dxa"/>
              <w:right w:w="100.0" w:type="dxa"/>
            </w:tcMar>
          </w:tcPr>
          <w:p w:rsidR="00000000" w:rsidDel="00000000" w:rsidP="00000000" w:rsidRDefault="00000000" w:rsidRPr="00000000" w14:paraId="000000B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Task</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9cb9c" w:val="clear"/>
            <w:tcMar>
              <w:top w:w="100.0" w:type="dxa"/>
              <w:left w:w="100.0" w:type="dxa"/>
              <w:bottom w:w="100.0" w:type="dxa"/>
              <w:right w:w="100.0" w:type="dxa"/>
            </w:tcMar>
          </w:tcPr>
          <w:p w:rsidR="00000000" w:rsidDel="00000000" w:rsidP="00000000" w:rsidRDefault="00000000" w:rsidRPr="00000000" w14:paraId="000000B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PM</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9cb9c" w:val="clear"/>
            <w:tcMar>
              <w:top w:w="100.0" w:type="dxa"/>
              <w:left w:w="100.0" w:type="dxa"/>
              <w:bottom w:w="100.0" w:type="dxa"/>
              <w:right w:w="100.0" w:type="dxa"/>
            </w:tcMar>
          </w:tcPr>
          <w:p w:rsidR="00000000" w:rsidDel="00000000" w:rsidP="00000000" w:rsidRDefault="00000000" w:rsidRPr="00000000" w14:paraId="000000B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Sim. Eng.</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9cb9c" w:val="clear"/>
            <w:tcMar>
              <w:top w:w="100.0" w:type="dxa"/>
              <w:left w:w="100.0" w:type="dxa"/>
              <w:bottom w:w="100.0" w:type="dxa"/>
              <w:right w:w="100.0" w:type="dxa"/>
            </w:tcMar>
          </w:tcPr>
          <w:p w:rsidR="00000000" w:rsidDel="00000000" w:rsidP="00000000" w:rsidRDefault="00000000" w:rsidRPr="00000000" w14:paraId="000000C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 Sci.</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9cb9c" w:val="clear"/>
            <w:tcMar>
              <w:top w:w="100.0" w:type="dxa"/>
              <w:left w:w="100.0" w:type="dxa"/>
              <w:bottom w:w="100.0" w:type="dxa"/>
              <w:right w:w="100.0" w:type="dxa"/>
            </w:tcMar>
          </w:tcPr>
          <w:p w:rsidR="00000000" w:rsidDel="00000000" w:rsidP="00000000" w:rsidRDefault="00000000" w:rsidRPr="00000000" w14:paraId="000000C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Mfg. Lead</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9cb9c" w:val="clear"/>
            <w:tcMar>
              <w:top w:w="100.0" w:type="dxa"/>
              <w:left w:w="100.0" w:type="dxa"/>
              <w:bottom w:w="100.0" w:type="dxa"/>
              <w:right w:w="100.0" w:type="dxa"/>
            </w:tcMar>
          </w:tcPr>
          <w:p w:rsidR="00000000" w:rsidDel="00000000" w:rsidP="00000000" w:rsidRDefault="00000000" w:rsidRPr="00000000" w14:paraId="000000C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Test Eng.</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9cb9c" w:val="clear"/>
            <w:tcMar>
              <w:top w:w="100.0" w:type="dxa"/>
              <w:left w:w="100.0" w:type="dxa"/>
              <w:bottom w:w="100.0" w:type="dxa"/>
              <w:right w:w="100.0" w:type="dxa"/>
            </w:tcMar>
          </w:tcPr>
          <w:p w:rsidR="00000000" w:rsidDel="00000000" w:rsidP="00000000" w:rsidRDefault="00000000" w:rsidRPr="00000000" w14:paraId="000000C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Compliance Officer</w:t>
            </w:r>
            <w:r w:rsidDel="00000000" w:rsidR="00000000" w:rsidRPr="00000000">
              <w:rPr>
                <w:rtl w:val="0"/>
              </w:rPr>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C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project scope and schedule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C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C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C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C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C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C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C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FEA simulations and redesign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C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C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C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C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D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D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D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and validate lightweight material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D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D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D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D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D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D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D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manufacturing feasibility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D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D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D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D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D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D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E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structural testing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E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E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E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E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E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E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E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regulatory and safety compliance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E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E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E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E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E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E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E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 final project report and review</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E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F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F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F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F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F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r>
    </w:tbl>
    <w:p w:rsidR="00000000" w:rsidDel="00000000" w:rsidP="00000000" w:rsidRDefault="00000000" w:rsidRPr="00000000" w14:paraId="000000F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R: Responsible, A: Accountable, C: Consulted &amp; I: Informed.</w:t>
      </w:r>
    </w:p>
    <w:p w:rsidR="00000000" w:rsidDel="00000000" w:rsidP="00000000" w:rsidRDefault="00000000" w:rsidRPr="00000000" w14:paraId="000000F6">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4: RACI Matrix for Key Project Tasks</w:t>
      </w:r>
    </w:p>
    <w:p w:rsidR="00000000" w:rsidDel="00000000" w:rsidP="00000000" w:rsidRDefault="00000000" w:rsidRPr="00000000" w14:paraId="000000F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allocation represents best practice:</w:t>
      </w:r>
    </w:p>
    <w:p w:rsidR="00000000" w:rsidDel="00000000" w:rsidP="00000000" w:rsidRDefault="00000000" w:rsidRPr="00000000" w14:paraId="000000F9">
      <w:pPr>
        <w:numPr>
          <w:ilvl w:val="0"/>
          <w:numId w:val="5"/>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Manager (PM) is responsible for the overall coordination, risk management, and reporting.</w:t>
      </w:r>
    </w:p>
    <w:p w:rsidR="00000000" w:rsidDel="00000000" w:rsidP="00000000" w:rsidRDefault="00000000" w:rsidRPr="00000000" w14:paraId="000000FA">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CAE Simulation Engineer supports structural optimisations and is accountable for simulation deliverables.</w:t>
      </w:r>
    </w:p>
    <w:p w:rsidR="00000000" w:rsidDel="00000000" w:rsidP="00000000" w:rsidRDefault="00000000" w:rsidRPr="00000000" w14:paraId="000000FB">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materials scientist is responsible for sourcing and validating appropriate lightweighting materials to both enhance structure performance and match regulation.</w:t>
      </w:r>
    </w:p>
    <w:p w:rsidR="00000000" w:rsidDel="00000000" w:rsidP="00000000" w:rsidRDefault="00000000" w:rsidRPr="00000000" w14:paraId="000000FC">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manufacturing lead evaluates process feasibility and the introduction of new materials into production paths.</w:t>
      </w:r>
    </w:p>
    <w:p w:rsidR="00000000" w:rsidDel="00000000" w:rsidP="00000000" w:rsidRDefault="00000000" w:rsidRPr="00000000" w14:paraId="000000FD">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testing engineer performs physical validation via crash and durability testing.</w:t>
      </w:r>
    </w:p>
    <w:p w:rsidR="00000000" w:rsidDel="00000000" w:rsidP="00000000" w:rsidRDefault="00000000" w:rsidRPr="00000000" w14:paraId="000000FE">
      <w:pPr>
        <w:numPr>
          <w:ilvl w:val="0"/>
          <w:numId w:val="5"/>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Compliance Officer is responsible for the regulatory alignment and reporting.</w:t>
      </w:r>
    </w:p>
    <w:p w:rsidR="00000000" w:rsidDel="00000000" w:rsidP="00000000" w:rsidRDefault="00000000" w:rsidRPr="00000000" w14:paraId="000000F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structure guarantees that an industry process is led by competent staff and that relevant stakeholders will be constantly shaping all technical decisions. It also develops a strong communication channel that makes for early issue escalation and joint project quality ownership (Kerzner, 2017).</w:t>
      </w:r>
    </w:p>
    <w:p w:rsidR="00000000" w:rsidDel="00000000" w:rsidP="00000000" w:rsidRDefault="00000000" w:rsidRPr="00000000" w14:paraId="00000100">
      <w:pPr>
        <w:pStyle w:val="Heading2"/>
        <w:spacing w:after="240" w:before="240" w:line="360" w:lineRule="auto"/>
        <w:rPr>
          <w:rFonts w:ascii="Times New Roman" w:cs="Times New Roman" w:eastAsia="Times New Roman" w:hAnsi="Times New Roman"/>
          <w:b w:val="1"/>
          <w:i w:val="1"/>
          <w:sz w:val="28"/>
          <w:szCs w:val="28"/>
        </w:rPr>
      </w:pPr>
      <w:bookmarkStart w:colFirst="0" w:colLast="0" w:name="_a4s1kcvmu3ed" w:id="11"/>
      <w:bookmarkEnd w:id="11"/>
      <w:r w:rsidDel="00000000" w:rsidR="00000000" w:rsidRPr="00000000">
        <w:rPr>
          <w:rFonts w:ascii="Times New Roman" w:cs="Times New Roman" w:eastAsia="Times New Roman" w:hAnsi="Times New Roman"/>
          <w:b w:val="1"/>
          <w:i w:val="1"/>
          <w:sz w:val="28"/>
          <w:szCs w:val="28"/>
          <w:rtl w:val="0"/>
        </w:rPr>
        <w:t xml:space="preserve">2.4 Evaluation of Project Success Potential</w:t>
      </w:r>
    </w:p>
    <w:p w:rsidR="00000000" w:rsidDel="00000000" w:rsidP="00000000" w:rsidRDefault="00000000" w:rsidRPr="00000000" w14:paraId="000001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Examining the future prospects for the Volkswagen ID.3 model vehicle lightweighting programme should be addressed with a balanced view of its strategic fit, financial commitment, operational feasibility or risk threshold. Quantitative (ROI prognosis, cost-benefit foreknowledge) and qualitative (stakeholder reach, process hazard) models used in this section attempt to provide some sense of a project's likelihood of success in the business world. Such a multi-faceted review will help to make informed decisions, as well as to inform the people involved (Kerzner, 2017).</w:t>
      </w:r>
    </w:p>
    <w:p w:rsidR="00000000" w:rsidDel="00000000" w:rsidP="00000000" w:rsidRDefault="00000000" w:rsidRPr="00000000" w14:paraId="00000102">
      <w:pPr>
        <w:pStyle w:val="Heading3"/>
        <w:spacing w:line="360" w:lineRule="auto"/>
        <w:rPr>
          <w:rFonts w:ascii="Times New Roman" w:cs="Times New Roman" w:eastAsia="Times New Roman" w:hAnsi="Times New Roman"/>
          <w:b w:val="1"/>
          <w:i w:val="1"/>
          <w:sz w:val="24"/>
          <w:szCs w:val="24"/>
        </w:rPr>
      </w:pPr>
      <w:bookmarkStart w:colFirst="0" w:colLast="0" w:name="_j0bn9wmt8umr" w:id="12"/>
      <w:bookmarkEnd w:id="12"/>
      <w:r w:rsidDel="00000000" w:rsidR="00000000" w:rsidRPr="00000000">
        <w:rPr>
          <w:rFonts w:ascii="Times New Roman" w:cs="Times New Roman" w:eastAsia="Times New Roman" w:hAnsi="Times New Roman"/>
          <w:b w:val="1"/>
          <w:i w:val="1"/>
          <w:sz w:val="24"/>
          <w:szCs w:val="24"/>
          <w:rtl w:val="0"/>
        </w:rPr>
        <w:t xml:space="preserve">2.4.1 Strategic and Technical Justification</w:t>
      </w:r>
    </w:p>
    <w:p w:rsidR="00000000" w:rsidDel="00000000" w:rsidP="00000000" w:rsidRDefault="00000000" w:rsidRPr="00000000" w14:paraId="0000010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Strategically, this project is in line with Volkswagen’s long-term goal of becoming a global leader in sustainable mobility and reducing the lifecycle impact of its EV fleet emissions. The ID.3 model is Volkswagen’s important part of its EV fleet, and increasing its driving range and efficiency via reducing its weight is important for market presence and regulation compliance (Robinson, Taub and Keoleian, 2019).</w:t>
      </w:r>
    </w:p>
    <w:p w:rsidR="00000000" w:rsidDel="00000000" w:rsidP="00000000" w:rsidRDefault="00000000" w:rsidRPr="00000000" w14:paraId="000001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Technically, the rationality of the proposed weight loss goal (50kg) is supported in the previous studies. Composite and hybrid lightweight structures have been proved to mitigate the structural body mass by 10–30% while keeping the stiffness and crashworthiness (Pollock et al., 2024). CAE simulations, material testing and FEA modelling tools used in this study are commonly used within the automotive R&amp;D process. So, from a capability standpoint, such a project fits perfectly in the score of VW’s engineers.</w:t>
      </w:r>
    </w:p>
    <w:p w:rsidR="00000000" w:rsidDel="00000000" w:rsidP="00000000" w:rsidRDefault="00000000" w:rsidRPr="00000000" w14:paraId="00000105">
      <w:pPr>
        <w:pStyle w:val="Heading3"/>
        <w:spacing w:after="240" w:before="240" w:line="360" w:lineRule="auto"/>
        <w:rPr>
          <w:rFonts w:ascii="Times New Roman" w:cs="Times New Roman" w:eastAsia="Times New Roman" w:hAnsi="Times New Roman"/>
          <w:b w:val="1"/>
          <w:i w:val="1"/>
          <w:sz w:val="24"/>
          <w:szCs w:val="24"/>
        </w:rPr>
      </w:pPr>
      <w:bookmarkStart w:colFirst="0" w:colLast="0" w:name="_i9xtwyo501tu" w:id="13"/>
      <w:bookmarkEnd w:id="13"/>
      <w:r w:rsidDel="00000000" w:rsidR="00000000" w:rsidRPr="00000000">
        <w:rPr>
          <w:rFonts w:ascii="Times New Roman" w:cs="Times New Roman" w:eastAsia="Times New Roman" w:hAnsi="Times New Roman"/>
          <w:b w:val="1"/>
          <w:i w:val="1"/>
          <w:sz w:val="24"/>
          <w:szCs w:val="24"/>
          <w:rtl w:val="0"/>
        </w:rPr>
        <w:t xml:space="preserve">2.4.2 Quantitative Evaluation: Cost–Benefit and ROI Analysis</w:t>
      </w:r>
    </w:p>
    <w:p w:rsidR="00000000" w:rsidDel="00000000" w:rsidP="00000000" w:rsidRDefault="00000000" w:rsidRPr="00000000" w14:paraId="0000010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Quantitatively, the project has the undeniable potential to deliver financial and operating value. According to vehicle design studies, for EVs, every 1 kg reduction in weight can lead to a 0.8–1.4% improvement in driving range depending on drivetrain type and battery technology (Lee et al., 2021). For the ID.3 model, then, cancelling 50 kg of body weight is estimated to increase the driving range by 4.5-6.5%, enhancing the convenience of customers and thereby reducing the “range anxiety”.</w:t>
      </w:r>
    </w:p>
    <w:p w:rsidR="00000000" w:rsidDel="00000000" w:rsidP="00000000" w:rsidRDefault="00000000" w:rsidRPr="00000000" w14:paraId="0000010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efficiency benefit also has measurable financial gains. With the industry-accepted cost-of-energy benchmark, a small range extension can decrease operational costs for the users and reduce the total cost of ownership (TCO). Furthermore, lower power requirements may allow the battery use to be optimised, thereby reducing costs in production in the future or allowing wider spread across the same platform.</w:t>
      </w:r>
    </w:p>
    <w:p w:rsidR="00000000" w:rsidDel="00000000" w:rsidP="00000000" w:rsidRDefault="00000000" w:rsidRPr="00000000" w14:paraId="0000010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ROI analysis based on the total £15,813 cost (Section 2.2) suggests a payback of 12–14 months, assuming modest energy savings of £200 per vehicle per year for a production run of 10,000 vehicles. This suggests a clear scalability and also long-term profitability, especially if one takes into account economies of scale and regulatory inducements to become more efficient (Hydro, 2025).</w:t>
      </w:r>
    </w:p>
    <w:p w:rsidR="00000000" w:rsidDel="00000000" w:rsidP="00000000" w:rsidRDefault="00000000" w:rsidRPr="00000000" w14:paraId="00000109">
      <w:pPr>
        <w:pStyle w:val="Heading3"/>
        <w:spacing w:after="240" w:before="240" w:line="360" w:lineRule="auto"/>
        <w:rPr>
          <w:rFonts w:ascii="Times New Roman" w:cs="Times New Roman" w:eastAsia="Times New Roman" w:hAnsi="Times New Roman"/>
          <w:b w:val="1"/>
          <w:i w:val="1"/>
          <w:sz w:val="24"/>
          <w:szCs w:val="24"/>
        </w:rPr>
      </w:pPr>
      <w:bookmarkStart w:colFirst="0" w:colLast="0" w:name="_tk4bzdx0utao" w:id="14"/>
      <w:bookmarkEnd w:id="14"/>
      <w:r w:rsidDel="00000000" w:rsidR="00000000" w:rsidRPr="00000000">
        <w:rPr>
          <w:rFonts w:ascii="Times New Roman" w:cs="Times New Roman" w:eastAsia="Times New Roman" w:hAnsi="Times New Roman"/>
          <w:b w:val="1"/>
          <w:i w:val="1"/>
          <w:sz w:val="24"/>
          <w:szCs w:val="24"/>
          <w:rtl w:val="0"/>
        </w:rPr>
        <w:t xml:space="preserve">2.4.3 Qualitative Evaluation: Stakeholder Alignment and Market Readiness</w:t>
      </w:r>
    </w:p>
    <w:p w:rsidR="00000000" w:rsidDel="00000000" w:rsidP="00000000" w:rsidRDefault="00000000" w:rsidRPr="00000000" w14:paraId="0000010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Qualitative evaluations also indicate that the project is feasible. Moreover, a recent market survey (in china) targeted to automotive engineering teams (Ling, Cherry and Wen, 2021) found that many of respondents believed that lightweighting efforts increased product perception among environmentally conscious customers. </w:t>
      </w:r>
    </w:p>
    <w:p w:rsidR="00000000" w:rsidDel="00000000" w:rsidP="00000000" w:rsidRDefault="00000000" w:rsidRPr="00000000" w14:paraId="0000010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Regulatory alignment also enhances the strategic justification for the project. European Union (EU) emission norms are becoming more stringent, especially the fleet average targets which require significant lifecycle CO₂ reductions to be achieved by 2030 (Hysa and Mularczyk, 2024). By actively rethinking the design of structural parts today, Volkswagen already has a lead on the competition and reduces future pressure. </w:t>
      </w:r>
    </w:p>
    <w:p w:rsidR="00000000" w:rsidDel="00000000" w:rsidP="00000000" w:rsidRDefault="00000000" w:rsidRPr="00000000" w14:paraId="0000010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Operational readiness is also good. Volkswagen also already has experience with incorporating lightweight materials into other platforms (the ID.4 model) and utilises its modular MEB platform to provide engineering versatility (Office of Energy Efficiency &amp; Renewable Energy, 2015). The company also has strong vendor relationships for sourcing materials and access to a test lab with ISO certification for lower operational risk.</w:t>
      </w:r>
    </w:p>
    <w:p w:rsidR="00000000" w:rsidDel="00000000" w:rsidP="00000000" w:rsidRDefault="00000000" w:rsidRPr="00000000" w14:paraId="0000010D">
      <w:pPr>
        <w:pStyle w:val="Heading3"/>
        <w:spacing w:after="240" w:before="240" w:line="360" w:lineRule="auto"/>
        <w:rPr>
          <w:rFonts w:ascii="Times New Roman" w:cs="Times New Roman" w:eastAsia="Times New Roman" w:hAnsi="Times New Roman"/>
          <w:b w:val="1"/>
          <w:i w:val="1"/>
          <w:sz w:val="24"/>
          <w:szCs w:val="24"/>
        </w:rPr>
      </w:pPr>
      <w:bookmarkStart w:colFirst="0" w:colLast="0" w:name="_3kq4j7gzjju1" w:id="15"/>
      <w:bookmarkEnd w:id="15"/>
      <w:r w:rsidDel="00000000" w:rsidR="00000000" w:rsidRPr="00000000">
        <w:rPr>
          <w:rFonts w:ascii="Times New Roman" w:cs="Times New Roman" w:eastAsia="Times New Roman" w:hAnsi="Times New Roman"/>
          <w:b w:val="1"/>
          <w:i w:val="1"/>
          <w:sz w:val="24"/>
          <w:szCs w:val="24"/>
          <w:rtl w:val="0"/>
        </w:rPr>
        <w:t xml:space="preserve">2.4.4 Risk Assessment and Mitigation</w:t>
      </w:r>
    </w:p>
    <w:p w:rsidR="00000000" w:rsidDel="00000000" w:rsidP="00000000" w:rsidRDefault="00000000" w:rsidRPr="00000000" w14:paraId="0000010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has high potential but also moderate risk technically, financially, and in the timeline dimension. These risks have been evaluated by a qualitative impact-likelihood matrix, which is a fundamental risk management instrument in the PMBOK guide (Project Management Institute, 2021). The table below outlines the main risks identified:</w:t>
      </w:r>
    </w:p>
    <w:p w:rsidR="00000000" w:rsidDel="00000000" w:rsidP="00000000" w:rsidRDefault="00000000" w:rsidRPr="00000000" w14:paraId="0000010F">
      <w:pPr>
        <w:spacing w:after="240" w:before="240" w:line="360" w:lineRule="auto"/>
        <w:rPr>
          <w:rFonts w:ascii="Times New Roman" w:cs="Times New Roman" w:eastAsia="Times New Roman" w:hAnsi="Times New Roman"/>
          <w:sz w:val="24"/>
          <w:szCs w:val="24"/>
        </w:rPr>
      </w:pPr>
      <w:r w:rsidDel="00000000" w:rsidR="00000000" w:rsidRPr="00000000">
        <w:rPr>
          <w:rtl w:val="0"/>
        </w:rPr>
      </w:r>
    </w:p>
    <w:tbl>
      <w:tblPr>
        <w:tblStyle w:val="Table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1080"/>
        <w:gridCol w:w="1380"/>
        <w:gridCol w:w="1125"/>
        <w:gridCol w:w="2775"/>
        <w:tblGridChange w:id="0">
          <w:tblGrid>
            <w:gridCol w:w="2670"/>
            <w:gridCol w:w="1080"/>
            <w:gridCol w:w="1380"/>
            <w:gridCol w:w="1125"/>
            <w:gridCol w:w="2775"/>
          </w:tblGrid>
        </w:tblGridChange>
      </w:tblGrid>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shd w:fill="f9cb9c" w:val="clear"/>
            <w:tcMar>
              <w:top w:w="100.0" w:type="dxa"/>
              <w:left w:w="100.0" w:type="dxa"/>
              <w:bottom w:w="100.0" w:type="dxa"/>
              <w:right w:w="100.0" w:type="dxa"/>
            </w:tcMar>
          </w:tcPr>
          <w:p w:rsidR="00000000" w:rsidDel="00000000" w:rsidP="00000000" w:rsidRDefault="00000000" w:rsidRPr="00000000" w14:paraId="00000110">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Risk</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9cb9c" w:val="clear"/>
            <w:tcMar>
              <w:top w:w="100.0" w:type="dxa"/>
              <w:left w:w="100.0" w:type="dxa"/>
              <w:bottom w:w="100.0" w:type="dxa"/>
              <w:right w:w="100.0" w:type="dxa"/>
            </w:tcMar>
          </w:tcPr>
          <w:p w:rsidR="00000000" w:rsidDel="00000000" w:rsidP="00000000" w:rsidRDefault="00000000" w:rsidRPr="00000000" w14:paraId="00000111">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Impact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9cb9c" w:val="clear"/>
            <w:tcMar>
              <w:top w:w="100.0" w:type="dxa"/>
              <w:left w:w="100.0" w:type="dxa"/>
              <w:bottom w:w="100.0" w:type="dxa"/>
              <w:right w:w="100.0" w:type="dxa"/>
            </w:tcMar>
          </w:tcPr>
          <w:p w:rsidR="00000000" w:rsidDel="00000000" w:rsidP="00000000" w:rsidRDefault="00000000" w:rsidRPr="00000000" w14:paraId="00000112">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Likelihood</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9cb9c" w:val="clear"/>
            <w:tcMar>
              <w:top w:w="100.0" w:type="dxa"/>
              <w:left w:w="100.0" w:type="dxa"/>
              <w:bottom w:w="100.0" w:type="dxa"/>
              <w:right w:w="100.0" w:type="dxa"/>
            </w:tcMar>
          </w:tcPr>
          <w:p w:rsidR="00000000" w:rsidDel="00000000" w:rsidP="00000000" w:rsidRDefault="00000000" w:rsidRPr="00000000" w14:paraId="00000113">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Risk Level</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9cb9c" w:val="clear"/>
            <w:tcMar>
              <w:top w:w="100.0" w:type="dxa"/>
              <w:left w:w="100.0" w:type="dxa"/>
              <w:bottom w:w="100.0" w:type="dxa"/>
              <w:right w:w="100.0" w:type="dxa"/>
            </w:tcMar>
          </w:tcPr>
          <w:p w:rsidR="00000000" w:rsidDel="00000000" w:rsidP="00000000" w:rsidRDefault="00000000" w:rsidRPr="00000000" w14:paraId="00000114">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Mitigation Strategy</w:t>
            </w:r>
            <w:r w:rsidDel="00000000" w:rsidR="00000000" w:rsidRPr="00000000">
              <w:rPr>
                <w:rtl w:val="0"/>
              </w:rPr>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115">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cost volatility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116">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117">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118">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119">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Lock prices early with supplier agreements</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11A">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meet crashworthiness standards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11B">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11C">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11D">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11E">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Simulate extensively before prototype testing</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11F">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 in CAE simulation output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120">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121">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122">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123">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Buffer built into Gantt chart; outsource if needed</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124">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Regulatory audit delays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125">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126">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127">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128">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audit process in parallel with validation</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129">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resourcing conflict (shared personnel)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12A">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12B">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12C">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12D">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allocations in PMO calendar</w:t>
            </w:r>
          </w:p>
        </w:tc>
      </w:tr>
    </w:tbl>
    <w:p w:rsidR="00000000" w:rsidDel="00000000" w:rsidP="00000000" w:rsidRDefault="00000000" w:rsidRPr="00000000" w14:paraId="0000012E">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5: Risk Impact–Likelihood Matrix</w:t>
      </w:r>
    </w:p>
    <w:p w:rsidR="00000000" w:rsidDel="00000000" w:rsidP="00000000" w:rsidRDefault="00000000" w:rsidRPr="00000000" w14:paraId="0000012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minimise these risks, the project schedule and budget have been built with contingencies. For example, the Gantt chart has a 2–3 week buffer between the end of the simulation and the start of testing for a possible delay. The application of simulation in the early stage of validation also can prevent defects risk in the later development process.</w:t>
      </w:r>
    </w:p>
    <w:p w:rsidR="00000000" w:rsidDel="00000000" w:rsidP="00000000" w:rsidRDefault="00000000" w:rsidRPr="00000000" w14:paraId="00000130">
      <w:pPr>
        <w:pStyle w:val="Heading3"/>
        <w:spacing w:after="240" w:before="240" w:line="360" w:lineRule="auto"/>
        <w:rPr>
          <w:rFonts w:ascii="Times New Roman" w:cs="Times New Roman" w:eastAsia="Times New Roman" w:hAnsi="Times New Roman"/>
          <w:b w:val="1"/>
          <w:i w:val="1"/>
          <w:sz w:val="24"/>
          <w:szCs w:val="24"/>
        </w:rPr>
      </w:pPr>
      <w:bookmarkStart w:colFirst="0" w:colLast="0" w:name="_1ijdh3ym6c0u" w:id="16"/>
      <w:bookmarkEnd w:id="16"/>
      <w:r w:rsidDel="00000000" w:rsidR="00000000" w:rsidRPr="00000000">
        <w:rPr>
          <w:rFonts w:ascii="Times New Roman" w:cs="Times New Roman" w:eastAsia="Times New Roman" w:hAnsi="Times New Roman"/>
          <w:b w:val="1"/>
          <w:i w:val="1"/>
          <w:sz w:val="24"/>
          <w:szCs w:val="24"/>
          <w:rtl w:val="0"/>
        </w:rPr>
        <w:t xml:space="preserve">2.4.5 Performance Measurement and Monitoring</w:t>
      </w:r>
    </w:p>
    <w:p w:rsidR="00000000" w:rsidDel="00000000" w:rsidP="00000000" w:rsidRDefault="00000000" w:rsidRPr="00000000" w14:paraId="0000013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monitor progress and take corrective action with respect to scope, the project will use a series of KPIs, which will address technical, financial, and schedule parameters. These include:</w:t>
      </w:r>
    </w:p>
    <w:p w:rsidR="00000000" w:rsidDel="00000000" w:rsidP="00000000" w:rsidRDefault="00000000" w:rsidRPr="00000000" w14:paraId="00000132">
      <w:pPr>
        <w:numPr>
          <w:ilvl w:val="0"/>
          <w:numId w:val="4"/>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reduction achieved (Goal: 50 kg)</w:t>
      </w:r>
    </w:p>
    <w:p w:rsidR="00000000" w:rsidDel="00000000" w:rsidP="00000000" w:rsidRDefault="00000000" w:rsidRPr="00000000" w14:paraId="00000133">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Structural integrity test pass rate (Target: 100%)</w:t>
      </w:r>
    </w:p>
    <w:p w:rsidR="00000000" w:rsidDel="00000000" w:rsidP="00000000" w:rsidRDefault="00000000" w:rsidRPr="00000000" w14:paraId="00000134">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Error margin of the CAE simulation (&lt;10%)</w:t>
      </w:r>
    </w:p>
    <w:p w:rsidR="00000000" w:rsidDel="00000000" w:rsidP="00000000" w:rsidRDefault="00000000" w:rsidRPr="00000000" w14:paraId="00000135">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Schedule performance index (SPI ≥ 0.95)</w:t>
      </w:r>
      <w:r w:rsidDel="00000000" w:rsidR="00000000" w:rsidRPr="00000000">
        <w:rPr>
          <w:rtl w:val="0"/>
        </w:rPr>
      </w:r>
    </w:p>
    <w:p w:rsidR="00000000" w:rsidDel="00000000" w:rsidP="00000000" w:rsidRDefault="00000000" w:rsidRPr="00000000" w14:paraId="00000136">
      <w:pPr>
        <w:numPr>
          <w:ilvl w:val="0"/>
          <w:numId w:val="4"/>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Cost Performance Index (CPI ≥ 1.00)</w:t>
      </w:r>
      <w:r w:rsidDel="00000000" w:rsidR="00000000" w:rsidRPr="00000000">
        <w:rPr>
          <w:rtl w:val="0"/>
        </w:rPr>
      </w:r>
    </w:p>
    <w:p w:rsidR="00000000" w:rsidDel="00000000" w:rsidP="00000000" w:rsidRDefault="00000000" w:rsidRPr="00000000" w14:paraId="0000013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KPI dashboards will be monitored biweekly by the project manager and presented at every Steering Committee meeting. This method enables early detection of variances and continuous improvement as recommended by practices of lean project management (Schwartz, 2024).</w:t>
      </w:r>
    </w:p>
    <w:p w:rsidR="00000000" w:rsidDel="00000000" w:rsidP="00000000" w:rsidRDefault="00000000" w:rsidRPr="00000000" w14:paraId="00000138">
      <w:pPr>
        <w:pStyle w:val="Heading1"/>
        <w:spacing w:after="240" w:before="240" w:line="360" w:lineRule="auto"/>
        <w:rPr>
          <w:rFonts w:ascii="Times New Roman" w:cs="Times New Roman" w:eastAsia="Times New Roman" w:hAnsi="Times New Roman"/>
          <w:b w:val="1"/>
          <w:sz w:val="32"/>
          <w:szCs w:val="32"/>
        </w:rPr>
      </w:pPr>
      <w:bookmarkStart w:colFirst="0" w:colLast="0" w:name="_tkwh0xxnm8aw" w:id="17"/>
      <w:bookmarkEnd w:id="17"/>
      <w:r w:rsidDel="00000000" w:rsidR="00000000" w:rsidRPr="00000000">
        <w:rPr>
          <w:rFonts w:ascii="Times New Roman" w:cs="Times New Roman" w:eastAsia="Times New Roman" w:hAnsi="Times New Roman"/>
          <w:b w:val="1"/>
          <w:sz w:val="32"/>
          <w:szCs w:val="32"/>
          <w:rtl w:val="0"/>
        </w:rPr>
        <w:t xml:space="preserve">3. Conclusion and Recommendations</w:t>
      </w:r>
    </w:p>
    <w:p w:rsidR="00000000" w:rsidDel="00000000" w:rsidP="00000000" w:rsidRDefault="00000000" w:rsidRPr="00000000" w14:paraId="0000013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Volkswagen ID.3 lightweighting project offered a strategically important and technically feasible approach that also makes a significant contribution to the organisation’s environmental and innovation goals. The project aims at decreasing the vehicle body weight by 50kg, which it sees as key to its energy efficiency and increased driving range, as well as better alignment with EU regulations, thus securing a sales advantage for Volkswagen in the electric vehicle market.</w:t>
      </w:r>
    </w:p>
    <w:p w:rsidR="00000000" w:rsidDel="00000000" w:rsidP="00000000" w:rsidRDefault="00000000" w:rsidRPr="00000000" w14:paraId="0000013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planning and implementation are being conducted in a methodologically rigorous manner through the structured use of WBS, Gantt scheduling and the RACI framework. The adoption of lightweight materials and CAE simulations demonstrates advanced engineering methods with evidence of feasibility from literature. Together, these features increase clarity of what needs to be done and time management and improve efficiency.</w:t>
      </w:r>
    </w:p>
    <w:p w:rsidR="00000000" w:rsidDel="00000000" w:rsidP="00000000" w:rsidRDefault="00000000" w:rsidRPr="00000000" w14:paraId="0000013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comprehensive risk analysis identified that primary risks, including material cost variance and testing delays, could be addressed through early supplier agreements, simulation buffers, and dual-path validation plans. Furthermore, ROI modelling and success metrics validate the project's fiscal and operational viability, boosting stakeholder confidence.</w:t>
      </w:r>
    </w:p>
    <w:p w:rsidR="00000000" w:rsidDel="00000000" w:rsidP="00000000" w:rsidRDefault="00000000" w:rsidRPr="00000000" w14:paraId="0000013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of the recommendations are that the scope discipline must be implemented through stringent change control, stakeholder communication should be enhanced through regular status meetings, and investing in staff upskilling to reduce the dependence on external consultants. Lessons learnt should be captured in a formal post-project review, and the lightweighting model should be scaled across VW’s wider EV range if successful to drive value.</w:t>
      </w:r>
    </w:p>
    <w:p w:rsidR="00000000" w:rsidDel="00000000" w:rsidP="00000000" w:rsidRDefault="00000000" w:rsidRPr="00000000" w14:paraId="0000013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this project maintains a good combination of innovation, efficiency and practicality. With solid planning, a proactive risk management strategy and performance monitoring as a practice, Volkswagen can capitalise on delivering itself a high-impact engineering solution that fits nicely with its long-term vision of leading the electric mobility and sustainability front.</w:t>
      </w:r>
    </w:p>
    <w:p w:rsidR="00000000" w:rsidDel="00000000" w:rsidP="00000000" w:rsidRDefault="00000000" w:rsidRPr="00000000" w14:paraId="0000013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pStyle w:val="Heading1"/>
        <w:spacing w:line="36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References</w:t>
      </w:r>
    </w:p>
    <w:p w:rsidR="00000000" w:rsidDel="00000000" w:rsidP="00000000" w:rsidRDefault="00000000" w:rsidRPr="00000000" w14:paraId="000001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Baccarini, D. (2014). </w:t>
      </w:r>
      <w:r w:rsidDel="00000000" w:rsidR="00000000" w:rsidRPr="00000000">
        <w:rPr>
          <w:rFonts w:ascii="Times New Roman" w:cs="Times New Roman" w:eastAsia="Times New Roman" w:hAnsi="Times New Roman"/>
          <w:i w:val="1"/>
          <w:sz w:val="24"/>
          <w:szCs w:val="24"/>
          <w:rtl w:val="0"/>
        </w:rPr>
        <w:t xml:space="preserve">(PDF) Estimating Project Cost Contingency - Beyond the 10% syndrome</w:t>
      </w:r>
      <w:r w:rsidDel="00000000" w:rsidR="00000000" w:rsidRPr="00000000">
        <w:rPr>
          <w:rFonts w:ascii="Times New Roman" w:cs="Times New Roman" w:eastAsia="Times New Roman" w:hAnsi="Times New Roman"/>
          <w:sz w:val="24"/>
          <w:szCs w:val="24"/>
          <w:rtl w:val="0"/>
        </w:rPr>
        <w:t xml:space="preserve">. [online] ResearchGate. Available at: https://www.researchgate.net/publication/242645291_Estimating_Project_Cost_Contingency_-_Beyond_the_10_syndrome.</w:t>
      </w:r>
    </w:p>
    <w:p w:rsidR="00000000" w:rsidDel="00000000" w:rsidP="00000000" w:rsidRDefault="00000000" w:rsidRPr="00000000" w14:paraId="000001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Capone, C. and Narbaev, T. (2022). Estimation of Risk Contingency Budget in Projects using Machine Learning. </w:t>
      </w:r>
      <w:r w:rsidDel="00000000" w:rsidR="00000000" w:rsidRPr="00000000">
        <w:rPr>
          <w:rFonts w:ascii="Times New Roman" w:cs="Times New Roman" w:eastAsia="Times New Roman" w:hAnsi="Times New Roman"/>
          <w:i w:val="1"/>
          <w:sz w:val="24"/>
          <w:szCs w:val="24"/>
          <w:rtl w:val="0"/>
        </w:rPr>
        <w:t xml:space="preserve">IFAC-PapersOnLine</w:t>
      </w:r>
      <w:r w:rsidDel="00000000" w:rsidR="00000000" w:rsidRPr="00000000">
        <w:rPr>
          <w:rFonts w:ascii="Times New Roman" w:cs="Times New Roman" w:eastAsia="Times New Roman" w:hAnsi="Times New Roman"/>
          <w:sz w:val="24"/>
          <w:szCs w:val="24"/>
          <w:rtl w:val="0"/>
        </w:rPr>
        <w:t xml:space="preserve">, [online] 55(10), pp.3238–3243. doi:https://doi.org/10.1016/j.ifacol.2022.10.140.</w:t>
      </w:r>
    </w:p>
    <w:p w:rsidR="00000000" w:rsidDel="00000000" w:rsidP="00000000" w:rsidRDefault="00000000" w:rsidRPr="00000000" w14:paraId="000001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Castro Miranda, S.L., Del Rey Castillo, E., Gonzalez, V. and Adafin, J. (2022). Predictive Analytics for Early-Stage Construction Costs Estimation. </w:t>
      </w:r>
      <w:r w:rsidDel="00000000" w:rsidR="00000000" w:rsidRPr="00000000">
        <w:rPr>
          <w:rFonts w:ascii="Times New Roman" w:cs="Times New Roman" w:eastAsia="Times New Roman" w:hAnsi="Times New Roman"/>
          <w:i w:val="1"/>
          <w:sz w:val="24"/>
          <w:szCs w:val="24"/>
          <w:rtl w:val="0"/>
        </w:rPr>
        <w:t xml:space="preserve">Buildings</w:t>
      </w:r>
      <w:r w:rsidDel="00000000" w:rsidR="00000000" w:rsidRPr="00000000">
        <w:rPr>
          <w:rFonts w:ascii="Times New Roman" w:cs="Times New Roman" w:eastAsia="Times New Roman" w:hAnsi="Times New Roman"/>
          <w:sz w:val="24"/>
          <w:szCs w:val="24"/>
          <w:rtl w:val="0"/>
        </w:rPr>
        <w:t xml:space="preserve">, 12(7), p.1043. doi:https://doi.org/10.3390/buildings12071043.</w:t>
      </w:r>
    </w:p>
    <w:p w:rsidR="00000000" w:rsidDel="00000000" w:rsidP="00000000" w:rsidRDefault="00000000" w:rsidRPr="00000000" w14:paraId="000001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Commission (2023). </w:t>
      </w:r>
      <w:r w:rsidDel="00000000" w:rsidR="00000000" w:rsidRPr="00000000">
        <w:rPr>
          <w:rFonts w:ascii="Times New Roman" w:cs="Times New Roman" w:eastAsia="Times New Roman" w:hAnsi="Times New Roman"/>
          <w:i w:val="1"/>
          <w:sz w:val="24"/>
          <w:szCs w:val="24"/>
          <w:rtl w:val="0"/>
        </w:rPr>
        <w:t xml:space="preserve">How are legislative crash tests developed?</w:t>
      </w:r>
      <w:r w:rsidDel="00000000" w:rsidR="00000000" w:rsidRPr="00000000">
        <w:rPr>
          <w:rFonts w:ascii="Times New Roman" w:cs="Times New Roman" w:eastAsia="Times New Roman" w:hAnsi="Times New Roman"/>
          <w:sz w:val="24"/>
          <w:szCs w:val="24"/>
          <w:rtl w:val="0"/>
        </w:rPr>
        <w:t xml:space="preserve"> [online] Mobility &amp; Transport - Road Safety. Available at: https://road-safety.transport.ec.europa.eu/eu-road-safety-policy/priorities/safe-vehicles/archive/how-are-legislative-crash-tests-developed_en [Accessed 3 Jun. 2025].</w:t>
      </w:r>
    </w:p>
    <w:p w:rsidR="00000000" w:rsidDel="00000000" w:rsidP="00000000" w:rsidRDefault="00000000" w:rsidRPr="00000000" w14:paraId="000001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Fan, Q., Guo, Y., Zhou, Y. and Ji, Y. (2024). A review of new lightweight materials for the automotive industry. </w:t>
      </w:r>
      <w:r w:rsidDel="00000000" w:rsidR="00000000" w:rsidRPr="00000000">
        <w:rPr>
          <w:rFonts w:ascii="Times New Roman" w:cs="Times New Roman" w:eastAsia="Times New Roman" w:hAnsi="Times New Roman"/>
          <w:i w:val="1"/>
          <w:sz w:val="24"/>
          <w:szCs w:val="24"/>
          <w:rtl w:val="0"/>
        </w:rPr>
        <w:t xml:space="preserve">Applied and Computational Engineering</w:t>
      </w:r>
      <w:r w:rsidDel="00000000" w:rsidR="00000000" w:rsidRPr="00000000">
        <w:rPr>
          <w:rFonts w:ascii="Times New Roman" w:cs="Times New Roman" w:eastAsia="Times New Roman" w:hAnsi="Times New Roman"/>
          <w:sz w:val="24"/>
          <w:szCs w:val="24"/>
          <w:rtl w:val="0"/>
        </w:rPr>
        <w:t xml:space="preserve">, [online] 85(1), pp.203–211. doi:https://doi.org/10.54254/2755-2721/85/20240721.</w:t>
      </w:r>
    </w:p>
    <w:p w:rsidR="00000000" w:rsidDel="00000000" w:rsidP="00000000" w:rsidRDefault="00000000" w:rsidRPr="00000000" w14:paraId="000001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GOV.UK (2021). </w:t>
      </w:r>
      <w:r w:rsidDel="00000000" w:rsidR="00000000" w:rsidRPr="00000000">
        <w:rPr>
          <w:rFonts w:ascii="Times New Roman" w:cs="Times New Roman" w:eastAsia="Times New Roman" w:hAnsi="Times New Roman"/>
          <w:i w:val="1"/>
          <w:sz w:val="24"/>
          <w:szCs w:val="24"/>
          <w:rtl w:val="0"/>
        </w:rPr>
        <w:t xml:space="preserve">Cost Estimating Guidance</w:t>
      </w:r>
      <w:r w:rsidDel="00000000" w:rsidR="00000000" w:rsidRPr="00000000">
        <w:rPr>
          <w:rFonts w:ascii="Times New Roman" w:cs="Times New Roman" w:eastAsia="Times New Roman" w:hAnsi="Times New Roman"/>
          <w:sz w:val="24"/>
          <w:szCs w:val="24"/>
          <w:rtl w:val="0"/>
        </w:rPr>
        <w:t xml:space="preserve">. [online] GOV.UK. Available at: https://www.gov.uk/government/publications/cost-estimating-guidance/cost-estimating-guidance.</w:t>
      </w:r>
    </w:p>
    <w:p w:rsidR="00000000" w:rsidDel="00000000" w:rsidP="00000000" w:rsidRDefault="00000000" w:rsidRPr="00000000" w14:paraId="000001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Hofer, J., Wilhelm, E. and Schenler, W. (2012). Optimal Lightweighting in Battery Electric Vehicles. </w:t>
      </w:r>
      <w:r w:rsidDel="00000000" w:rsidR="00000000" w:rsidRPr="00000000">
        <w:rPr>
          <w:rFonts w:ascii="Times New Roman" w:cs="Times New Roman" w:eastAsia="Times New Roman" w:hAnsi="Times New Roman"/>
          <w:i w:val="1"/>
          <w:sz w:val="24"/>
          <w:szCs w:val="24"/>
          <w:rtl w:val="0"/>
        </w:rPr>
        <w:t xml:space="preserve">World Electric Vehicle Journal</w:t>
      </w:r>
      <w:r w:rsidDel="00000000" w:rsidR="00000000" w:rsidRPr="00000000">
        <w:rPr>
          <w:rFonts w:ascii="Times New Roman" w:cs="Times New Roman" w:eastAsia="Times New Roman" w:hAnsi="Times New Roman"/>
          <w:sz w:val="24"/>
          <w:szCs w:val="24"/>
          <w:rtl w:val="0"/>
        </w:rPr>
        <w:t xml:space="preserve">, 5(3), pp.751–762. doi:https://doi.org/10.3390/wevj5030751.</w:t>
      </w:r>
    </w:p>
    <w:p w:rsidR="00000000" w:rsidDel="00000000" w:rsidP="00000000" w:rsidRDefault="00000000" w:rsidRPr="00000000" w14:paraId="000001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 (2025). </w:t>
      </w:r>
      <w:r w:rsidDel="00000000" w:rsidR="00000000" w:rsidRPr="00000000">
        <w:rPr>
          <w:rFonts w:ascii="Times New Roman" w:cs="Times New Roman" w:eastAsia="Times New Roman" w:hAnsi="Times New Roman"/>
          <w:i w:val="1"/>
          <w:sz w:val="24"/>
          <w:szCs w:val="24"/>
          <w:rtl w:val="0"/>
        </w:rPr>
        <w:t xml:space="preserve">Behind the business case for lightweighting</w:t>
      </w:r>
      <w:r w:rsidDel="00000000" w:rsidR="00000000" w:rsidRPr="00000000">
        <w:rPr>
          <w:rFonts w:ascii="Times New Roman" w:cs="Times New Roman" w:eastAsia="Times New Roman" w:hAnsi="Times New Roman"/>
          <w:sz w:val="24"/>
          <w:szCs w:val="24"/>
          <w:rtl w:val="0"/>
        </w:rPr>
        <w:t xml:space="preserve">. [online] Shapesbyhydro.com. Available at: https://www.shapesbyhydro.com/en/manufacturing/behind-the-business-case-for-lightweighting/ [Accessed 3 Jun. 2025].</w:t>
      </w:r>
    </w:p>
    <w:p w:rsidR="00000000" w:rsidDel="00000000" w:rsidP="00000000" w:rsidRDefault="00000000" w:rsidRPr="00000000" w14:paraId="000001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Hysa, B. and Mularczyk, A. (2024). PESTEL Analysis of the Photovoltaic Market in Poland—A Systematic Review of Opportunities and Threats. </w:t>
      </w:r>
      <w:r w:rsidDel="00000000" w:rsidR="00000000" w:rsidRPr="00000000">
        <w:rPr>
          <w:rFonts w:ascii="Times New Roman" w:cs="Times New Roman" w:eastAsia="Times New Roman" w:hAnsi="Times New Roman"/>
          <w:i w:val="1"/>
          <w:sz w:val="24"/>
          <w:szCs w:val="24"/>
          <w:rtl w:val="0"/>
        </w:rPr>
        <w:t xml:space="preserve">Resources</w:t>
      </w:r>
      <w:r w:rsidDel="00000000" w:rsidR="00000000" w:rsidRPr="00000000">
        <w:rPr>
          <w:rFonts w:ascii="Times New Roman" w:cs="Times New Roman" w:eastAsia="Times New Roman" w:hAnsi="Times New Roman"/>
          <w:sz w:val="24"/>
          <w:szCs w:val="24"/>
          <w:rtl w:val="0"/>
        </w:rPr>
        <w:t xml:space="preserve">, 13(10), p.136. doi:https://doi.org/10.3390/resources13100136.</w:t>
      </w:r>
    </w:p>
    <w:p w:rsidR="00000000" w:rsidDel="00000000" w:rsidP="00000000" w:rsidRDefault="00000000" w:rsidRPr="00000000" w14:paraId="000001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Rodney Turner (2016). </w:t>
      </w:r>
      <w:r w:rsidDel="00000000" w:rsidR="00000000" w:rsidRPr="00000000">
        <w:rPr>
          <w:rFonts w:ascii="Times New Roman" w:cs="Times New Roman" w:eastAsia="Times New Roman" w:hAnsi="Times New Roman"/>
          <w:i w:val="1"/>
          <w:sz w:val="24"/>
          <w:szCs w:val="24"/>
          <w:rtl w:val="0"/>
        </w:rPr>
        <w:t xml:space="preserve">Gower handbook of project management</w:t>
      </w:r>
      <w:r w:rsidDel="00000000" w:rsidR="00000000" w:rsidRPr="00000000">
        <w:rPr>
          <w:rFonts w:ascii="Times New Roman" w:cs="Times New Roman" w:eastAsia="Times New Roman" w:hAnsi="Times New Roman"/>
          <w:sz w:val="24"/>
          <w:szCs w:val="24"/>
          <w:rtl w:val="0"/>
        </w:rPr>
        <w:t xml:space="preserve">. Aldershot, England ; Burlington, Vt: Gower.</w:t>
      </w:r>
    </w:p>
    <w:p w:rsidR="00000000" w:rsidDel="00000000" w:rsidP="00000000" w:rsidRDefault="00000000" w:rsidRPr="00000000" w14:paraId="000001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Joost, W.J. (2012). Reducing Vehicle Weight and Improving U.S. Energy Efficiency Using Integrated Computational Materials Engineering. </w:t>
      </w:r>
      <w:r w:rsidDel="00000000" w:rsidR="00000000" w:rsidRPr="00000000">
        <w:rPr>
          <w:rFonts w:ascii="Times New Roman" w:cs="Times New Roman" w:eastAsia="Times New Roman" w:hAnsi="Times New Roman"/>
          <w:i w:val="1"/>
          <w:sz w:val="24"/>
          <w:szCs w:val="24"/>
          <w:rtl w:val="0"/>
        </w:rPr>
        <w:t xml:space="preserve">JOM</w:t>
      </w:r>
      <w:r w:rsidDel="00000000" w:rsidR="00000000" w:rsidRPr="00000000">
        <w:rPr>
          <w:rFonts w:ascii="Times New Roman" w:cs="Times New Roman" w:eastAsia="Times New Roman" w:hAnsi="Times New Roman"/>
          <w:sz w:val="24"/>
          <w:szCs w:val="24"/>
          <w:rtl w:val="0"/>
        </w:rPr>
        <w:t xml:space="preserve">, 64(9), pp.1032–1038. doi:https://doi.org/10.1007/s11837-012-0424-z.</w:t>
      </w:r>
    </w:p>
    <w:p w:rsidR="00000000" w:rsidDel="00000000" w:rsidP="00000000" w:rsidRDefault="00000000" w:rsidRPr="00000000" w14:paraId="000001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Kerzner, H. (2017). </w:t>
      </w:r>
      <w:r w:rsidDel="00000000" w:rsidR="00000000" w:rsidRPr="00000000">
        <w:rPr>
          <w:rFonts w:ascii="Times New Roman" w:cs="Times New Roman" w:eastAsia="Times New Roman" w:hAnsi="Times New Roman"/>
          <w:i w:val="1"/>
          <w:sz w:val="24"/>
          <w:szCs w:val="24"/>
          <w:rtl w:val="0"/>
        </w:rPr>
        <w:t xml:space="preserve">Project management: a Systems Approach to planning, scheduling, and Controlling</w:t>
      </w:r>
      <w:r w:rsidDel="00000000" w:rsidR="00000000" w:rsidRPr="00000000">
        <w:rPr>
          <w:rFonts w:ascii="Times New Roman" w:cs="Times New Roman" w:eastAsia="Times New Roman" w:hAnsi="Times New Roman"/>
          <w:sz w:val="24"/>
          <w:szCs w:val="24"/>
          <w:rtl w:val="0"/>
        </w:rPr>
        <w:t xml:space="preserve">. 12th ed. John Wiley &amp; Sons, Inc.</w:t>
      </w:r>
    </w:p>
    <w:p w:rsidR="00000000" w:rsidDel="00000000" w:rsidP="00000000" w:rsidRDefault="00000000" w:rsidRPr="00000000" w14:paraId="000001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 W., Lee, S., Jin, C. and Hyun, C. (2021). Development of the RACI Model for Processes of the Closure Phase in Construction Programs. </w:t>
      </w:r>
      <w:r w:rsidDel="00000000" w:rsidR="00000000" w:rsidRPr="00000000">
        <w:rPr>
          <w:rFonts w:ascii="Times New Roman" w:cs="Times New Roman" w:eastAsia="Times New Roman" w:hAnsi="Times New Roman"/>
          <w:i w:val="1"/>
          <w:sz w:val="24"/>
          <w:szCs w:val="24"/>
          <w:rtl w:val="0"/>
        </w:rPr>
        <w:t xml:space="preserve">Sustainability</w:t>
      </w:r>
      <w:r w:rsidDel="00000000" w:rsidR="00000000" w:rsidRPr="00000000">
        <w:rPr>
          <w:rFonts w:ascii="Times New Roman" w:cs="Times New Roman" w:eastAsia="Times New Roman" w:hAnsi="Times New Roman"/>
          <w:sz w:val="24"/>
          <w:szCs w:val="24"/>
          <w:rtl w:val="0"/>
        </w:rPr>
        <w:t xml:space="preserve">, [online] 13(4), p.1806. doi:https://doi.org/10.3390/su13041806.</w:t>
      </w:r>
    </w:p>
    <w:p w:rsidR="00000000" w:rsidDel="00000000" w:rsidP="00000000" w:rsidRDefault="00000000" w:rsidRPr="00000000" w14:paraId="000001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Ling, Z., Cherry, C.R. and Wen, Y. (2021). Determining the Factors That Influence Electric Vehicle Adoption: A Stated Preference Survey Study in Beijing, China. </w:t>
      </w:r>
      <w:r w:rsidDel="00000000" w:rsidR="00000000" w:rsidRPr="00000000">
        <w:rPr>
          <w:rFonts w:ascii="Times New Roman" w:cs="Times New Roman" w:eastAsia="Times New Roman" w:hAnsi="Times New Roman"/>
          <w:i w:val="1"/>
          <w:sz w:val="24"/>
          <w:szCs w:val="24"/>
          <w:rtl w:val="0"/>
        </w:rPr>
        <w:t xml:space="preserve">Sustainability</w:t>
      </w:r>
      <w:r w:rsidDel="00000000" w:rsidR="00000000" w:rsidRPr="00000000">
        <w:rPr>
          <w:rFonts w:ascii="Times New Roman" w:cs="Times New Roman" w:eastAsia="Times New Roman" w:hAnsi="Times New Roman"/>
          <w:sz w:val="24"/>
          <w:szCs w:val="24"/>
          <w:rtl w:val="0"/>
        </w:rPr>
        <w:t xml:space="preserve">, 13(21), p.11719. doi:https://doi.org/10.3390/su132111719.</w:t>
      </w:r>
    </w:p>
    <w:p w:rsidR="00000000" w:rsidDel="00000000" w:rsidP="00000000" w:rsidRDefault="00000000" w:rsidRPr="00000000" w14:paraId="000001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 of Energy Efficiency &amp; Renewable Energy (2015). </w:t>
      </w:r>
      <w:r w:rsidDel="00000000" w:rsidR="00000000" w:rsidRPr="00000000">
        <w:rPr>
          <w:rFonts w:ascii="Times New Roman" w:cs="Times New Roman" w:eastAsia="Times New Roman" w:hAnsi="Times New Roman"/>
          <w:i w:val="1"/>
          <w:sz w:val="24"/>
          <w:szCs w:val="24"/>
          <w:rtl w:val="0"/>
        </w:rPr>
        <w:t xml:space="preserve">Lightweight Materials for Cars and Trucks</w:t>
      </w:r>
      <w:r w:rsidDel="00000000" w:rsidR="00000000" w:rsidRPr="00000000">
        <w:rPr>
          <w:rFonts w:ascii="Times New Roman" w:cs="Times New Roman" w:eastAsia="Times New Roman" w:hAnsi="Times New Roman"/>
          <w:sz w:val="24"/>
          <w:szCs w:val="24"/>
          <w:rtl w:val="0"/>
        </w:rPr>
        <w:t xml:space="preserve">. [online] Energy.gov. Available at: https://www.energy.gov/eere/vehicles/lightweight-materials-cars-and-trucks.</w:t>
      </w:r>
    </w:p>
    <w:p w:rsidR="00000000" w:rsidDel="00000000" w:rsidP="00000000" w:rsidRDefault="00000000" w:rsidRPr="00000000" w14:paraId="000001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Pollock, J., Chong, P.L., Ramegowda, M., Dawood, N., Guo, P. and Moey, L.K. (2024). Battery Electric Vehicle Lightweighting Strategies: Addressing Energy Consumption and Range Anxiety. </w:t>
      </w:r>
      <w:r w:rsidDel="00000000" w:rsidR="00000000" w:rsidRPr="00000000">
        <w:rPr>
          <w:rFonts w:ascii="Times New Roman" w:cs="Times New Roman" w:eastAsia="Times New Roman" w:hAnsi="Times New Roman"/>
          <w:i w:val="1"/>
          <w:sz w:val="24"/>
          <w:szCs w:val="24"/>
          <w:rtl w:val="0"/>
        </w:rPr>
        <w:t xml:space="preserve">International Journal of Automotive and Mechanical Engineering</w:t>
      </w:r>
      <w:r w:rsidDel="00000000" w:rsidR="00000000" w:rsidRPr="00000000">
        <w:rPr>
          <w:rFonts w:ascii="Times New Roman" w:cs="Times New Roman" w:eastAsia="Times New Roman" w:hAnsi="Times New Roman"/>
          <w:sz w:val="24"/>
          <w:szCs w:val="24"/>
          <w:rtl w:val="0"/>
        </w:rPr>
        <w:t xml:space="preserve">, 21(4), pp.11770–11783. doi:https://doi.org/10.15282/ijame.21.4.2024.4.0905.</w:t>
      </w:r>
    </w:p>
    <w:p w:rsidR="00000000" w:rsidDel="00000000" w:rsidP="00000000" w:rsidRDefault="00000000" w:rsidRPr="00000000" w14:paraId="000001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 Institute (2021). </w:t>
      </w:r>
      <w:r w:rsidDel="00000000" w:rsidR="00000000" w:rsidRPr="00000000">
        <w:rPr>
          <w:rFonts w:ascii="Times New Roman" w:cs="Times New Roman" w:eastAsia="Times New Roman" w:hAnsi="Times New Roman"/>
          <w:i w:val="1"/>
          <w:sz w:val="24"/>
          <w:szCs w:val="24"/>
          <w:rtl w:val="0"/>
        </w:rPr>
        <w:t xml:space="preserve">A Guide to the Project Management Body of Knowledge : (PMBOK guide)</w:t>
      </w:r>
      <w:r w:rsidDel="00000000" w:rsidR="00000000" w:rsidRPr="00000000">
        <w:rPr>
          <w:rFonts w:ascii="Times New Roman" w:cs="Times New Roman" w:eastAsia="Times New Roman" w:hAnsi="Times New Roman"/>
          <w:sz w:val="24"/>
          <w:szCs w:val="24"/>
          <w:rtl w:val="0"/>
        </w:rPr>
        <w:t xml:space="preserve">. 7th ed. Newtown Square, Pa: Project Management Institute.</w:t>
      </w:r>
    </w:p>
    <w:p w:rsidR="00000000" w:rsidDel="00000000" w:rsidP="00000000" w:rsidRDefault="00000000" w:rsidRPr="00000000" w14:paraId="000001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Robinson, A.L., Taub, A.I. and Keoleian, G.A. (2019). Fuel efficiency drives the auto industry to reduce vehicle weight. </w:t>
      </w:r>
      <w:r w:rsidDel="00000000" w:rsidR="00000000" w:rsidRPr="00000000">
        <w:rPr>
          <w:rFonts w:ascii="Times New Roman" w:cs="Times New Roman" w:eastAsia="Times New Roman" w:hAnsi="Times New Roman"/>
          <w:i w:val="1"/>
          <w:sz w:val="24"/>
          <w:szCs w:val="24"/>
          <w:rtl w:val="0"/>
        </w:rPr>
        <w:t xml:space="preserve">MRS Bulletin</w:t>
      </w:r>
      <w:r w:rsidDel="00000000" w:rsidR="00000000" w:rsidRPr="00000000">
        <w:rPr>
          <w:rFonts w:ascii="Times New Roman" w:cs="Times New Roman" w:eastAsia="Times New Roman" w:hAnsi="Times New Roman"/>
          <w:sz w:val="24"/>
          <w:szCs w:val="24"/>
          <w:rtl w:val="0"/>
        </w:rPr>
        <w:t xml:space="preserve">, 44(12), pp.920–923. doi:https://doi.org/10.1557/mrs.2019.298.</w:t>
      </w:r>
    </w:p>
    <w:p w:rsidR="00000000" w:rsidDel="00000000" w:rsidP="00000000" w:rsidRDefault="00000000" w:rsidRPr="00000000" w14:paraId="0000015B">
      <w:pPr>
        <w:spacing w:line="360" w:lineRule="auto"/>
        <w:rPr/>
      </w:pPr>
      <w:r w:rsidDel="00000000" w:rsidR="00000000" w:rsidRPr="00000000">
        <w:rPr>
          <w:rFonts w:ascii="Times New Roman" w:cs="Times New Roman" w:eastAsia="Times New Roman" w:hAnsi="Times New Roman"/>
          <w:sz w:val="24"/>
          <w:szCs w:val="24"/>
          <w:rtl w:val="0"/>
        </w:rPr>
        <w:t xml:space="preserve">Schwartz, B. (2024). </w:t>
      </w:r>
      <w:r w:rsidDel="00000000" w:rsidR="00000000" w:rsidRPr="00000000">
        <w:rPr>
          <w:rFonts w:ascii="Times New Roman" w:cs="Times New Roman" w:eastAsia="Times New Roman" w:hAnsi="Times New Roman"/>
          <w:i w:val="1"/>
          <w:sz w:val="24"/>
          <w:szCs w:val="24"/>
          <w:rtl w:val="0"/>
        </w:rPr>
        <w:t xml:space="preserve">A Quick Guide to KPI Dashboards (Examples and Templates Included)</w:t>
      </w:r>
      <w:r w:rsidDel="00000000" w:rsidR="00000000" w:rsidRPr="00000000">
        <w:rPr>
          <w:rFonts w:ascii="Times New Roman" w:cs="Times New Roman" w:eastAsia="Times New Roman" w:hAnsi="Times New Roman"/>
          <w:sz w:val="24"/>
          <w:szCs w:val="24"/>
          <w:rtl w:val="0"/>
        </w:rPr>
        <w:t xml:space="preserve">. [online] ProjectManager. Available at: https://www.projectmanager.com/blog/kpi-dashboard-examples [Accessed 30 Apr. 2025].</w:t>
      </w:r>
      <w:r w:rsidDel="00000000" w:rsidR="00000000" w:rsidRPr="00000000">
        <w:rPr>
          <w:rtl w:val="0"/>
        </w:rPr>
      </w:r>
    </w:p>
    <w:p w:rsidR="00000000" w:rsidDel="00000000" w:rsidP="00000000" w:rsidRDefault="00000000" w:rsidRPr="00000000" w14:paraId="0000015C">
      <w:pPr>
        <w:spacing w:after="240" w:before="240" w:line="36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