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44"/>
        </w:rPr>
        <w:t>PVASF Targeted Data Request Specification</w:t>
      </w:r>
    </w:p>
    <w:p>
      <w:r>
        <w:rPr>
          <w:rFonts w:ascii="Arial" w:hAnsi="Arial"/>
          <w:i/>
          <w:color w:val="475569"/>
          <w:sz w:val="22"/>
        </w:rPr>
        <w:t>Enterprise Production Data Extract Specification for Teradata DBAs &amp; Data Engineers (v6.0.0)</w:t>
        <w:br/>
        <w:t>Target Systems: Enterprise Teradata Data Warehouse (15 Data Warehouse Tables + 3 System Tables = 18 Extract Tables, 631 Columns)</w:t>
      </w:r>
    </w:p>
    <w:p>
      <w:pPr>
        <w:pStyle w:val="Heading1"/>
      </w:pPr>
      <w:r>
        <w:t>1. Executive Summary &amp; Extraction Rationale</w:t>
      </w:r>
    </w:p>
    <w:p>
      <w:r>
        <w:t>The Price-Volume Alert Surveillance Framework (PVASF) is an end-to-end market conduct surveillance and anomaly detection system. It ingests daily trade aggregates, exchange/depository client demographics, quarterly shareholding distributions, corporate actions, and forensic case dossiers to detect artificial price inflation, coordinated volume pump schemes, circular trading rings, and wash trades.</w:t>
      </w:r>
    </w:p>
    <w:p>
      <w:r>
        <w:rPr>
          <w:rFonts w:ascii="Arial" w:hAnsi="Arial"/>
          <w:b/>
          <w:color w:val="10B981"/>
          <w:sz w:val="20"/>
        </w:rPr>
        <w:t>EXTRACTION RULE: Raw FACT_TRADES execution streams are completely omitted from the data request specification. The Data Engineering team is only required to extract pre-aggregated trade summary tables (AGG_SEC_DAY, AGG_CLNT_SEC_DAY, AGG_PAN_PAIR_DAY), eliminating multi-terabyte raw trade dumps.</w:t>
      </w:r>
    </w:p>
    <w:p>
      <w:pPr>
        <w:pStyle w:val="Heading1"/>
      </w:pPr>
      <w:r>
        <w:t>2. Master Summary of Required Teradata Warehouse Tables (18 Extract Tables)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E3A8A"/>
          </w:tcPr>
          <w:p>
            <w:r>
              <w:rPr>
                <w:b/>
                <w:color w:val="FFFFFF"/>
              </w:rPr>
              <w:t>Table Name</w:t>
            </w:r>
          </w:p>
        </w:tc>
        <w:tc>
          <w:tcPr>
            <w:tcW w:type="dxa" w:w="1656"/>
            <w:shd w:fill="1E3A8A"/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1656"/>
            <w:shd w:fill="1E3A8A"/>
          </w:tcPr>
          <w:p>
            <w:r>
              <w:rPr>
                <w:b/>
                <w:color w:val="FFFFFF"/>
              </w:rPr>
              <w:t>Full Entity Name</w:t>
            </w:r>
          </w:p>
        </w:tc>
        <w:tc>
          <w:tcPr>
            <w:tcW w:type="dxa" w:w="1656"/>
            <w:shd w:fill="1E3A8A"/>
          </w:tcPr>
          <w:p>
            <w:r>
              <w:rPr>
                <w:b/>
                <w:color w:val="FFFFFF"/>
              </w:rPr>
              <w:t>Cols</w:t>
            </w:r>
          </w:p>
        </w:tc>
        <w:tc>
          <w:tcPr>
            <w:tcW w:type="dxa" w:w="1656"/>
            <w:shd w:fill="1E3A8A"/>
          </w:tcPr>
          <w:p>
            <w:r>
              <w:rPr>
                <w:b/>
                <w:color w:val="FFFFFF"/>
              </w:rPr>
              <w:t>Req Cols</w:t>
            </w:r>
          </w:p>
        </w:tc>
        <w:tc>
          <w:tcPr>
            <w:tcW w:type="dxa" w:w="1656"/>
            <w:shd w:fill="1E3A8A"/>
          </w:tcPr>
          <w:p>
            <w:r>
              <w:rPr>
                <w:b/>
                <w:color w:val="FFFFFF"/>
              </w:rPr>
              <w:t>Minimal Extract Scope</w:t>
            </w:r>
          </w:p>
        </w:tc>
      </w:tr>
      <w:tr>
        <w:tc>
          <w:tcPr>
            <w:tcW w:type="dxa" w:w="1656"/>
          </w:tcPr>
          <w:p>
            <w:r>
              <w:t>AGG_SEC_DAY</w:t>
            </w:r>
          </w:p>
        </w:tc>
        <w:tc>
          <w:tcPr>
            <w:tcW w:type="dxa" w:w="1656"/>
          </w:tcPr>
          <w:p>
            <w:r>
              <w:t>ASD</w:t>
            </w:r>
          </w:p>
        </w:tc>
        <w:tc>
          <w:tcPr>
            <w:tcW w:type="dxa" w:w="1656"/>
          </w:tcPr>
          <w:p>
            <w:r>
              <w:t>Trade Security Daily Aggregates</w:t>
            </w:r>
          </w:p>
        </w:tc>
        <w:tc>
          <w:tcPr>
            <w:tcW w:type="dxa" w:w="1656"/>
          </w:tcPr>
          <w:p>
            <w:r>
              <w:t>83</w:t>
            </w:r>
          </w:p>
        </w:tc>
        <w:tc>
          <w:tcPr>
            <w:tcW w:type="dxa" w:w="1656"/>
          </w:tcPr>
          <w:p>
            <w:r>
              <w:t>13</w:t>
            </w:r>
          </w:p>
        </w:tc>
        <w:tc>
          <w:tcPr>
            <w:tcW w:type="dxa" w:w="1656"/>
          </w:tcPr>
          <w:p>
            <w:r>
              <w:t>Official 30-Min VWAP Close, OHLC &amp; Circuits</w:t>
            </w:r>
          </w:p>
        </w:tc>
      </w:tr>
      <w:tr>
        <w:tc>
          <w:tcPr>
            <w:tcW w:type="dxa" w:w="1656"/>
          </w:tcPr>
          <w:p>
            <w:r>
              <w:t>AGG_CLNT_SEC_DAY</w:t>
            </w:r>
          </w:p>
        </w:tc>
        <w:tc>
          <w:tcPr>
            <w:tcW w:type="dxa" w:w="1656"/>
          </w:tcPr>
          <w:p>
            <w:r>
              <w:t>ACSD</w:t>
            </w:r>
          </w:p>
        </w:tc>
        <w:tc>
          <w:tcPr>
            <w:tcW w:type="dxa" w:w="1656"/>
          </w:tcPr>
          <w:p>
            <w:r>
              <w:t>Trade Client Security Daily Aggs</w:t>
            </w:r>
          </w:p>
        </w:tc>
        <w:tc>
          <w:tcPr>
            <w:tcW w:type="dxa" w:w="1656"/>
          </w:tcPr>
          <w:p>
            <w:r>
              <w:t>31</w:t>
            </w:r>
          </w:p>
        </w:tc>
        <w:tc>
          <w:tcPr>
            <w:tcW w:type="dxa" w:w="1656"/>
          </w:tcPr>
          <w:p>
            <w:r>
              <w:t>9</w:t>
            </w:r>
          </w:p>
        </w:tc>
        <w:tc>
          <w:tcPr>
            <w:tcW w:type="dxa" w:w="1656"/>
          </w:tcPr>
          <w:p>
            <w:r>
              <w:t>Client Buy/Sell Volumes &amp; LTP Push</w:t>
            </w:r>
          </w:p>
        </w:tc>
      </w:tr>
      <w:tr>
        <w:tc>
          <w:tcPr>
            <w:tcW w:type="dxa" w:w="1656"/>
          </w:tcPr>
          <w:p>
            <w:r>
              <w:t>AGG_PAN_PAIR_DAY</w:t>
            </w:r>
          </w:p>
        </w:tc>
        <w:tc>
          <w:tcPr>
            <w:tcW w:type="dxa" w:w="1656"/>
          </w:tcPr>
          <w:p>
            <w:r>
              <w:t>APPD</w:t>
            </w:r>
          </w:p>
        </w:tc>
        <w:tc>
          <w:tcPr>
            <w:tcW w:type="dxa" w:w="1656"/>
          </w:tcPr>
          <w:p>
            <w:r>
              <w:t>Trade PAN Pair Daily Aggregates</w:t>
            </w:r>
          </w:p>
        </w:tc>
        <w:tc>
          <w:tcPr>
            <w:tcW w:type="dxa" w:w="1656"/>
          </w:tcPr>
          <w:p>
            <w:r>
              <w:t>60</w:t>
            </w:r>
          </w:p>
        </w:tc>
        <w:tc>
          <w:tcPr>
            <w:tcW w:type="dxa" w:w="1656"/>
          </w:tcPr>
          <w:p>
            <w:r>
              <w:t>8</w:t>
            </w:r>
          </w:p>
        </w:tc>
        <w:tc>
          <w:tcPr>
            <w:tcW w:type="dxa" w:w="1656"/>
          </w:tcPr>
          <w:p>
            <w:r>
              <w:t>Buyer/Seller PAN Pair Concentration</w:t>
            </w:r>
          </w:p>
        </w:tc>
      </w:tr>
      <w:tr>
        <w:tc>
          <w:tcPr>
            <w:tcW w:type="dxa" w:w="1656"/>
          </w:tcPr>
          <w:p>
            <w:r>
              <w:t>DIM_EXCH_CLNT_DTLS</w:t>
            </w:r>
          </w:p>
        </w:tc>
        <w:tc>
          <w:tcPr>
            <w:tcW w:type="dxa" w:w="1656"/>
          </w:tcPr>
          <w:p>
            <w:r>
              <w:t>DECL</w:t>
            </w:r>
          </w:p>
        </w:tc>
        <w:tc>
          <w:tcPr>
            <w:tcW w:type="dxa" w:w="1656"/>
          </w:tcPr>
          <w:p>
            <w:r>
              <w:t>Exchange Client Master (PAN Link)</w:t>
            </w:r>
          </w:p>
        </w:tc>
        <w:tc>
          <w:tcPr>
            <w:tcW w:type="dxa" w:w="1656"/>
          </w:tcPr>
          <w:p>
            <w:r>
              <w:t>128</w:t>
            </w:r>
          </w:p>
        </w:tc>
        <w:tc>
          <w:tcPr>
            <w:tcW w:type="dxa" w:w="1656"/>
          </w:tcPr>
          <w:p>
            <w:r>
              <w:t>14</w:t>
            </w:r>
          </w:p>
        </w:tc>
        <w:tc>
          <w:tcPr>
            <w:tcW w:type="dxa" w:w="1656"/>
          </w:tcPr>
          <w:p>
            <w:r>
              <w:t>Active &amp; Suspended Client Accounts</w:t>
            </w:r>
          </w:p>
        </w:tc>
      </w:tr>
      <w:tr>
        <w:tc>
          <w:tcPr>
            <w:tcW w:type="dxa" w:w="1656"/>
          </w:tcPr>
          <w:p>
            <w:r>
              <w:t>DIM_DEP_CLNT_DTLS</w:t>
            </w:r>
          </w:p>
        </w:tc>
        <w:tc>
          <w:tcPr>
            <w:tcW w:type="dxa" w:w="1656"/>
          </w:tcPr>
          <w:p>
            <w:r>
              <w:t>DDCL</w:t>
            </w:r>
          </w:p>
        </w:tc>
        <w:tc>
          <w:tcPr>
            <w:tcW w:type="dxa" w:w="1656"/>
          </w:tcPr>
          <w:p>
            <w:r>
              <w:t>Depository Client Master (Demat)</w:t>
            </w:r>
          </w:p>
        </w:tc>
        <w:tc>
          <w:tcPr>
            <w:tcW w:type="dxa" w:w="1656"/>
          </w:tcPr>
          <w:p>
            <w:r>
              <w:t>63</w:t>
            </w:r>
          </w:p>
        </w:tc>
        <w:tc>
          <w:tcPr>
            <w:tcW w:type="dxa" w:w="1656"/>
          </w:tcPr>
          <w:p>
            <w:r>
              <w:t>8</w:t>
            </w:r>
          </w:p>
        </w:tc>
        <w:tc>
          <w:tcPr>
            <w:tcW w:type="dxa" w:w="1656"/>
          </w:tcPr>
          <w:p>
            <w:r>
              <w:t>NSDL / CDSL Demat Beneficiary Accounts</w:t>
            </w:r>
          </w:p>
        </w:tc>
      </w:tr>
      <w:tr>
        <w:tc>
          <w:tcPr>
            <w:tcW w:type="dxa" w:w="1656"/>
          </w:tcPr>
          <w:p>
            <w:r>
              <w:t>FACT_MSTR_SHAREHLDG</w:t>
            </w:r>
          </w:p>
        </w:tc>
        <w:tc>
          <w:tcPr>
            <w:tcW w:type="dxa" w:w="1656"/>
          </w:tcPr>
          <w:p>
            <w:r>
              <w:t>FMSH</w:t>
            </w:r>
          </w:p>
        </w:tc>
        <w:tc>
          <w:tcPr>
            <w:tcW w:type="dxa" w:w="1656"/>
          </w:tcPr>
          <w:p>
            <w:r>
              <w:t>Shareholding Master Record</w:t>
            </w:r>
          </w:p>
        </w:tc>
        <w:tc>
          <w:tcPr>
            <w:tcW w:type="dxa" w:w="1656"/>
          </w:tcPr>
          <w:p>
            <w:r>
              <w:t>37</w:t>
            </w:r>
          </w:p>
        </w:tc>
        <w:tc>
          <w:tcPr>
            <w:tcW w:type="dxa" w:w="1656"/>
          </w:tcPr>
          <w:p>
            <w:r>
              <w:t>12</w:t>
            </w:r>
          </w:p>
        </w:tc>
        <w:tc>
          <w:tcPr>
            <w:tcW w:type="dxa" w:w="1656"/>
          </w:tcPr>
          <w:p>
            <w:r>
              <w:t>Last 4 Quarters (Q1–Q4)</w:t>
            </w:r>
          </w:p>
        </w:tc>
      </w:tr>
      <w:tr>
        <w:tc>
          <w:tcPr>
            <w:tcW w:type="dxa" w:w="1656"/>
          </w:tcPr>
          <w:p>
            <w:r>
              <w:t>FACT_MAIN_SHLDNG</w:t>
            </w:r>
          </w:p>
        </w:tc>
        <w:tc>
          <w:tcPr>
            <w:tcW w:type="dxa" w:w="1656"/>
          </w:tcPr>
          <w:p>
            <w:r>
              <w:t>FSHG</w:t>
            </w:r>
          </w:p>
        </w:tc>
        <w:tc>
          <w:tcPr>
            <w:tcW w:type="dxa" w:w="1656"/>
          </w:tcPr>
          <w:p>
            <w:r>
              <w:t>Main Shareholding Distribution</w:t>
            </w:r>
          </w:p>
        </w:tc>
        <w:tc>
          <w:tcPr>
            <w:tcW w:type="dxa" w:w="1656"/>
          </w:tcPr>
          <w:p>
            <w:r>
              <w:t>30</w:t>
            </w:r>
          </w:p>
        </w:tc>
        <w:tc>
          <w:tcPr>
            <w:tcW w:type="dxa" w:w="1656"/>
          </w:tcPr>
          <w:p>
            <w:r>
              <w:t>16</w:t>
            </w:r>
          </w:p>
        </w:tc>
        <w:tc>
          <w:tcPr>
            <w:tcW w:type="dxa" w:w="1656"/>
          </w:tcPr>
          <w:p>
            <w:r>
              <w:t>Promoter Float % vs Public Float %</w:t>
            </w:r>
          </w:p>
        </w:tc>
      </w:tr>
      <w:tr>
        <w:tc>
          <w:tcPr>
            <w:tcW w:type="dxa" w:w="1656"/>
          </w:tcPr>
          <w:p>
            <w:r>
              <w:t>FACT_PROM_SHLDR_DTLS</w:t>
            </w:r>
          </w:p>
        </w:tc>
        <w:tc>
          <w:tcPr>
            <w:tcW w:type="dxa" w:w="1656"/>
          </w:tcPr>
          <w:p>
            <w:r>
              <w:t>FPRH</w:t>
            </w:r>
          </w:p>
        </w:tc>
        <w:tc>
          <w:tcPr>
            <w:tcW w:type="dxa" w:w="1656"/>
          </w:tcPr>
          <w:p>
            <w:r>
              <w:t>Promoter Shareholder Details</w:t>
            </w:r>
          </w:p>
        </w:tc>
        <w:tc>
          <w:tcPr>
            <w:tcW w:type="dxa" w:w="1656"/>
          </w:tcPr>
          <w:p>
            <w:r>
              <w:t>22</w:t>
            </w:r>
          </w:p>
        </w:tc>
        <w:tc>
          <w:tcPr>
            <w:tcW w:type="dxa" w:w="1656"/>
          </w:tcPr>
          <w:p>
            <w:r>
              <w:t>10</w:t>
            </w:r>
          </w:p>
        </w:tc>
        <w:tc>
          <w:tcPr>
            <w:tcW w:type="dxa" w:w="1656"/>
          </w:tcPr>
          <w:p>
            <w:r>
              <w:t>Promoter Entity Names &amp; Share Pct</w:t>
            </w:r>
          </w:p>
        </w:tc>
      </w:tr>
      <w:tr>
        <w:tc>
          <w:tcPr>
            <w:tcW w:type="dxa" w:w="1656"/>
          </w:tcPr>
          <w:p>
            <w:r>
              <w:t>FACT_PUB_SHLDR_DTLS</w:t>
            </w:r>
          </w:p>
        </w:tc>
        <w:tc>
          <w:tcPr>
            <w:tcW w:type="dxa" w:w="1656"/>
          </w:tcPr>
          <w:p>
            <w:r>
              <w:t>FPUH</w:t>
            </w:r>
          </w:p>
        </w:tc>
        <w:tc>
          <w:tcPr>
            <w:tcW w:type="dxa" w:w="1656"/>
          </w:tcPr>
          <w:p>
            <w:r>
              <w:t>Public Shareholder Details</w:t>
            </w:r>
          </w:p>
        </w:tc>
        <w:tc>
          <w:tcPr>
            <w:tcW w:type="dxa" w:w="1656"/>
          </w:tcPr>
          <w:p>
            <w:r>
              <w:t>19</w:t>
            </w:r>
          </w:p>
        </w:tc>
        <w:tc>
          <w:tcPr>
            <w:tcW w:type="dxa" w:w="1656"/>
          </w:tcPr>
          <w:p>
            <w:r>
              <w:t>8</w:t>
            </w:r>
          </w:p>
        </w:tc>
        <w:tc>
          <w:tcPr>
            <w:tcW w:type="dxa" w:w="1656"/>
          </w:tcPr>
          <w:p>
            <w:r>
              <w:t>Public Institutional Holdings</w:t>
            </w:r>
          </w:p>
        </w:tc>
      </w:tr>
      <w:tr>
        <w:tc>
          <w:tcPr>
            <w:tcW w:type="dxa" w:w="1656"/>
          </w:tcPr>
          <w:p>
            <w:r>
              <w:t>FACT_DVR_SHLDNG</w:t>
            </w:r>
          </w:p>
        </w:tc>
        <w:tc>
          <w:tcPr>
            <w:tcW w:type="dxa" w:w="1656"/>
          </w:tcPr>
          <w:p>
            <w:r>
              <w:t>FDVR</w:t>
            </w:r>
          </w:p>
        </w:tc>
        <w:tc>
          <w:tcPr>
            <w:tcW w:type="dxa" w:w="1656"/>
          </w:tcPr>
          <w:p>
            <w:r>
              <w:t>Differential Voting Rights</w:t>
            </w:r>
          </w:p>
        </w:tc>
        <w:tc>
          <w:tcPr>
            <w:tcW w:type="dxa" w:w="1656"/>
          </w:tcPr>
          <w:p>
            <w:r>
              <w:t>25</w:t>
            </w:r>
          </w:p>
        </w:tc>
        <w:tc>
          <w:tcPr>
            <w:tcW w:type="dxa" w:w="1656"/>
          </w:tcPr>
          <w:p>
            <w:r>
              <w:t>5</w:t>
            </w:r>
          </w:p>
        </w:tc>
        <w:tc>
          <w:tcPr>
            <w:tcW w:type="dxa" w:w="1656"/>
          </w:tcPr>
          <w:p>
            <w:r>
              <w:t>DVR Shareholding Records</w:t>
            </w:r>
          </w:p>
        </w:tc>
      </w:tr>
      <w:tr>
        <w:tc>
          <w:tcPr>
            <w:tcW w:type="dxa" w:w="1656"/>
          </w:tcPr>
          <w:p>
            <w:r>
              <w:t>FACT_DR_HOLDING</w:t>
            </w:r>
          </w:p>
        </w:tc>
        <w:tc>
          <w:tcPr>
            <w:tcW w:type="dxa" w:w="1656"/>
          </w:tcPr>
          <w:p>
            <w:r>
              <w:t>FDRH</w:t>
            </w:r>
          </w:p>
        </w:tc>
        <w:tc>
          <w:tcPr>
            <w:tcW w:type="dxa" w:w="1656"/>
          </w:tcPr>
          <w:p>
            <w:r>
              <w:t>Depository Receipts (ADR/GDR)</w:t>
            </w:r>
          </w:p>
        </w:tc>
        <w:tc>
          <w:tcPr>
            <w:tcW w:type="dxa" w:w="1656"/>
          </w:tcPr>
          <w:p>
            <w:r>
              <w:t>19</w:t>
            </w:r>
          </w:p>
        </w:tc>
        <w:tc>
          <w:tcPr>
            <w:tcW w:type="dxa" w:w="1656"/>
          </w:tcPr>
          <w:p>
            <w:r>
              <w:t>4</w:t>
            </w:r>
          </w:p>
        </w:tc>
        <w:tc>
          <w:tcPr>
            <w:tcW w:type="dxa" w:w="1656"/>
          </w:tcPr>
          <w:p>
            <w:r>
              <w:t>Foreign Depository Receipts</w:t>
            </w:r>
          </w:p>
        </w:tc>
      </w:tr>
      <w:tr>
        <w:tc>
          <w:tcPr>
            <w:tcW w:type="dxa" w:w="1656"/>
          </w:tcPr>
          <w:p>
            <w:r>
              <w:t>FACT_LKDIN_SHLDNG</w:t>
            </w:r>
          </w:p>
        </w:tc>
        <w:tc>
          <w:tcPr>
            <w:tcW w:type="dxa" w:w="1656"/>
          </w:tcPr>
          <w:p>
            <w:r>
              <w:t>FLKD</w:t>
            </w:r>
          </w:p>
        </w:tc>
        <w:tc>
          <w:tcPr>
            <w:tcW w:type="dxa" w:w="1656"/>
          </w:tcPr>
          <w:p>
            <w:r>
              <w:t>Locked-In Shareholding</w:t>
            </w:r>
          </w:p>
        </w:tc>
        <w:tc>
          <w:tcPr>
            <w:tcW w:type="dxa" w:w="1656"/>
          </w:tcPr>
          <w:p>
            <w:r>
              <w:t>17</w:t>
            </w:r>
          </w:p>
        </w:tc>
        <w:tc>
          <w:tcPr>
            <w:tcW w:type="dxa" w:w="1656"/>
          </w:tcPr>
          <w:p>
            <w:r>
              <w:t>4</w:t>
            </w:r>
          </w:p>
        </w:tc>
        <w:tc>
          <w:tcPr>
            <w:tcW w:type="dxa" w:w="1656"/>
          </w:tcPr>
          <w:p>
            <w:r>
              <w:t>Lock-In Promoter/Public Shares</w:t>
            </w:r>
          </w:p>
        </w:tc>
      </w:tr>
      <w:tr>
        <w:tc>
          <w:tcPr>
            <w:tcW w:type="dxa" w:w="1656"/>
          </w:tcPr>
          <w:p>
            <w:r>
              <w:t>FACT_CMP_EXCH_SHLDNG</w:t>
            </w:r>
          </w:p>
        </w:tc>
        <w:tc>
          <w:tcPr>
            <w:tcW w:type="dxa" w:w="1656"/>
          </w:tcPr>
          <w:p>
            <w:r>
              <w:t>FCES</w:t>
            </w:r>
          </w:p>
        </w:tc>
        <w:tc>
          <w:tcPr>
            <w:tcW w:type="dxa" w:w="1656"/>
          </w:tcPr>
          <w:p>
            <w:r>
              <w:t>Company Exchange Index</w:t>
            </w:r>
          </w:p>
        </w:tc>
        <w:tc>
          <w:tcPr>
            <w:tcW w:type="dxa" w:w="1656"/>
          </w:tcPr>
          <w:p>
            <w:r>
              <w:t>5</w:t>
            </w:r>
          </w:p>
        </w:tc>
        <w:tc>
          <w:tcPr>
            <w:tcW w:type="dxa" w:w="1656"/>
          </w:tcPr>
          <w:p>
            <w:r>
              <w:t>3</w:t>
            </w:r>
          </w:p>
        </w:tc>
        <w:tc>
          <w:tcPr>
            <w:tcW w:type="dxa" w:w="1656"/>
          </w:tcPr>
          <w:p>
            <w:r>
              <w:t>Exchange Shareholding Index</w:t>
            </w:r>
          </w:p>
        </w:tc>
      </w:tr>
      <w:tr>
        <w:tc>
          <w:tcPr>
            <w:tcW w:type="dxa" w:w="1656"/>
          </w:tcPr>
          <w:p>
            <w:r>
              <w:t>FACT_CORP_ACTIONS</w:t>
            </w:r>
          </w:p>
        </w:tc>
        <w:tc>
          <w:tcPr>
            <w:tcW w:type="dxa" w:w="1656"/>
          </w:tcPr>
          <w:p>
            <w:r>
              <w:t>FCAC</w:t>
            </w:r>
          </w:p>
        </w:tc>
        <w:tc>
          <w:tcPr>
            <w:tcW w:type="dxa" w:w="1656"/>
          </w:tcPr>
          <w:p>
            <w:r>
              <w:t>Corporate Actions &amp; Disclosures</w:t>
            </w:r>
          </w:p>
        </w:tc>
        <w:tc>
          <w:tcPr>
            <w:tcW w:type="dxa" w:w="1656"/>
          </w:tcPr>
          <w:p>
            <w:r>
              <w:t>49</w:t>
            </w:r>
          </w:p>
        </w:tc>
        <w:tc>
          <w:tcPr>
            <w:tcW w:type="dxa" w:w="1656"/>
          </w:tcPr>
          <w:p>
            <w:r>
              <w:t>15</w:t>
            </w:r>
          </w:p>
        </w:tc>
        <w:tc>
          <w:tcPr>
            <w:tcW w:type="dxa" w:w="1656"/>
          </w:tcPr>
          <w:p>
            <w:r>
              <w:t>Bonus, Dividend, Stock Split Disclosures</w:t>
            </w:r>
          </w:p>
        </w:tc>
      </w:tr>
      <w:tr>
        <w:tc>
          <w:tcPr>
            <w:tcW w:type="dxa" w:w="1656"/>
          </w:tcPr>
          <w:p>
            <w:r>
              <w:t>FACT_CA_DIL_FCTR</w:t>
            </w:r>
          </w:p>
        </w:tc>
        <w:tc>
          <w:tcPr>
            <w:tcW w:type="dxa" w:w="1656"/>
          </w:tcPr>
          <w:p>
            <w:r>
              <w:t>FCDF</w:t>
            </w:r>
          </w:p>
        </w:tc>
        <w:tc>
          <w:tcPr>
            <w:tcW w:type="dxa" w:w="1656"/>
          </w:tcPr>
          <w:p>
            <w:r>
              <w:t>Corporate Action Dilution Factor</w:t>
            </w:r>
          </w:p>
        </w:tc>
        <w:tc>
          <w:tcPr>
            <w:tcW w:type="dxa" w:w="1656"/>
          </w:tcPr>
          <w:p>
            <w:r>
              <w:t>13</w:t>
            </w:r>
          </w:p>
        </w:tc>
        <w:tc>
          <w:tcPr>
            <w:tcW w:type="dxa" w:w="1656"/>
          </w:tcPr>
          <w:p>
            <w:r>
              <w:t>7</w:t>
            </w:r>
          </w:p>
        </w:tc>
        <w:tc>
          <w:tcPr>
            <w:tcW w:type="dxa" w:w="1656"/>
          </w:tcPr>
          <w:p>
            <w:r>
              <w:t>Price Adjustment Factor (e.g. 0.50)</w:t>
            </w:r>
          </w:p>
        </w:tc>
      </w:tr>
      <w:tr>
        <w:tc>
          <w:tcPr>
            <w:tcW w:type="dxa" w:w="1656"/>
          </w:tcPr>
          <w:p>
            <w:r>
              <w:t>FORENSIC_CASES</w:t>
            </w:r>
          </w:p>
        </w:tc>
        <w:tc>
          <w:tcPr>
            <w:tcW w:type="dxa" w:w="1656"/>
          </w:tcPr>
          <w:p>
            <w:r>
              <w:t>CASES</w:t>
            </w:r>
          </w:p>
        </w:tc>
        <w:tc>
          <w:tcPr>
            <w:tcW w:type="dxa" w:w="1656"/>
          </w:tcPr>
          <w:p>
            <w:r>
              <w:t>Forensic Case Dossier Persistence</w:t>
            </w:r>
          </w:p>
        </w:tc>
        <w:tc>
          <w:tcPr>
            <w:tcW w:type="dxa" w:w="1656"/>
          </w:tcPr>
          <w:p>
            <w:r>
              <w:t>13</w:t>
            </w:r>
          </w:p>
        </w:tc>
        <w:tc>
          <w:tcPr>
            <w:tcW w:type="dxa" w:w="1656"/>
          </w:tcPr>
          <w:p>
            <w:r>
              <w:t>13</w:t>
            </w:r>
          </w:p>
        </w:tc>
        <w:tc>
          <w:tcPr>
            <w:tcW w:type="dxa" w:w="1656"/>
          </w:tcPr>
          <w:p>
            <w:r>
              <w:t>Regulatory Dossiers &amp; Evidence Pinning</w:t>
            </w:r>
          </w:p>
        </w:tc>
      </w:tr>
      <w:tr>
        <w:tc>
          <w:tcPr>
            <w:tcW w:type="dxa" w:w="1656"/>
          </w:tcPr>
          <w:p>
            <w:r>
              <w:t>SYS_USERS</w:t>
            </w:r>
          </w:p>
        </w:tc>
        <w:tc>
          <w:tcPr>
            <w:tcW w:type="dxa" w:w="1656"/>
          </w:tcPr>
          <w:p>
            <w:r>
              <w:t>USERS</w:t>
            </w:r>
          </w:p>
        </w:tc>
        <w:tc>
          <w:tcPr>
            <w:tcW w:type="dxa" w:w="1656"/>
          </w:tcPr>
          <w:p>
            <w:r>
              <w:t>Security User Management</w:t>
            </w:r>
          </w:p>
        </w:tc>
        <w:tc>
          <w:tcPr>
            <w:tcW w:type="dxa" w:w="1656"/>
          </w:tcPr>
          <w:p>
            <w:r>
              <w:t>9</w:t>
            </w:r>
          </w:p>
        </w:tc>
        <w:tc>
          <w:tcPr>
            <w:tcW w:type="dxa" w:w="1656"/>
          </w:tcPr>
          <w:p>
            <w:r>
              <w:t>9</w:t>
            </w:r>
          </w:p>
        </w:tc>
        <w:tc>
          <w:tcPr>
            <w:tcW w:type="dxa" w:w="1656"/>
          </w:tcPr>
          <w:p>
            <w:r>
              <w:t>SHA-256 Auth &amp; RBAC User Roles</w:t>
            </w:r>
          </w:p>
        </w:tc>
      </w:tr>
      <w:tr>
        <w:tc>
          <w:tcPr>
            <w:tcW w:type="dxa" w:w="1656"/>
          </w:tcPr>
          <w:p>
            <w:r>
              <w:t>SYS_AUDIT_LOGS</w:t>
            </w:r>
          </w:p>
        </w:tc>
        <w:tc>
          <w:tcPr>
            <w:tcW w:type="dxa" w:w="1656"/>
          </w:tcPr>
          <w:p>
            <w:r>
              <w:t>LOGS</w:t>
            </w:r>
          </w:p>
        </w:tc>
        <w:tc>
          <w:tcPr>
            <w:tcW w:type="dxa" w:w="1656"/>
          </w:tcPr>
          <w:p>
            <w:r>
              <w:t>Security Audit Trail Logs</w:t>
            </w:r>
          </w:p>
        </w:tc>
        <w:tc>
          <w:tcPr>
            <w:tcW w:type="dxa" w:w="1656"/>
          </w:tcPr>
          <w:p>
            <w:r>
              <w:t>7</w:t>
            </w:r>
          </w:p>
        </w:tc>
        <w:tc>
          <w:tcPr>
            <w:tcW w:type="dxa" w:w="1656"/>
          </w:tcPr>
          <w:p>
            <w:r>
              <w:t>7</w:t>
            </w:r>
          </w:p>
        </w:tc>
        <w:tc>
          <w:tcPr>
            <w:tcW w:type="dxa" w:w="1656"/>
          </w:tcPr>
          <w:p>
            <w:r>
              <w:t>Immutable Action &amp; Access Logs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