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FB330" w14:textId="77777777" w:rsidR="009806BB" w:rsidRDefault="009806BB" w:rsidP="009806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1180" w:type="dxa"/>
        <w:tblLayout w:type="fixed"/>
        <w:tblLook w:val="0000" w:firstRow="0" w:lastRow="0" w:firstColumn="0" w:lastColumn="0" w:noHBand="0" w:noVBand="0"/>
      </w:tblPr>
      <w:tblGrid>
        <w:gridCol w:w="1464"/>
        <w:gridCol w:w="9716"/>
      </w:tblGrid>
      <w:tr w:rsidR="009806BB" w14:paraId="50ABFF09" w14:textId="77777777" w:rsidTr="00CD5E9E">
        <w:trPr>
          <w:trHeight w:val="1199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084A07B7" w14:textId="77777777" w:rsidR="009806BB" w:rsidRDefault="009806BB" w:rsidP="00CD5E9E">
            <w:pPr>
              <w:spacing w:before="15" w:after="32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77187937" wp14:editId="798EC89B">
                  <wp:extent cx="929640" cy="731520"/>
                  <wp:effectExtent l="0" t="0" r="0" b="0"/>
                  <wp:docPr id="727838793" name="image3.jpg" descr="A green and white logo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838793" name="image3.jpg" descr="A green and white logo&#10;&#10;AI-generated content may be incorrect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6B1B4" w14:textId="56FBF084" w:rsidR="009806BB" w:rsidRDefault="009806BB" w:rsidP="00CD5E9E">
            <w:pPr>
              <w:spacing w:before="301" w:after="209" w:line="230" w:lineRule="auto"/>
              <w:ind w:left="720" w:right="1554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Bristol County Savings Bank</w:t>
            </w:r>
            <w: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Commitment. Stability. Community.</w:t>
            </w:r>
            <w: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Business Intelligence &amp; Data Analytics</w:t>
            </w:r>
            <w:r>
              <w:br/>
            </w:r>
          </w:p>
        </w:tc>
      </w:tr>
    </w:tbl>
    <w:p w14:paraId="7163E265" w14:textId="77777777" w:rsidR="009806BB" w:rsidRDefault="009806BB" w:rsidP="009806BB">
      <w:pPr>
        <w:spacing w:after="0" w:line="342" w:lineRule="auto"/>
        <w:rPr>
          <w:rFonts w:ascii="Times New Roman" w:eastAsia="Times New Roman" w:hAnsi="Times New Roman" w:cs="Times New Roman"/>
          <w:b/>
          <w:color w:val="026344"/>
          <w:sz w:val="23"/>
          <w:szCs w:val="23"/>
        </w:rPr>
      </w:pPr>
    </w:p>
    <w:p w14:paraId="1FF12CA3" w14:textId="77777777" w:rsidR="009806BB" w:rsidRPr="00170726" w:rsidRDefault="009806BB" w:rsidP="009806BB">
      <w:pPr>
        <w:spacing w:after="0" w:line="342" w:lineRule="auto"/>
        <w:rPr>
          <w:rFonts w:ascii="Times New Roman" w:eastAsia="Times New Roman" w:hAnsi="Times New Roman" w:cs="Times New Roman"/>
          <w:b/>
          <w:color w:val="026344"/>
          <w:sz w:val="36"/>
          <w:szCs w:val="36"/>
        </w:rPr>
      </w:pPr>
      <w:bookmarkStart w:id="0" w:name="_heading=h.cx8kjn85klvi" w:colFirst="0" w:colLast="0"/>
      <w:bookmarkEnd w:id="0"/>
      <w:r w:rsidRPr="00170726">
        <w:rPr>
          <w:rFonts w:ascii="Times New Roman" w:eastAsia="Times New Roman" w:hAnsi="Times New Roman" w:cs="Times New Roman"/>
          <w:b/>
          <w:color w:val="026344"/>
          <w:sz w:val="36"/>
          <w:szCs w:val="36"/>
        </w:rPr>
        <w:t>BCSB – Data &amp; Analytics Query Execution Procedure</w:t>
      </w:r>
    </w:p>
    <w:p w14:paraId="024A2B15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Departmental Guide for Responding to Business Line Reporting Requests</w:t>
      </w:r>
    </w:p>
    <w:p w14:paraId="72636B24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pict w14:anchorId="7BFC6D6E">
          <v:rect id="_x0000_i1025" style="width:0;height:1.5pt" o:hralign="center" o:hrstd="t" o:hrnoshade="t" o:hr="t" fillcolor="black" stroked="f"/>
        </w:pict>
      </w:r>
    </w:p>
    <w:p w14:paraId="6B122BDB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Purpose</w:t>
      </w:r>
    </w:p>
    <w:p w14:paraId="332950FE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To define a standardized, secure, and auditable process for executing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relational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database queries in response to business line reporting requests. This ensures consistent procedures are followed across all tools and platforms, while maintaining compliance with internal controls and regulatory standards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.</w:t>
      </w:r>
    </w:p>
    <w:p w14:paraId="5314F16C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1. Tool Selection and Access Requirements</w:t>
      </w:r>
    </w:p>
    <w:p w14:paraId="657E8B35" w14:textId="77777777" w:rsidR="009806BB" w:rsidRPr="00170726" w:rsidRDefault="009806BB" w:rsidP="009806BB">
      <w:pPr>
        <w:spacing w:before="150" w:after="15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The Data &amp; Analytics team may fulfill requests using one of the following approved query execution methods:</w:t>
      </w:r>
    </w:p>
    <w:p w14:paraId="42AF5B54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A. Alteryx (Input Data Tool)</w:t>
      </w:r>
    </w:p>
    <w:p w14:paraId="5C4F6EA5" w14:textId="77777777" w:rsidR="009806BB" w:rsidRPr="00170726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Launch Alteryx Designer.</w:t>
      </w:r>
    </w:p>
    <w:p w14:paraId="6E549491" w14:textId="77777777" w:rsidR="009806BB" w:rsidRPr="00170726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Drag the “Input Data” tool onto the canvas.</w:t>
      </w:r>
    </w:p>
    <w:p w14:paraId="3DD47CB5" w14:textId="77777777" w:rsidR="009806BB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Navigate to ‘Connect a File or Database’ &amp; click the down arrow to open the dropdown.</w:t>
      </w:r>
    </w:p>
    <w:p w14:paraId="1BC0F350" w14:textId="77777777" w:rsidR="009806BB" w:rsidRDefault="009806BB" w:rsidP="009806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elect the appropriate Oracle database connection using the predefined connection string provided by IST.</w:t>
      </w:r>
    </w:p>
    <w:p w14:paraId="54430972" w14:textId="77777777" w:rsidR="009806BB" w:rsidRPr="003E5DB6" w:rsidRDefault="009806BB" w:rsidP="009806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Validate that the connection uses the approved driver and credential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configured by IST.</w:t>
      </w:r>
    </w:p>
    <w:p w14:paraId="2ACE3BE6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3E5DB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271F71" wp14:editId="04EE14D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819775" cy="2370455"/>
            <wp:effectExtent l="0" t="0" r="9525" b="0"/>
            <wp:wrapSquare wrapText="bothSides"/>
            <wp:docPr id="204272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46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618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5FDCC1C1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3301FD8E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6E68EE66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4A8EB9A3" w14:textId="77777777" w:rsidR="009806BB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60748259" w14:textId="77777777" w:rsidR="009806BB" w:rsidRPr="00170726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70B96BE4" w14:textId="77777777" w:rsidR="009806BB" w:rsidRPr="00170726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Enter the SQL query directly into the tool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or use the Visual Query Builder. </w:t>
      </w:r>
    </w:p>
    <w:p w14:paraId="146D08AF" w14:textId="77777777" w:rsidR="009806BB" w:rsidRPr="00170726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Test query for accuracy and performance before 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continuing with the data pipeline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.</w:t>
      </w:r>
    </w:p>
    <w:p w14:paraId="35F2E8FB" w14:textId="77777777" w:rsidR="009806BB" w:rsidRDefault="009806BB" w:rsidP="00980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lastRenderedPageBreak/>
        <w:t>Save workflows to the secure shared repository with appropriate naming and version control.</w:t>
      </w:r>
    </w:p>
    <w:p w14:paraId="42E0C2FE" w14:textId="77777777" w:rsidR="009806BB" w:rsidRPr="00170726" w:rsidRDefault="009806BB" w:rsidP="00980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43A573FF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B. Python (with Encrypted Credential Management)</w:t>
      </w:r>
    </w:p>
    <w:p w14:paraId="3D5FE2CA" w14:textId="77777777" w:rsidR="009806BB" w:rsidRPr="00170726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Open the designated Python script or notebook template.</w:t>
      </w:r>
    </w:p>
    <w:p w14:paraId="228C4177" w14:textId="77777777" w:rsidR="009806BB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Load the Oracle database connection string, which references credentials stored in an encrypted .env file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(never hardcoding credentials)</w:t>
      </w:r>
    </w:p>
    <w:p w14:paraId="79B84326" w14:textId="77777777" w:rsidR="009806BB" w:rsidRPr="00170726" w:rsidRDefault="009806BB" w:rsidP="00980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90266D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A117A6" wp14:editId="0B151BF7">
            <wp:simplePos x="0" y="0"/>
            <wp:positionH relativeFrom="margin">
              <wp:posOffset>285750</wp:posOffset>
            </wp:positionH>
            <wp:positionV relativeFrom="paragraph">
              <wp:posOffset>7620</wp:posOffset>
            </wp:positionV>
            <wp:extent cx="6096000" cy="481330"/>
            <wp:effectExtent l="0" t="0" r="0" b="0"/>
            <wp:wrapSquare wrapText="bothSides"/>
            <wp:docPr id="172661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89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50F9A" w14:textId="77777777" w:rsidR="009806BB" w:rsidRDefault="009806BB" w:rsidP="00980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50645818" w14:textId="77777777" w:rsidR="009806BB" w:rsidRPr="00435347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The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 .env file remains encrypted at rest and is decrypted at runtime only.</w:t>
      </w:r>
    </w:p>
    <w:p w14:paraId="34945FB2" w14:textId="77777777" w:rsidR="009806BB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Establish a connection to the Oracle database using the connection string</w:t>
      </w:r>
    </w:p>
    <w:p w14:paraId="3B27F460" w14:textId="77777777" w:rsidR="009806BB" w:rsidRPr="00170726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Write and execute SQL queries as needed to fulfill the business request.</w:t>
      </w:r>
    </w:p>
    <w:p w14:paraId="06D6D002" w14:textId="77777777" w:rsidR="009806BB" w:rsidRPr="00170726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Ensure that all access to the database is logged appropriately, including query context, execution time, and user.</w:t>
      </w:r>
    </w:p>
    <w:p w14:paraId="79F69AFD" w14:textId="5D32584C" w:rsidR="009806BB" w:rsidRPr="00170726" w:rsidRDefault="009806BB" w:rsidP="00980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Store all scripts and output files in secure locations</w:t>
      </w:r>
      <w:r w:rsidR="00C73B08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.</w:t>
      </w:r>
    </w:p>
    <w:p w14:paraId="04A4D9F2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C. Power BI (Direct Database Connection)</w:t>
      </w:r>
    </w:p>
    <w:p w14:paraId="4349BA1C" w14:textId="77777777" w:rsidR="009806BB" w:rsidRPr="00170726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Open Power BI Desktop.</w:t>
      </w:r>
    </w:p>
    <w:p w14:paraId="7E75898D" w14:textId="77777777" w:rsidR="009806BB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3E5DB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E9258" wp14:editId="4CA11BF9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429375" cy="1427480"/>
            <wp:effectExtent l="0" t="0" r="9525" b="1270"/>
            <wp:wrapSquare wrapText="bothSides"/>
            <wp:docPr id="779215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542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Select “Get Data” → “SQL Server.”</w:t>
      </w:r>
    </w:p>
    <w:p w14:paraId="7E2AEE10" w14:textId="77777777" w:rsidR="009806BB" w:rsidRPr="00170726" w:rsidRDefault="009806BB" w:rsidP="00980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4FFBE827" w14:textId="77777777" w:rsidR="009806BB" w:rsidRPr="00170726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Enter the server and database names, and authenticate using credentials supplied by IST.</w:t>
      </w:r>
    </w:p>
    <w:p w14:paraId="0E060241" w14:textId="77777777" w:rsidR="009806BB" w:rsidRPr="00170726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Use either DirectQuery or Import mode, as appropriate to the request.</w:t>
      </w:r>
    </w:p>
    <w:p w14:paraId="1791222D" w14:textId="77777777" w:rsidR="009806BB" w:rsidRPr="00170726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Ensure any transformations or query modifications are documented in the Query Editor.</w:t>
      </w:r>
    </w:p>
    <w:p w14:paraId="35D8D26B" w14:textId="77777777" w:rsidR="009806BB" w:rsidRPr="00170726" w:rsidRDefault="009806BB" w:rsidP="00980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Save Power BI files to the secure workspace and notify relevant stakeholders when the report is ready.</w:t>
      </w:r>
    </w:p>
    <w:p w14:paraId="5A0D23F1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pict w14:anchorId="1DFF1C22">
          <v:rect id="_x0000_i1026" style="width:0;height:1.5pt" o:hralign="center" o:hrstd="t" o:hrnoshade="t" o:hr="t" fillcolor="black" stroked="f"/>
        </w:pict>
      </w:r>
    </w:p>
    <w:p w14:paraId="4528C2EC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2. Data Security and Compliance Controls</w:t>
      </w:r>
    </w:p>
    <w:p w14:paraId="47CAA091" w14:textId="77777777" w:rsidR="009806BB" w:rsidRPr="00170726" w:rsidRDefault="009806BB" w:rsidP="00980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Credential Handling: Only use credentials provisioned by IST. Credentials must never be hardcoded or shared externally.</w:t>
      </w:r>
    </w:p>
    <w:p w14:paraId="437EA36E" w14:textId="77777777" w:rsidR="009806BB" w:rsidRPr="00170726" w:rsidRDefault="009806BB" w:rsidP="00980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Data Minimization: Retrieve only the data necessary to fulfill the request.</w:t>
      </w:r>
    </w:p>
    <w:p w14:paraId="6B5B6D71" w14:textId="258AC031" w:rsidR="009806BB" w:rsidRPr="00170726" w:rsidRDefault="009806BB" w:rsidP="002D1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Storage: Store outputs in approved directories with appropriate access controls. Sensitive data must be encrypted at rest.</w:t>
      </w:r>
    </w:p>
    <w:p w14:paraId="2D827406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lastRenderedPageBreak/>
        <w:pict w14:anchorId="5EE711E7">
          <v:rect id="_x0000_i1027" style="width:0;height:1.5pt" o:hralign="center" o:hrstd="t" o:hrnoshade="t" o:hr="t" fillcolor="black" stroked="f"/>
        </w:pict>
      </w:r>
    </w:p>
    <w:p w14:paraId="00A9DA48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3. Review and Validation</w:t>
      </w:r>
    </w:p>
    <w:p w14:paraId="0F27B64E" w14:textId="77777777" w:rsidR="009806BB" w:rsidRPr="00170726" w:rsidRDefault="009806BB" w:rsidP="00980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Before delivering any dataset or report, the output must be reviewed for completeness and 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accuracy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.</w:t>
      </w:r>
    </w:p>
    <w:p w14:paraId="01898005" w14:textId="77777777" w:rsidR="009806BB" w:rsidRPr="00170726" w:rsidRDefault="009806BB" w:rsidP="00980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Confirm that data pipeline logic is traceable and reproducible.</w:t>
      </w:r>
    </w:p>
    <w:p w14:paraId="1300E8D8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pict w14:anchorId="61A6A4AE">
          <v:rect id="_x0000_i1028" style="width:0;height:1.5pt" o:hralign="center" o:hrstd="t" o:hrnoshade="t" o:hr="t" fillcolor="black" stroked="f"/>
        </w:pict>
      </w:r>
    </w:p>
    <w:p w14:paraId="24F157F6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4. Delivery and Documentation</w:t>
      </w:r>
    </w:p>
    <w:p w14:paraId="59C84983" w14:textId="77777777" w:rsidR="009806BB" w:rsidRPr="00170726" w:rsidRDefault="009806BB" w:rsidP="00980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Deliver results through secure channels</w:t>
      </w:r>
    </w:p>
    <w:p w14:paraId="73B91BED" w14:textId="77777777" w:rsidR="009806BB" w:rsidRPr="00170726" w:rsidRDefault="009806BB" w:rsidP="00980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Document the request, query logic, tool used, and delivery method in the technical documentation in the request’s repository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(‘Documentation’ folder).</w:t>
      </w:r>
    </w:p>
    <w:p w14:paraId="1F713E2C" w14:textId="77777777" w:rsidR="009806BB" w:rsidRPr="00170726" w:rsidRDefault="009806BB" w:rsidP="00980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Mark the request as completed only after confirmation of delivery and business line acknowledgment.</w:t>
      </w:r>
    </w:p>
    <w:p w14:paraId="566AE730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pict w14:anchorId="51089847">
          <v:rect id="_x0000_i1029" style="width:0;height:1.5pt" o:hralign="center" o:hrstd="t" o:hrnoshade="t" o:hr="t" fillcolor="black" stroked="f"/>
        </w:pict>
      </w:r>
    </w:p>
    <w:p w14:paraId="5E340808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5. Ongoing Monitoring and Improvements</w:t>
      </w:r>
    </w:p>
    <w:p w14:paraId="0D2514D1" w14:textId="77777777" w:rsidR="009806BB" w:rsidRPr="00170726" w:rsidRDefault="009806BB" w:rsidP="00980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Conduct periodic reviews of query practices and update this procedure as necessary.</w:t>
      </w:r>
    </w:p>
    <w:p w14:paraId="629C5DB5" w14:textId="77777777" w:rsidR="009806BB" w:rsidRPr="00170726" w:rsidRDefault="009806BB" w:rsidP="00980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Revalidate connection strings and access credentials quarterly in coordination with IST.</w:t>
      </w:r>
    </w:p>
    <w:p w14:paraId="23C3C30B" w14:textId="77777777" w:rsidR="009806BB" w:rsidRPr="00170726" w:rsidRDefault="009806BB" w:rsidP="00980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Participate in compliance audits and respond promptly to any remediation requests.</w:t>
      </w:r>
    </w:p>
    <w:p w14:paraId="281E521E" w14:textId="77777777" w:rsidR="009806BB" w:rsidRPr="00170726" w:rsidRDefault="009806BB" w:rsidP="009806BB">
      <w:pPr>
        <w:spacing w:after="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pict w14:anchorId="51C6B94D">
          <v:rect id="_x0000_i1030" style="width:0;height:1.5pt" o:hralign="center" o:hrstd="t" o:hrnoshade="t" o:hr="t" fillcolor="black" stroked="f"/>
        </w:pict>
      </w:r>
    </w:p>
    <w:p w14:paraId="2E410990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6. Ownership</w:t>
      </w:r>
    </w:p>
    <w:p w14:paraId="1018A9CA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This procedure is owned by the Chief Information Officer and maintained by the Data &amp; Analytics team</w:t>
      </w:r>
      <w:r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 xml:space="preserve"> &amp; the IST department</w:t>
      </w: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. Any deviations must be approved in writing.</w:t>
      </w:r>
    </w:p>
    <w:p w14:paraId="1D366102" w14:textId="77777777" w:rsidR="009806BB" w:rsidRPr="00170726" w:rsidRDefault="009806BB" w:rsidP="00980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8"/>
          <w:szCs w:val="28"/>
        </w:rPr>
        <w:t>7. Review Cycle</w:t>
      </w:r>
    </w:p>
    <w:p w14:paraId="4A344D29" w14:textId="77777777" w:rsidR="009806BB" w:rsidRDefault="009806BB" w:rsidP="009806BB">
      <w:pPr>
        <w:spacing w:before="150" w:after="15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  <w:r w:rsidRPr="00170726"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  <w:t>This document is to be reviewed annually or upon significant changes to tools, security protocols, or regulatory requirements.</w:t>
      </w:r>
    </w:p>
    <w:p w14:paraId="186A196A" w14:textId="34D38685" w:rsidR="009806BB" w:rsidRDefault="009806BB" w:rsidP="009806B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6B9C26E" w14:textId="3BD6CACA" w:rsidR="002D1AD7" w:rsidRPr="002D1AD7" w:rsidRDefault="002D1AD7" w:rsidP="002D1AD7">
      <w:pPr>
        <w:rPr>
          <w:sz w:val="16"/>
          <w:szCs w:val="16"/>
        </w:rPr>
      </w:pPr>
      <w:r w:rsidRPr="5111C7BB">
        <w:rPr>
          <w:rFonts w:ascii="Cambria" w:hAnsi="Cambria"/>
          <w:sz w:val="20"/>
          <w:szCs w:val="20"/>
        </w:rPr>
        <w:t>© 202</w:t>
      </w:r>
      <w:r>
        <w:rPr>
          <w:rFonts w:ascii="Cambria" w:hAnsi="Cambria"/>
          <w:sz w:val="20"/>
          <w:szCs w:val="20"/>
        </w:rPr>
        <w:t>5</w:t>
      </w:r>
      <w:r w:rsidRPr="5111C7BB">
        <w:rPr>
          <w:rFonts w:ascii="Cambria" w:hAnsi="Cambria"/>
          <w:sz w:val="20"/>
          <w:szCs w:val="20"/>
        </w:rPr>
        <w:t xml:space="preserve"> Bristol County Savings Bank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                                                         </w:t>
      </w:r>
      <w:r>
        <w:rPr>
          <w:rFonts w:ascii="Cambria" w:hAnsi="Cambria"/>
          <w:sz w:val="20"/>
          <w:szCs w:val="20"/>
        </w:rPr>
        <w:tab/>
      </w:r>
      <w:r>
        <w:rPr>
          <w:sz w:val="16"/>
          <w:szCs w:val="16"/>
        </w:rPr>
        <w:t>Revised 06/2025</w:t>
      </w:r>
    </w:p>
    <w:p w14:paraId="7F64F303" w14:textId="77777777" w:rsidR="002D1AD7" w:rsidRDefault="002D1AD7" w:rsidP="002D1AD7">
      <w:pPr>
        <w:ind w:left="124" w:right="5940" w:hanging="1"/>
        <w:rPr>
          <w:rFonts w:ascii="Cambria" w:hAnsi="Cambria"/>
          <w:sz w:val="20"/>
          <w:szCs w:val="20"/>
        </w:rPr>
      </w:pPr>
      <w:r w:rsidRPr="5111C7BB">
        <w:rPr>
          <w:rFonts w:ascii="Cambria" w:hAnsi="Cambria"/>
          <w:sz w:val="20"/>
          <w:szCs w:val="20"/>
        </w:rPr>
        <w:t>Data Classification: Internal</w:t>
      </w:r>
    </w:p>
    <w:p w14:paraId="395DC8CE" w14:textId="77777777" w:rsidR="009806BB" w:rsidRPr="00170726" w:rsidRDefault="009806BB" w:rsidP="009806BB">
      <w:pPr>
        <w:spacing w:before="150" w:after="150" w:line="240" w:lineRule="auto"/>
        <w:rPr>
          <w:rFonts w:ascii="Times New Roman" w:eastAsia="Times New Roman" w:hAnsi="Times New Roman" w:cs="Times New Roman"/>
          <w:b/>
          <w:color w:val="026344"/>
          <w:sz w:val="24"/>
          <w:szCs w:val="24"/>
        </w:rPr>
      </w:pPr>
    </w:p>
    <w:p w14:paraId="5DED63BF" w14:textId="77777777" w:rsidR="009806BB" w:rsidRPr="00170726" w:rsidRDefault="009806BB" w:rsidP="009806BB">
      <w:pPr>
        <w:pStyle w:val="Heading1"/>
        <w:rPr>
          <w:rFonts w:ascii="Times New Roman" w:eastAsia="Times New Roman" w:hAnsi="Times New Roman" w:cs="Times New Roman"/>
          <w:color w:val="026344"/>
          <w:sz w:val="24"/>
          <w:szCs w:val="24"/>
        </w:rPr>
      </w:pPr>
    </w:p>
    <w:p w14:paraId="1D8AEDB3" w14:textId="77777777" w:rsidR="007C09B7" w:rsidRDefault="007C09B7"/>
    <w:sectPr w:rsidR="007C09B7" w:rsidSect="009806B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06AB"/>
    <w:multiLevelType w:val="multilevel"/>
    <w:tmpl w:val="0A7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07"/>
    <w:multiLevelType w:val="multilevel"/>
    <w:tmpl w:val="9E0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D14CE"/>
    <w:multiLevelType w:val="multilevel"/>
    <w:tmpl w:val="886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30C0F"/>
    <w:multiLevelType w:val="multilevel"/>
    <w:tmpl w:val="8B2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262D4"/>
    <w:multiLevelType w:val="multilevel"/>
    <w:tmpl w:val="3C1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34170"/>
    <w:multiLevelType w:val="multilevel"/>
    <w:tmpl w:val="392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33FA8"/>
    <w:multiLevelType w:val="multilevel"/>
    <w:tmpl w:val="A24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276050">
    <w:abstractNumId w:val="1"/>
  </w:num>
  <w:num w:numId="2" w16cid:durableId="329480652">
    <w:abstractNumId w:val="6"/>
  </w:num>
  <w:num w:numId="3" w16cid:durableId="1527213762">
    <w:abstractNumId w:val="4"/>
  </w:num>
  <w:num w:numId="4" w16cid:durableId="167715176">
    <w:abstractNumId w:val="3"/>
  </w:num>
  <w:num w:numId="5" w16cid:durableId="1708095277">
    <w:abstractNumId w:val="2"/>
  </w:num>
  <w:num w:numId="6" w16cid:durableId="408384596">
    <w:abstractNumId w:val="5"/>
  </w:num>
  <w:num w:numId="7" w16cid:durableId="189635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B"/>
    <w:rsid w:val="002D1AD7"/>
    <w:rsid w:val="007C09B7"/>
    <w:rsid w:val="00893CAB"/>
    <w:rsid w:val="009806BB"/>
    <w:rsid w:val="00C73B08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B133"/>
  <w15:chartTrackingRefBased/>
  <w15:docId w15:val="{3BFFF32B-0B34-4725-BCD8-B2818573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BB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3</cp:revision>
  <cp:lastPrinted>2025-06-30T12:38:00Z</cp:lastPrinted>
  <dcterms:created xsi:type="dcterms:W3CDTF">2025-06-30T12:29:00Z</dcterms:created>
  <dcterms:modified xsi:type="dcterms:W3CDTF">2025-06-30T12:38:00Z</dcterms:modified>
</cp:coreProperties>
</file>