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4"/>
        <w:gridCol w:w="9716"/>
      </w:tblGrid>
      <w:tr w:rsidR="00AA4A87" w:rsidRPr="00686370" w:rsidTr="00FE6B07">
        <w:trPr>
          <w:trHeight w:hRule="exact" w:val="1199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AA4A87" w:rsidRPr="00686370" w:rsidRDefault="00AA4A87" w:rsidP="00FE6B07">
            <w:pPr>
              <w:spacing w:before="15" w:after="32"/>
              <w:jc w:val="center"/>
              <w:textAlignment w:val="baseline"/>
              <w:rPr>
                <w:sz w:val="23"/>
                <w:szCs w:val="23"/>
              </w:rPr>
            </w:pPr>
            <w:r w:rsidRPr="00686370">
              <w:rPr>
                <w:noProof/>
                <w:sz w:val="23"/>
                <w:szCs w:val="23"/>
              </w:rPr>
              <w:drawing>
                <wp:inline distT="0" distB="0" distL="0" distR="0" wp14:anchorId="3E6B9ECC" wp14:editId="41B7BE8B">
                  <wp:extent cx="929640" cy="731520"/>
                  <wp:effectExtent l="0" t="0" r="0" b="0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 preferRelativeResize="0"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AA4A87" w:rsidRPr="00686370" w:rsidRDefault="00AA4A87" w:rsidP="00FE6B07">
            <w:pPr>
              <w:spacing w:before="301" w:line="230" w:lineRule="exact"/>
              <w:ind w:right="1554"/>
              <w:jc w:val="right"/>
              <w:textAlignment w:val="baseline"/>
              <w:rPr>
                <w:rFonts w:eastAsia="Times New Roman"/>
                <w:color w:val="000000"/>
                <w:sz w:val="23"/>
                <w:szCs w:val="23"/>
              </w:rPr>
            </w:pPr>
            <w:r w:rsidRPr="00686370">
              <w:rPr>
                <w:rFonts w:ascii="Times New Roman" w:eastAsia="Times New Roman" w:hAnsi="Times New Roman"/>
                <w:color w:val="000000"/>
                <w:sz w:val="23"/>
                <w:szCs w:val="23"/>
              </w:rPr>
              <w:t>Bristol County Savings Bank</w:t>
            </w:r>
          </w:p>
          <w:p w:rsidR="00AA4A87" w:rsidRPr="00686370" w:rsidRDefault="00AA4A87" w:rsidP="00FE6B07">
            <w:pPr>
              <w:spacing w:after="209" w:line="228" w:lineRule="exact"/>
              <w:ind w:left="6006" w:right="1374" w:hanging="1080"/>
              <w:textAlignment w:val="baseline"/>
              <w:rPr>
                <w:rFonts w:eastAsia="Times New Roman"/>
                <w:color w:val="000000"/>
                <w:spacing w:val="-2"/>
                <w:sz w:val="23"/>
                <w:szCs w:val="23"/>
              </w:rPr>
            </w:pPr>
            <w:r w:rsidRPr="00686370">
              <w:rPr>
                <w:rFonts w:ascii="Times New Roman" w:eastAsia="Times New Roman" w:hAnsi="Times New Roman"/>
                <w:color w:val="000000"/>
                <w:spacing w:val="-2"/>
                <w:sz w:val="23"/>
                <w:szCs w:val="23"/>
              </w:rPr>
              <w:t>Commitment. Stability. Community. Data Analytics Use Cases</w:t>
            </w:r>
          </w:p>
        </w:tc>
      </w:tr>
    </w:tbl>
    <w:p w:rsidR="00AA4A87" w:rsidRDefault="00AA4A87" w:rsidP="00AA4A87">
      <w:pPr>
        <w:spacing w:after="0" w:line="342" w:lineRule="exact"/>
        <w:textAlignment w:val="baseline"/>
        <w:rPr>
          <w:rFonts w:ascii="Times New Roman" w:eastAsia="Times New Roman" w:hAnsi="Times New Roman" w:cs="Times New Roman"/>
          <w:b/>
          <w:color w:val="026344"/>
          <w:spacing w:val="10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b/>
          <w:color w:val="026344"/>
          <w:spacing w:val="10"/>
          <w:sz w:val="23"/>
          <w:szCs w:val="23"/>
        </w:rPr>
        <w:t>CoStar</w:t>
      </w:r>
      <w:proofErr w:type="spellEnd"/>
      <w:r>
        <w:rPr>
          <w:rFonts w:ascii="Times New Roman" w:eastAsia="Times New Roman" w:hAnsi="Times New Roman" w:cs="Times New Roman"/>
          <w:b/>
          <w:color w:val="026344"/>
          <w:spacing w:val="10"/>
          <w:sz w:val="23"/>
          <w:szCs w:val="23"/>
        </w:rPr>
        <w:t xml:space="preserve"> Extract</w:t>
      </w:r>
    </w:p>
    <w:p w:rsidR="00AA4A87" w:rsidRDefault="00AA4A87" w:rsidP="00AA4A87">
      <w:pPr>
        <w:spacing w:after="0" w:line="342" w:lineRule="exact"/>
        <w:textAlignment w:val="baseline"/>
        <w:rPr>
          <w:rFonts w:ascii="Times New Roman" w:eastAsia="Times New Roman" w:hAnsi="Times New Roman" w:cs="Times New Roman"/>
          <w:b/>
          <w:color w:val="026344"/>
          <w:spacing w:val="10"/>
          <w:sz w:val="20"/>
          <w:szCs w:val="23"/>
        </w:rPr>
      </w:pPr>
      <w:r w:rsidRPr="000279D2">
        <w:rPr>
          <w:rFonts w:ascii="Times New Roman" w:eastAsia="Times New Roman" w:hAnsi="Times New Roman" w:cs="Times New Roman"/>
          <w:b/>
          <w:color w:val="026344"/>
          <w:spacing w:val="10"/>
          <w:sz w:val="20"/>
          <w:szCs w:val="23"/>
        </w:rPr>
        <w:t>Programmed by Chad Doorley</w:t>
      </w:r>
    </w:p>
    <w:p w:rsidR="00AA4A87" w:rsidRPr="000279D2" w:rsidRDefault="00AA4A87" w:rsidP="00AA4A87">
      <w:pPr>
        <w:spacing w:after="0" w:line="342" w:lineRule="exact"/>
        <w:textAlignment w:val="baseline"/>
        <w:rPr>
          <w:rFonts w:ascii="Times New Roman" w:eastAsia="Times New Roman" w:hAnsi="Times New Roman" w:cs="Times New Roman"/>
          <w:b/>
          <w:color w:val="026344"/>
          <w:spacing w:val="10"/>
          <w:sz w:val="20"/>
          <w:szCs w:val="23"/>
        </w:rPr>
      </w:pPr>
    </w:p>
    <w:p w:rsidR="00AA4A87" w:rsidRPr="00574017" w:rsidRDefault="00AA4A87" w:rsidP="00AA4A87">
      <w:pPr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Executive Summary</w:t>
      </w:r>
    </w:p>
    <w:p w:rsidR="00AA4A87" w:rsidRPr="00686370" w:rsidRDefault="00AA4A87" w:rsidP="00AA4A87">
      <w:pPr>
        <w:jc w:val="both"/>
        <w:rPr>
          <w:rFonts w:ascii="Times New Roman" w:hAnsi="Times New Roman" w:cs="Times New Roman"/>
          <w:sz w:val="23"/>
          <w:szCs w:val="23"/>
        </w:rPr>
      </w:pPr>
      <w:r w:rsidRPr="00686370">
        <w:rPr>
          <w:rFonts w:ascii="Times New Roman" w:hAnsi="Times New Roman" w:cs="Times New Roman"/>
          <w:sz w:val="23"/>
          <w:szCs w:val="23"/>
        </w:rPr>
        <w:t xml:space="preserve">The </w:t>
      </w:r>
      <w:proofErr w:type="spellStart"/>
      <w:r>
        <w:rPr>
          <w:rFonts w:ascii="Times New Roman" w:hAnsi="Times New Roman" w:cs="Times New Roman"/>
          <w:sz w:val="23"/>
          <w:szCs w:val="23"/>
        </w:rPr>
        <w:t>CoStar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Lender Platform is piece of software from The </w:t>
      </w:r>
      <w:proofErr w:type="spellStart"/>
      <w:r>
        <w:rPr>
          <w:rFonts w:ascii="Times New Roman" w:hAnsi="Times New Roman" w:cs="Times New Roman"/>
          <w:sz w:val="23"/>
          <w:szCs w:val="23"/>
        </w:rPr>
        <w:t>CoStar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Group that provides stress-testing and analytics on Commercial Real Estate portfolios</w:t>
      </w:r>
      <w:r w:rsidR="00BB29A3">
        <w:rPr>
          <w:rFonts w:ascii="Times New Roman" w:hAnsi="Times New Roman" w:cs="Times New Roman"/>
          <w:sz w:val="23"/>
          <w:szCs w:val="23"/>
        </w:rPr>
        <w:t>, specifically on Non-Owner Occupied Commercial Real Estate</w:t>
      </w:r>
      <w:r>
        <w:rPr>
          <w:rFonts w:ascii="Times New Roman" w:hAnsi="Times New Roman" w:cs="Times New Roman"/>
          <w:sz w:val="23"/>
          <w:szCs w:val="23"/>
        </w:rPr>
        <w:t xml:space="preserve">. The Bank has engaged in a contract to run the Bank’s portfolio through their model to receive this service to better monitor Commercial Real Estate loans. The extract is created from COCC data through </w:t>
      </w:r>
      <w:proofErr w:type="spellStart"/>
      <w:r>
        <w:rPr>
          <w:rFonts w:ascii="Times New Roman" w:hAnsi="Times New Roman" w:cs="Times New Roman"/>
          <w:sz w:val="23"/>
          <w:szCs w:val="23"/>
        </w:rPr>
        <w:t>Alteryx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It is transformed into a specific template that is readable by the </w:t>
      </w:r>
      <w:proofErr w:type="spellStart"/>
      <w:r>
        <w:rPr>
          <w:rFonts w:ascii="Times New Roman" w:hAnsi="Times New Roman" w:cs="Times New Roman"/>
          <w:sz w:val="23"/>
          <w:szCs w:val="23"/>
        </w:rPr>
        <w:t>CoStar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model and it is sent to them via SFTP (Secure File Transfer Protocol). There are two tabs in the </w:t>
      </w:r>
      <w:proofErr w:type="spellStart"/>
      <w:r>
        <w:rPr>
          <w:rFonts w:ascii="Times New Roman" w:hAnsi="Times New Roman" w:cs="Times New Roman"/>
          <w:sz w:val="23"/>
          <w:szCs w:val="23"/>
        </w:rPr>
        <w:t>CoStar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Extract: Permanent and Construction. Information such as basic loan information, collateral types, appraisal values are included on this extract.</w:t>
      </w:r>
    </w:p>
    <w:p w:rsidR="00AA4A87" w:rsidRPr="00574017" w:rsidRDefault="00AA4A87" w:rsidP="00AA4A8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3"/>
          <w:szCs w:val="23"/>
          <w:u w:val="single"/>
        </w:rPr>
      </w:pPr>
      <w:r w:rsidRPr="00574017">
        <w:rPr>
          <w:rFonts w:ascii="Times New Roman" w:eastAsia="Times New Roman" w:hAnsi="Times New Roman" w:cs="Times New Roman"/>
          <w:b/>
          <w:color w:val="000000"/>
          <w:sz w:val="23"/>
          <w:szCs w:val="23"/>
          <w:u w:val="single"/>
        </w:rPr>
        <w:t>Benefits and Potential Gains:</w:t>
      </w:r>
      <w:r w:rsidRPr="0057401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:rsidR="00AA4A87" w:rsidRDefault="00AA4A87" w:rsidP="00AA4A87">
      <w:pPr>
        <w:pStyle w:val="ListParagraph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BCSB will benefit from </w:t>
      </w:r>
      <w:r w:rsidR="00BB1514">
        <w:rPr>
          <w:rFonts w:ascii="Times New Roman" w:eastAsia="Times New Roman" w:hAnsi="Times New Roman" w:cs="Times New Roman"/>
          <w:color w:val="000000"/>
          <w:sz w:val="23"/>
          <w:szCs w:val="23"/>
        </w:rPr>
        <w:t>enhanced stress testing and more data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on the </w:t>
      </w:r>
      <w:r w:rsidR="00BB151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Non Owner Occupied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CRE portfolio</w:t>
      </w:r>
    </w:p>
    <w:p w:rsidR="00AA4A87" w:rsidRDefault="00AA4A87" w:rsidP="00AA4A87">
      <w:pPr>
        <w:pStyle w:val="ListParagraph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 manual creation and updating of this report would be extremely time consuming</w:t>
      </w:r>
    </w:p>
    <w:p w:rsidR="00AA4A87" w:rsidRDefault="00AA4A87" w:rsidP="00AA4A87">
      <w:pPr>
        <w:pStyle w:val="ListParagraph"/>
        <w:numPr>
          <w:ilvl w:val="1"/>
          <w:numId w:val="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Through the automation process that has been created, this extract file can be compiled and updated in under 5 minutes and can be sent off to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CoStar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automatically.</w:t>
      </w:r>
    </w:p>
    <w:p w:rsidR="00AA4A87" w:rsidRDefault="00BB1514" w:rsidP="00AA4A87">
      <w:pPr>
        <w:pStyle w:val="ListParagraph"/>
        <w:numPr>
          <w:ilvl w:val="1"/>
          <w:numId w:val="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 risk of human error transposing data, as the logic and calculations are written ahead of time and can be clearly audited.</w:t>
      </w:r>
    </w:p>
    <w:p w:rsidR="00AA4A87" w:rsidRPr="00AA4A87" w:rsidRDefault="00AA4A87" w:rsidP="00AA4A87">
      <w:pPr>
        <w:pStyle w:val="ListParagraph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 CRE extract can be used as a data integrity check to other loan review reports and will promote a better understanding of the commercial real estate portfolio.</w:t>
      </w:r>
      <w:r w:rsidRPr="00AA4A8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:rsidR="00AA4A87" w:rsidRDefault="00AA4A87" w:rsidP="00AA4A8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  <w:u w:val="single"/>
        </w:rPr>
        <w:t>Output of the Report</w:t>
      </w:r>
      <w:r w:rsidRPr="00574017">
        <w:rPr>
          <w:rFonts w:ascii="Times New Roman" w:eastAsia="Times New Roman" w:hAnsi="Times New Roman" w:cs="Times New Roman"/>
          <w:b/>
          <w:color w:val="000000"/>
          <w:sz w:val="23"/>
          <w:szCs w:val="23"/>
          <w:u w:val="single"/>
        </w:rPr>
        <w:t>:</w:t>
      </w:r>
      <w:r w:rsidRPr="0057401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:rsidR="00AA4A87" w:rsidRDefault="00AA4A87" w:rsidP="00AA4A8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There are 2 sheets that are output to the excel file that will be named ‘</w:t>
      </w:r>
      <w:r w:rsidR="00BB29A3">
        <w:rPr>
          <w:rFonts w:ascii="Times New Roman" w:eastAsia="Times New Roman" w:hAnsi="Times New Roman" w:cs="Times New Roman"/>
          <w:color w:val="000000"/>
          <w:sz w:val="23"/>
          <w:szCs w:val="23"/>
        </w:rPr>
        <w:t>Lender Input File Demo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.xlsx’</w:t>
      </w:r>
    </w:p>
    <w:p w:rsidR="00BB29A3" w:rsidRDefault="00BB29A3" w:rsidP="00BB29A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BB29A3">
        <w:rPr>
          <w:rFonts w:ascii="Times New Roman" w:eastAsia="Times New Roman" w:hAnsi="Times New Roman" w:cs="Times New Roman"/>
          <w:color w:val="000000"/>
          <w:sz w:val="23"/>
          <w:szCs w:val="23"/>
        </w:rPr>
        <w:t>‘Permanent Loans - Raw</w:t>
      </w:r>
      <w:r w:rsidR="00AA4A87" w:rsidRPr="00BB29A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’: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Includes all non-construction Non-owner Occupied CRE loans</w:t>
      </w:r>
    </w:p>
    <w:p w:rsidR="00BB29A3" w:rsidRDefault="00BB29A3" w:rsidP="00BB29A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‘Construction Loans – Raw’: Includes all construction loans in the CRE portfolio (some may be non-owner occupied and some may become owner occupied)</w:t>
      </w:r>
    </w:p>
    <w:p w:rsidR="00AA4A87" w:rsidRPr="00BB29A3" w:rsidRDefault="00BB29A3" w:rsidP="00BB29A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BB29A3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307975</wp:posOffset>
            </wp:positionV>
            <wp:extent cx="6858000" cy="1259205"/>
            <wp:effectExtent l="0" t="0" r="0" b="0"/>
            <wp:wrapTight wrapText="bothSides">
              <wp:wrapPolygon edited="0">
                <wp:start x="0" y="0"/>
                <wp:lineTo x="0" y="21241"/>
                <wp:lineTo x="21540" y="21241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 other sheets are not utilized and data is not updated to those sheet.</w:t>
      </w:r>
    </w:p>
    <w:p w:rsidR="00BB29A3" w:rsidRDefault="00BB29A3" w:rsidP="00AA4A8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BB29A3" w:rsidRDefault="00BB29A3" w:rsidP="00AA4A8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 workflow, output, and associated documentation can be found at:</w:t>
      </w:r>
    </w:p>
    <w:p w:rsidR="00BB29A3" w:rsidRDefault="002374A8" w:rsidP="00BB29A3">
      <w:hyperlink r:id="rId7" w:history="1">
        <w:r w:rsidR="00BB29A3" w:rsidRPr="008D0DAC">
          <w:rPr>
            <w:rStyle w:val="Hyperlink"/>
          </w:rPr>
          <w:t>\\00-DA1\Home\Share\Line of Business_Shared Services\Commercial Credit\CoStar\</w:t>
        </w:r>
      </w:hyperlink>
    </w:p>
    <w:p w:rsidR="00BB29A3" w:rsidRPr="00574017" w:rsidRDefault="00BB29A3" w:rsidP="00AA4A8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AA4A87" w:rsidRDefault="00AA4A87" w:rsidP="00AA4A87">
      <w:pPr>
        <w:spacing w:after="0"/>
        <w:ind w:left="-1440" w:firstLine="630"/>
        <w:jc w:val="right"/>
        <w:rPr>
          <w:sz w:val="23"/>
          <w:szCs w:val="23"/>
        </w:rPr>
      </w:pPr>
    </w:p>
    <w:p w:rsidR="00531492" w:rsidRDefault="00531492" w:rsidP="00AA4A8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3"/>
          <w:szCs w:val="23"/>
          <w:u w:val="single"/>
        </w:rPr>
      </w:pPr>
    </w:p>
    <w:p w:rsidR="00AA4A87" w:rsidRDefault="00AA4A87" w:rsidP="00AA4A8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3"/>
          <w:szCs w:val="23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  <w:u w:val="single"/>
        </w:rPr>
        <w:t>Filters and Calculations Utilized</w:t>
      </w:r>
      <w:r w:rsidRPr="00574017">
        <w:rPr>
          <w:rFonts w:ascii="Times New Roman" w:eastAsia="Times New Roman" w:hAnsi="Times New Roman" w:cs="Times New Roman"/>
          <w:b/>
          <w:color w:val="000000"/>
          <w:sz w:val="23"/>
          <w:szCs w:val="23"/>
          <w:u w:val="single"/>
        </w:rPr>
        <w:t>:</w:t>
      </w:r>
    </w:p>
    <w:p w:rsidR="00AA4A87" w:rsidRDefault="00AA4A87" w:rsidP="00AA4A8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COCC data filters</w:t>
      </w:r>
      <w:r w:rsidR="005A594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for Permanent sheet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:</w:t>
      </w:r>
    </w:p>
    <w:p w:rsidR="00AA4A87" w:rsidRDefault="00BB29A3" w:rsidP="00AA4A87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Major = “CML”</w:t>
      </w:r>
    </w:p>
    <w:p w:rsidR="00AA4A87" w:rsidRDefault="00AA4A87" w:rsidP="00AA4A87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Current Account Status = “ACT” or “NPFM” (Active or Non-Performing)</w:t>
      </w:r>
    </w:p>
    <w:p w:rsidR="00AA4A87" w:rsidRDefault="00BB29A3" w:rsidP="00AA4A87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FDICCATCD = “RENO” or “REMU” (RE Non Owner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Occ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or RE Multifamily call code)</w:t>
      </w:r>
    </w:p>
    <w:p w:rsidR="00BB29A3" w:rsidRDefault="005A5944" w:rsidP="00AA4A87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ARC ARM loans excluded</w:t>
      </w:r>
    </w:p>
    <w:p w:rsidR="005A5944" w:rsidRDefault="005A5944" w:rsidP="00AA4A87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Minors: “CI07” (ACH Manager) and “CM09” (Swap Exposure loans) were excluded</w:t>
      </w:r>
    </w:p>
    <w:p w:rsidR="005A5944" w:rsidRDefault="005A5944" w:rsidP="00AA4A87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AA4A87" w:rsidRDefault="00AA4A87" w:rsidP="00AA4A8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Calculations</w:t>
      </w:r>
      <w:r w:rsidR="0053149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for Permanent sheet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:</w:t>
      </w:r>
    </w:p>
    <w:p w:rsidR="005A5944" w:rsidRDefault="005A5944" w:rsidP="005A5944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OriginalTotalLoanAmount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= if null, then Credit Limit Amount, else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OriginalTotalLoanAmount</w:t>
      </w:r>
      <w:proofErr w:type="spellEnd"/>
    </w:p>
    <w:p w:rsidR="005A5944" w:rsidRDefault="005A5944" w:rsidP="005A5944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Amortization Term / 30.4 and rounded to the nearest whole number (to get this field in ‘Months’) </w:t>
      </w:r>
    </w:p>
    <w:p w:rsidR="005A5944" w:rsidRDefault="005A5944" w:rsidP="005A5944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Loan Index field converted to their benchmark values (table included in data dictionary)</w:t>
      </w:r>
    </w:p>
    <w:p w:rsidR="002374A8" w:rsidRDefault="005A5944" w:rsidP="000D6A7B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Reset Rate Frequency was converted to ‘Months’</w:t>
      </w:r>
    </w:p>
    <w:p w:rsidR="000D6A7B" w:rsidRPr="002374A8" w:rsidRDefault="000D6A7B" w:rsidP="002374A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374A8">
        <w:rPr>
          <w:rFonts w:ascii="Times New Roman" w:eastAsia="Times New Roman" w:hAnsi="Times New Roman" w:cs="Times New Roman"/>
          <w:color w:val="000000"/>
          <w:sz w:val="23"/>
          <w:szCs w:val="23"/>
        </w:rPr>
        <w:t>Total Loan Amounts and Appraisals have been adjusted for participations bought/sold according to the logic shown below:</w:t>
      </w:r>
    </w:p>
    <w:p w:rsidR="000D6A7B" w:rsidRPr="000D6A7B" w:rsidRDefault="000D6A7B" w:rsidP="002374A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4B8E6B0E" wp14:editId="7FFC0D57">
            <wp:extent cx="4472180" cy="1308735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407" cy="132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5944" w:rsidRPr="005A5944" w:rsidRDefault="005A5944" w:rsidP="005A594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COCC data filters for Construction sheet:</w:t>
      </w:r>
    </w:p>
    <w:p w:rsidR="00531492" w:rsidRDefault="00531492" w:rsidP="00531492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Major = “CML”</w:t>
      </w:r>
    </w:p>
    <w:p w:rsidR="00531492" w:rsidRDefault="00531492" w:rsidP="00531492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Current Account Status = “ACT” or “NPFM” (Active or Non-Performing)</w:t>
      </w:r>
    </w:p>
    <w:p w:rsidR="00531492" w:rsidRDefault="00531492" w:rsidP="00531492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FDICCATCD = “OTCN”</w:t>
      </w:r>
    </w:p>
    <w:p w:rsidR="00531492" w:rsidRDefault="00531492" w:rsidP="00531492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ARC ARM loans excluded</w:t>
      </w:r>
    </w:p>
    <w:p w:rsidR="00531492" w:rsidRDefault="00531492" w:rsidP="00531492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Minors: “CI07” (ACH Manager) and “CM09” (Swap Exposure loans) were excluded</w:t>
      </w:r>
    </w:p>
    <w:p w:rsidR="00531492" w:rsidRDefault="00531492" w:rsidP="0053149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Calculations for Construction sheet:</w:t>
      </w:r>
    </w:p>
    <w:p w:rsidR="00531492" w:rsidRDefault="00531492" w:rsidP="00531492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OriginalTotalLoanAmount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= if null, then Credit Limit Amount, else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OriginalTotalLoanAmount</w:t>
      </w:r>
      <w:proofErr w:type="spellEnd"/>
    </w:p>
    <w:p w:rsidR="00531492" w:rsidRDefault="00531492" w:rsidP="00531492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Amortization Term / 30.4 and rounded to the nearest whole number (to get this field in ‘Months’) </w:t>
      </w:r>
    </w:p>
    <w:p w:rsidR="00531492" w:rsidRDefault="00531492" w:rsidP="00531492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Loan Index field converted to their benchmark values (table included in data dictionary)</w:t>
      </w:r>
    </w:p>
    <w:p w:rsidR="005A5944" w:rsidRPr="00531492" w:rsidRDefault="00531492" w:rsidP="00531492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Reset Rate Frequency was converted to ‘Months’</w:t>
      </w:r>
    </w:p>
    <w:p w:rsidR="00AA4A87" w:rsidRDefault="00AA4A87" w:rsidP="00AA4A8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Formatting:</w:t>
      </w:r>
    </w:p>
    <w:p w:rsidR="00AA4A87" w:rsidRDefault="00AA4A87" w:rsidP="00AA4A87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Several formatting operations </w:t>
      </w:r>
      <w:r w:rsidR="0053149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are all completed through </w:t>
      </w:r>
      <w:proofErr w:type="spellStart"/>
      <w:r w:rsidR="00531492">
        <w:rPr>
          <w:rFonts w:ascii="Times New Roman" w:eastAsia="Times New Roman" w:hAnsi="Times New Roman" w:cs="Times New Roman"/>
          <w:color w:val="000000"/>
          <w:sz w:val="23"/>
          <w:szCs w:val="23"/>
        </w:rPr>
        <w:t>Alteryx</w:t>
      </w:r>
      <w:proofErr w:type="spellEnd"/>
      <w:r w:rsidR="0079177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report writing capabilities.</w:t>
      </w:r>
    </w:p>
    <w:p w:rsidR="00BB1514" w:rsidRDefault="00BB1514" w:rsidP="00BB151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Other:</w:t>
      </w:r>
    </w:p>
    <w:p w:rsidR="00BB1514" w:rsidRPr="00BB1514" w:rsidRDefault="00BB1514" w:rsidP="00BB1514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Upon completion, the report is placed into a File Explorer location that is set to send the file through a Secure File Transfer Protocol to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CoStar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their platform will be updated automatically</w:t>
      </w:r>
    </w:p>
    <w:p w:rsidR="00AA4A87" w:rsidRPr="000279D2" w:rsidRDefault="00AA4A87" w:rsidP="00AA4A8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AA4A87" w:rsidRPr="00686370" w:rsidRDefault="00AA4A87" w:rsidP="00AA4A87">
      <w:pPr>
        <w:spacing w:after="0"/>
        <w:ind w:left="-1440" w:firstLine="630"/>
        <w:rPr>
          <w:sz w:val="23"/>
          <w:szCs w:val="23"/>
        </w:rPr>
      </w:pPr>
    </w:p>
    <w:p w:rsidR="00584194" w:rsidRDefault="00584194"/>
    <w:sectPr w:rsidR="00584194" w:rsidSect="00285E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E7C2F"/>
    <w:multiLevelType w:val="hybridMultilevel"/>
    <w:tmpl w:val="D43ED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2BC3"/>
    <w:multiLevelType w:val="hybridMultilevel"/>
    <w:tmpl w:val="32BCCD4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31301BD"/>
    <w:multiLevelType w:val="hybridMultilevel"/>
    <w:tmpl w:val="71543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1F"/>
    <w:rsid w:val="0007069B"/>
    <w:rsid w:val="000D6A7B"/>
    <w:rsid w:val="002374A8"/>
    <w:rsid w:val="00531492"/>
    <w:rsid w:val="00584194"/>
    <w:rsid w:val="005A5944"/>
    <w:rsid w:val="0079177F"/>
    <w:rsid w:val="00AA4A87"/>
    <w:rsid w:val="00BB1514"/>
    <w:rsid w:val="00BB29A3"/>
    <w:rsid w:val="00E2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9EA7"/>
  <w15:chartTrackingRefBased/>
  <w15:docId w15:val="{A76FE740-CE27-4D0C-8080-4B367A60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A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9A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file:///\\00-DA1\Home\Share\Line%20of%20Business_Shared%20Services\Commercial%20Credit\CoStar\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 County Savings Bank</Company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Doorley</dc:creator>
  <cp:keywords/>
  <dc:description/>
  <cp:lastModifiedBy>Chad Doorley</cp:lastModifiedBy>
  <cp:revision>7</cp:revision>
  <dcterms:created xsi:type="dcterms:W3CDTF">2023-11-09T15:24:00Z</dcterms:created>
  <dcterms:modified xsi:type="dcterms:W3CDTF">2023-11-29T15:43:00Z</dcterms:modified>
</cp:coreProperties>
</file>