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4"/>
        <w:gridCol w:w="9716"/>
      </w:tblGrid>
      <w:tr w:rsidR="00AA4A87" w:rsidRPr="00686370" w14:paraId="488FFDFA" w14:textId="77777777" w:rsidTr="00FE6B07">
        <w:trPr>
          <w:trHeight w:hRule="exact" w:val="1199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1002462" w14:textId="77777777" w:rsidR="00AA4A87" w:rsidRPr="00686370" w:rsidRDefault="00AA4A87" w:rsidP="00FE6B07">
            <w:pPr>
              <w:spacing w:before="15" w:after="32"/>
              <w:jc w:val="center"/>
              <w:textAlignment w:val="baseline"/>
              <w:rPr>
                <w:sz w:val="23"/>
                <w:szCs w:val="23"/>
              </w:rPr>
            </w:pPr>
            <w:r w:rsidRPr="00686370">
              <w:rPr>
                <w:noProof/>
                <w:sz w:val="23"/>
                <w:szCs w:val="23"/>
              </w:rPr>
              <w:drawing>
                <wp:inline distT="0" distB="0" distL="0" distR="0" wp14:anchorId="461D4CE4" wp14:editId="6D1BB139">
                  <wp:extent cx="929640" cy="731520"/>
                  <wp:effectExtent l="0" t="0" r="0" b="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D80A408" w14:textId="77777777" w:rsidR="00AA4A87" w:rsidRPr="00686370" w:rsidRDefault="00AA4A87" w:rsidP="00FE6B07">
            <w:pPr>
              <w:spacing w:before="301" w:line="230" w:lineRule="exact"/>
              <w:ind w:right="1554"/>
              <w:jc w:val="right"/>
              <w:textAlignment w:val="baseline"/>
              <w:rPr>
                <w:rFonts w:eastAsia="Times New Roman"/>
                <w:color w:val="000000"/>
                <w:sz w:val="23"/>
                <w:szCs w:val="23"/>
              </w:rPr>
            </w:pPr>
            <w:r w:rsidRPr="00686370">
              <w:rPr>
                <w:rFonts w:ascii="Times New Roman" w:eastAsia="Times New Roman" w:hAnsi="Times New Roman"/>
                <w:color w:val="000000"/>
                <w:sz w:val="23"/>
                <w:szCs w:val="23"/>
              </w:rPr>
              <w:t>Bristol County Savings Bank</w:t>
            </w:r>
          </w:p>
          <w:p w14:paraId="2B21BE58" w14:textId="77777777" w:rsidR="00AA4A87" w:rsidRPr="00686370" w:rsidRDefault="00AA4A87" w:rsidP="00FE6B07">
            <w:pPr>
              <w:spacing w:after="209" w:line="228" w:lineRule="exact"/>
              <w:ind w:left="6006" w:right="1374" w:hanging="1080"/>
              <w:textAlignment w:val="baseline"/>
              <w:rPr>
                <w:rFonts w:eastAsia="Times New Roman"/>
                <w:color w:val="000000"/>
                <w:spacing w:val="-2"/>
                <w:sz w:val="23"/>
                <w:szCs w:val="23"/>
              </w:rPr>
            </w:pPr>
            <w:r w:rsidRPr="00686370">
              <w:rPr>
                <w:rFonts w:ascii="Times New Roman" w:eastAsia="Times New Roman" w:hAnsi="Times New Roman"/>
                <w:color w:val="000000"/>
                <w:spacing w:val="-2"/>
                <w:sz w:val="23"/>
                <w:szCs w:val="23"/>
              </w:rPr>
              <w:t>Commitment. Stability. Community. Data Analytics Use Cases</w:t>
            </w:r>
          </w:p>
        </w:tc>
      </w:tr>
    </w:tbl>
    <w:p w14:paraId="570F28A6" w14:textId="5CE90C66" w:rsidR="00AA4A87" w:rsidRDefault="007838E3" w:rsidP="00AA4A87">
      <w:pPr>
        <w:spacing w:after="0" w:line="342" w:lineRule="exact"/>
        <w:textAlignment w:val="baseline"/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  <w:t xml:space="preserve">Project Title: </w:t>
      </w:r>
      <w:r w:rsidR="00FE1B3B"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  <w:t>Concentration of Credit Report</w:t>
      </w:r>
    </w:p>
    <w:p w14:paraId="7801B262" w14:textId="77777777" w:rsidR="00AA4A87" w:rsidRPr="000279D2" w:rsidRDefault="00AA4A87" w:rsidP="00AA4A87">
      <w:pPr>
        <w:spacing w:after="0" w:line="342" w:lineRule="exact"/>
        <w:textAlignment w:val="baseline"/>
        <w:rPr>
          <w:rFonts w:ascii="Times New Roman" w:eastAsia="Times New Roman" w:hAnsi="Times New Roman" w:cs="Times New Roman"/>
          <w:b/>
          <w:color w:val="026344"/>
          <w:spacing w:val="10"/>
          <w:sz w:val="20"/>
          <w:szCs w:val="23"/>
        </w:rPr>
      </w:pPr>
    </w:p>
    <w:p w14:paraId="3991054F" w14:textId="76B049E1" w:rsidR="007838E3" w:rsidRPr="007838E3" w:rsidRDefault="007838E3" w:rsidP="007838E3">
      <w:pPr>
        <w:spacing w:after="0" w:line="342" w:lineRule="exact"/>
        <w:textAlignment w:val="baseline"/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</w:pPr>
      <w:r w:rsidRPr="007838E3"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  <w:t>Executive Sponsor:</w:t>
      </w:r>
    </w:p>
    <w:p w14:paraId="1F7347FC" w14:textId="43C08666" w:rsidR="007838E3" w:rsidRPr="007838E3" w:rsidRDefault="007838E3" w:rsidP="007838E3">
      <w:pPr>
        <w:spacing w:after="0" w:line="342" w:lineRule="exact"/>
        <w:textAlignment w:val="baseline"/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</w:pPr>
      <w:r w:rsidRPr="007838E3"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  <w:t>Project Manager:</w:t>
      </w:r>
    </w:p>
    <w:p w14:paraId="6FEF79D8" w14:textId="5CCA43DE" w:rsidR="007838E3" w:rsidRPr="007838E3" w:rsidRDefault="007838E3" w:rsidP="007838E3">
      <w:pPr>
        <w:spacing w:after="0" w:line="342" w:lineRule="exact"/>
        <w:textAlignment w:val="baseline"/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</w:pPr>
      <w:r w:rsidRPr="007838E3"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  <w:t>Business Line Owner:</w:t>
      </w:r>
    </w:p>
    <w:p w14:paraId="02F83BC7" w14:textId="6C87C839" w:rsidR="007838E3" w:rsidRPr="007838E3" w:rsidRDefault="007838E3" w:rsidP="007838E3">
      <w:pPr>
        <w:spacing w:after="0" w:line="342" w:lineRule="exact"/>
        <w:textAlignment w:val="baseline"/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</w:pPr>
      <w:r w:rsidRPr="007838E3"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  <w:t>Business Initiative Lead:</w:t>
      </w:r>
      <w:r>
        <w:rPr>
          <w:rFonts w:ascii="Times New Roman" w:eastAsia="Times New Roman" w:hAnsi="Times New Roman" w:cs="Times New Roman"/>
          <w:b/>
          <w:color w:val="026344"/>
          <w:spacing w:val="10"/>
          <w:sz w:val="23"/>
          <w:szCs w:val="23"/>
        </w:rPr>
        <w:t xml:space="preserve"> Chad Doorley</w:t>
      </w:r>
    </w:p>
    <w:p w14:paraId="1CE99CFD" w14:textId="77777777" w:rsidR="007838E3" w:rsidRDefault="007838E3" w:rsidP="00AA4A87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</w:p>
    <w:p w14:paraId="74254605" w14:textId="420CE5D8" w:rsidR="00AA4A87" w:rsidRPr="00574017" w:rsidRDefault="00AA4A87" w:rsidP="00AA4A87">
      <w:pPr>
        <w:jc w:val="bot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Executive Summary</w:t>
      </w:r>
      <w:r w:rsidR="007838E3">
        <w:rPr>
          <w:rFonts w:ascii="Times New Roman" w:hAnsi="Times New Roman" w:cs="Times New Roman"/>
          <w:b/>
          <w:sz w:val="23"/>
          <w:szCs w:val="23"/>
          <w:u w:val="single"/>
        </w:rPr>
        <w:t xml:space="preserve"> &amp; Scope</w:t>
      </w:r>
    </w:p>
    <w:p w14:paraId="54FC27B9" w14:textId="77777777" w:rsidR="00AA4A87" w:rsidRPr="00686370" w:rsidRDefault="00FE1B3B" w:rsidP="00AA4A87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This document presents a comprehensive overview of products for each Commercial relationship. It is designed to streamline and enhance the loan review process. The report use the household numbers, a unique relationship identifier, to consolidate the different products that a BCSB customer has and creates a holistic view of the relationship. Single Obligor Exposure, or Total Potential Outstanding to a specific relationship, is calculated based on outstanding balances and additional available funds that the customer is eligibl</w:t>
      </w:r>
      <w:r w:rsidR="00741E67">
        <w:rPr>
          <w:rFonts w:ascii="Times New Roman" w:hAnsi="Times New Roman" w:cs="Times New Roman"/>
          <w:sz w:val="23"/>
          <w:szCs w:val="23"/>
        </w:rPr>
        <w:t xml:space="preserve">e to draw on. </w:t>
      </w:r>
    </w:p>
    <w:p w14:paraId="688CD26D" w14:textId="77777777" w:rsidR="00AA4A87" w:rsidRPr="00574017" w:rsidRDefault="00AA4A87" w:rsidP="00AA4A8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</w:pPr>
      <w:r w:rsidRPr="00574017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Benefits and Potential Gains:</w:t>
      </w:r>
      <w:r w:rsidRPr="005740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7D7180DA" w14:textId="77777777" w:rsidR="00916CE1" w:rsidRDefault="00741E67" w:rsidP="00916CE1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automation of the concentration of credit report has led to significant efficiency gains</w:t>
      </w:r>
    </w:p>
    <w:p w14:paraId="0669228F" w14:textId="77777777" w:rsidR="00741E67" w:rsidRDefault="00741E67" w:rsidP="00741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Previously, assembling this report took approximately 2 weeks to put together by hand</w:t>
      </w:r>
    </w:p>
    <w:p w14:paraId="0A5F8911" w14:textId="77777777" w:rsidR="00741E67" w:rsidRDefault="00741E67" w:rsidP="00741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Now with the automation through Alteryx, it can be generated in under 3 minutes and is scheduled to run automatically</w:t>
      </w:r>
    </w:p>
    <w:p w14:paraId="0E19FEBC" w14:textId="77777777" w:rsidR="00741E67" w:rsidRDefault="00741E67" w:rsidP="00741E67">
      <w:pPr>
        <w:pStyle w:val="ListParagraph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 of efficiency:</w:t>
      </w:r>
    </w:p>
    <w:p w14:paraId="164E368F" w14:textId="77777777" w:rsidR="00741E67" w:rsidRDefault="00741E67" w:rsidP="00741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80 hours (2 weeks’ time of one employee) for generation down to instantaneous report generation</w:t>
      </w:r>
    </w:p>
    <w:p w14:paraId="518FD1A2" w14:textId="77777777" w:rsidR="00741E67" w:rsidRPr="00741E67" w:rsidRDefault="00741E67" w:rsidP="00741E67">
      <w:pPr>
        <w:pStyle w:val="ListParagraph"/>
        <w:numPr>
          <w:ilvl w:val="2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If this report was to be compiled manually every month, that would equate to 80 * 12 = 960 hours per year, or 24 weeks based on a 40 hour work week.</w:t>
      </w:r>
    </w:p>
    <w:p w14:paraId="156A0AD9" w14:textId="77777777" w:rsidR="00741E67" w:rsidRPr="00741E67" w:rsidRDefault="00741E67" w:rsidP="00741E67">
      <w:pPr>
        <w:pStyle w:val="ListParagraph"/>
        <w:numPr>
          <w:ilvl w:val="1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Ensures greater accuracy and less human error, due to the logic being programmed ahead of time and is fully auditable</w:t>
      </w:r>
    </w:p>
    <w:p w14:paraId="202ED5E4" w14:textId="266EAFDC" w:rsidR="00AA4A87" w:rsidRDefault="007838E3" w:rsidP="00AA4A8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Deliverable</w:t>
      </w:r>
      <w:r w:rsidR="00AA4A87" w:rsidRPr="00574017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:</w:t>
      </w:r>
      <w:r w:rsidR="00AA4A87" w:rsidRPr="0057401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FD04200" w14:textId="77777777" w:rsidR="00AA4A87" w:rsidRDefault="00916CE1" w:rsidP="00741E67">
      <w:pP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There are 2 </w:t>
      </w:r>
      <w:r w:rsidR="00AA4A87">
        <w:rPr>
          <w:rFonts w:ascii="Times New Roman" w:eastAsia="Times New Roman" w:hAnsi="Times New Roman" w:cs="Times New Roman"/>
          <w:color w:val="000000"/>
          <w:sz w:val="23"/>
          <w:szCs w:val="23"/>
        </w:rPr>
        <w:t>excel file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AA4A8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that will be named ‘</w:t>
      </w:r>
      <w:r w:rsidR="00741E67">
        <w:rPr>
          <w:rFonts w:ascii="Times New Roman" w:eastAsia="Times New Roman" w:hAnsi="Times New Roman" w:cs="Times New Roman"/>
          <w:color w:val="000000"/>
          <w:sz w:val="23"/>
          <w:szCs w:val="23"/>
        </w:rPr>
        <w:t>COC_Report_CMLonly</w:t>
      </w:r>
      <w:r w:rsidR="000C0AA8">
        <w:rPr>
          <w:rFonts w:ascii="Times New Roman" w:eastAsia="Times New Roman" w:hAnsi="Times New Roman" w:cs="Times New Roman"/>
          <w:color w:val="000000"/>
          <w:sz w:val="23"/>
          <w:szCs w:val="23"/>
        </w:rPr>
        <w:t>.xlsm</w:t>
      </w:r>
      <w:r w:rsidR="00AA4A87">
        <w:rPr>
          <w:rFonts w:ascii="Times New Roman" w:eastAsia="Times New Roman" w:hAnsi="Times New Roman" w:cs="Times New Roman"/>
          <w:color w:val="000000"/>
          <w:sz w:val="23"/>
          <w:szCs w:val="23"/>
        </w:rPr>
        <w:t>’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‘</w:t>
      </w:r>
      <w:r w:rsidR="00741E67">
        <w:rPr>
          <w:rFonts w:ascii="Times New Roman" w:eastAsia="Times New Roman" w:hAnsi="Times New Roman" w:cs="Times New Roman"/>
          <w:color w:val="000000"/>
          <w:sz w:val="23"/>
          <w:szCs w:val="23"/>
        </w:rPr>
        <w:t>COC_Report_IncludesPersonal</w:t>
      </w:r>
      <w:r w:rsidR="000C0AA8">
        <w:rPr>
          <w:rFonts w:ascii="Times New Roman" w:eastAsia="Times New Roman" w:hAnsi="Times New Roman" w:cs="Times New Roman"/>
          <w:color w:val="000000"/>
          <w:sz w:val="23"/>
          <w:szCs w:val="23"/>
        </w:rPr>
        <w:t>.xlsm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’</w:t>
      </w:r>
    </w:p>
    <w:p w14:paraId="3380E05A" w14:textId="77777777" w:rsidR="00741E67" w:rsidRDefault="00741E67" w:rsidP="00741E67">
      <w:pP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first calculates the Single Obligor Exposure for Commercial products, which is used for approval purposes. The second gives a </w:t>
      </w:r>
      <w:r w:rsidR="00034467">
        <w:rPr>
          <w:rFonts w:ascii="Times New Roman" w:eastAsia="Times New Roman" w:hAnsi="Times New Roman" w:cs="Times New Roman"/>
          <w:color w:val="000000"/>
          <w:sz w:val="23"/>
          <w:szCs w:val="23"/>
        </w:rPr>
        <w:t>broader overview of the relationships, bringing in any personal loans that the Customer may have with the bank.</w:t>
      </w:r>
    </w:p>
    <w:p w14:paraId="722BBB2D" w14:textId="77777777" w:rsidR="00BB29A3" w:rsidRDefault="00BB29A3" w:rsidP="00741E67">
      <w:pP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The workflow, output, and associated documentation can be found at:</w:t>
      </w:r>
    </w:p>
    <w:p w14:paraId="12B8AF6D" w14:textId="77777777" w:rsidR="00BB29A3" w:rsidRPr="00916CE1" w:rsidRDefault="00034467" w:rsidP="00741E67">
      <w:hyperlink r:id="rId6" w:history="1">
        <w:r w:rsidRPr="00F71FC9">
          <w:rPr>
            <w:rStyle w:val="Hyperlink"/>
          </w:rPr>
          <w:t xml:space="preserve">\\00-DA1\Home\Share\Line of </w:t>
        </w:r>
        <w:proofErr w:type="spellStart"/>
        <w:r w:rsidRPr="00F71FC9">
          <w:rPr>
            <w:rStyle w:val="Hyperlink"/>
          </w:rPr>
          <w:t>Business_Shared</w:t>
        </w:r>
        <w:proofErr w:type="spellEnd"/>
        <w:r w:rsidRPr="00F71FC9">
          <w:rPr>
            <w:rStyle w:val="Hyperlink"/>
          </w:rPr>
          <w:t xml:space="preserve"> Services\Commercial Credit\</w:t>
        </w:r>
        <w:proofErr w:type="spellStart"/>
        <w:r w:rsidRPr="00F71FC9">
          <w:rPr>
            <w:rStyle w:val="Hyperlink"/>
          </w:rPr>
          <w:t>FinishedReports</w:t>
        </w:r>
        <w:proofErr w:type="spellEnd"/>
        <w:r w:rsidRPr="00F71FC9">
          <w:rPr>
            <w:rStyle w:val="Hyperlink"/>
          </w:rPr>
          <w:t>\</w:t>
        </w:r>
        <w:proofErr w:type="spellStart"/>
        <w:r w:rsidRPr="00F71FC9">
          <w:rPr>
            <w:rStyle w:val="Hyperlink"/>
          </w:rPr>
          <w:t>COC_Reports</w:t>
        </w:r>
        <w:proofErr w:type="spellEnd"/>
        <w:r w:rsidRPr="00F71FC9">
          <w:rPr>
            <w:rStyle w:val="Hyperlink"/>
          </w:rPr>
          <w:t>\</w:t>
        </w:r>
      </w:hyperlink>
    </w:p>
    <w:p w14:paraId="522EA8A9" w14:textId="77777777" w:rsidR="00AA4A87" w:rsidRDefault="00AA4A87" w:rsidP="00741E67">
      <w:pPr>
        <w:spacing w:after="0"/>
        <w:ind w:left="-1440" w:firstLine="630"/>
        <w:rPr>
          <w:sz w:val="23"/>
          <w:szCs w:val="23"/>
        </w:rPr>
      </w:pPr>
    </w:p>
    <w:p w14:paraId="630940D8" w14:textId="6F25C91C" w:rsidR="00531492" w:rsidRDefault="007838E3" w:rsidP="00741E6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Technical Documentation:</w:t>
      </w:r>
    </w:p>
    <w:p w14:paraId="1F23CC35" w14:textId="4F2DC423" w:rsidR="007838E3" w:rsidRPr="007838E3" w:rsidRDefault="007838E3" w:rsidP="00741E6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>Link here</w:t>
      </w:r>
    </w:p>
    <w:sectPr w:rsidR="007838E3" w:rsidRPr="007838E3" w:rsidSect="00285E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E7C2F"/>
    <w:multiLevelType w:val="hybridMultilevel"/>
    <w:tmpl w:val="D43ED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2BC3"/>
    <w:multiLevelType w:val="hybridMultilevel"/>
    <w:tmpl w:val="32BCCD4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31301BD"/>
    <w:multiLevelType w:val="hybridMultilevel"/>
    <w:tmpl w:val="71543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39717">
    <w:abstractNumId w:val="2"/>
  </w:num>
  <w:num w:numId="2" w16cid:durableId="630864781">
    <w:abstractNumId w:val="0"/>
  </w:num>
  <w:num w:numId="3" w16cid:durableId="127547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1F"/>
    <w:rsid w:val="00034467"/>
    <w:rsid w:val="0007069B"/>
    <w:rsid w:val="000C0AA8"/>
    <w:rsid w:val="00302789"/>
    <w:rsid w:val="00531492"/>
    <w:rsid w:val="00584194"/>
    <w:rsid w:val="005A5944"/>
    <w:rsid w:val="005D0FB6"/>
    <w:rsid w:val="00741E67"/>
    <w:rsid w:val="007838E3"/>
    <w:rsid w:val="0079177F"/>
    <w:rsid w:val="008A675F"/>
    <w:rsid w:val="00916CE1"/>
    <w:rsid w:val="00AA4A87"/>
    <w:rsid w:val="00BB29A3"/>
    <w:rsid w:val="00CC4B8A"/>
    <w:rsid w:val="00D21940"/>
    <w:rsid w:val="00E2501F"/>
    <w:rsid w:val="00F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139F"/>
  <w15:chartTrackingRefBased/>
  <w15:docId w15:val="{A76FE740-CE27-4D0C-8080-4B367A60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9A3"/>
    <w:rPr>
      <w:color w:val="0563C1"/>
      <w:u w:val="single"/>
    </w:rPr>
  </w:style>
  <w:style w:type="paragraph" w:customStyle="1" w:styleId="TitleSPLDate">
    <w:name w:val="TitleSPL&amp;Date"/>
    <w:basedOn w:val="Normal"/>
    <w:rsid w:val="007838E3"/>
    <w:pPr>
      <w:spacing w:before="6000"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00-DA1\Home\Share\Line%20of%20Business_Shared%20Services\Commercial%20Credit\FinishedReports\COC_Reports\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County Savings Bank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4</cp:revision>
  <dcterms:created xsi:type="dcterms:W3CDTF">2023-11-29T15:12:00Z</dcterms:created>
  <dcterms:modified xsi:type="dcterms:W3CDTF">2024-10-07T16:14:00Z</dcterms:modified>
</cp:coreProperties>
</file>