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180" w:type="dxa"/>
        <w:tblLayout w:type="fixed"/>
        <w:tblCellMar>
          <w:left w:w="0" w:type="dxa"/>
          <w:right w:w="0" w:type="dxa"/>
        </w:tblCellMar>
        <w:tblLook w:val="0000" w:firstRow="0" w:lastRow="0" w:firstColumn="0" w:lastColumn="0" w:noHBand="0" w:noVBand="0"/>
      </w:tblPr>
      <w:tblGrid>
        <w:gridCol w:w="1464"/>
        <w:gridCol w:w="9716"/>
      </w:tblGrid>
      <w:tr w:rsidR="00AA4A87" w:rsidRPr="00686370" w14:paraId="488FFDFA" w14:textId="77777777" w:rsidTr="090EAD23">
        <w:trPr>
          <w:trHeight w:hRule="exact" w:val="1199"/>
        </w:trPr>
        <w:tc>
          <w:tcPr>
            <w:tcW w:w="1464" w:type="dxa"/>
            <w:tcBorders>
              <w:top w:val="none" w:sz="0" w:space="0" w:color="000000" w:themeColor="text1"/>
              <w:left w:val="none" w:sz="0" w:space="0" w:color="000000" w:themeColor="text1"/>
              <w:bottom w:val="none" w:sz="0" w:space="0" w:color="000000" w:themeColor="text1"/>
              <w:right w:val="none" w:sz="0" w:space="0" w:color="000000" w:themeColor="text1"/>
            </w:tcBorders>
          </w:tcPr>
          <w:p w14:paraId="61002462" w14:textId="77777777" w:rsidR="00AA4A87" w:rsidRPr="00686370" w:rsidRDefault="00AA4A87" w:rsidP="00FE6B07">
            <w:pPr>
              <w:spacing w:before="15" w:after="32"/>
              <w:jc w:val="center"/>
              <w:textAlignment w:val="baseline"/>
              <w:rPr>
                <w:sz w:val="23"/>
                <w:szCs w:val="23"/>
              </w:rPr>
            </w:pPr>
            <w:r w:rsidRPr="00686370">
              <w:rPr>
                <w:noProof/>
                <w:sz w:val="23"/>
                <w:szCs w:val="23"/>
              </w:rPr>
              <w:drawing>
                <wp:inline distT="0" distB="0" distL="0" distR="0" wp14:anchorId="461D4CE4" wp14:editId="6D1BB139">
                  <wp:extent cx="929640" cy="7315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referRelativeResize="0"/>
                        </pic:nvPicPr>
                        <pic:blipFill>
                          <a:blip r:embed="rId5"/>
                          <a:stretch>
                            <a:fillRect/>
                          </a:stretch>
                        </pic:blipFill>
                        <pic:spPr>
                          <a:xfrm>
                            <a:off x="0" y="0"/>
                            <a:ext cx="929640" cy="731520"/>
                          </a:xfrm>
                          <a:prstGeom prst="rect">
                            <a:avLst/>
                          </a:prstGeom>
                        </pic:spPr>
                      </pic:pic>
                    </a:graphicData>
                  </a:graphic>
                </wp:inline>
              </w:drawing>
            </w:r>
          </w:p>
        </w:tc>
        <w:tc>
          <w:tcPr>
            <w:tcW w:w="9716" w:type="dxa"/>
            <w:tcBorders>
              <w:top w:val="none" w:sz="0" w:space="0" w:color="000000" w:themeColor="text1"/>
              <w:left w:val="none" w:sz="0" w:space="0" w:color="000000" w:themeColor="text1"/>
              <w:bottom w:val="none" w:sz="0" w:space="0" w:color="000000" w:themeColor="text1"/>
              <w:right w:val="none" w:sz="0" w:space="0" w:color="000000" w:themeColor="text1"/>
            </w:tcBorders>
            <w:vAlign w:val="center"/>
          </w:tcPr>
          <w:p w14:paraId="2B21BE58" w14:textId="79F98AB3" w:rsidR="00AA4A87" w:rsidRPr="00686370" w:rsidRDefault="00AA4A87" w:rsidP="090EAD23">
            <w:pPr>
              <w:spacing w:before="301" w:after="209" w:line="230" w:lineRule="exact"/>
              <w:ind w:left="720" w:right="1554"/>
              <w:jc w:val="right"/>
              <w:textAlignment w:val="baseline"/>
              <w:rPr>
                <w:rFonts w:ascii="Times New Roman" w:eastAsia="Times New Roman" w:hAnsi="Times New Roman"/>
                <w:color w:val="000000"/>
                <w:spacing w:val="-2"/>
                <w:sz w:val="23"/>
                <w:szCs w:val="23"/>
              </w:rPr>
            </w:pPr>
            <w:r w:rsidRPr="090EAD23">
              <w:rPr>
                <w:rFonts w:ascii="Times New Roman" w:eastAsia="Times New Roman" w:hAnsi="Times New Roman"/>
                <w:color w:val="000000" w:themeColor="text1"/>
                <w:sz w:val="23"/>
                <w:szCs w:val="23"/>
              </w:rPr>
              <w:t>Bristol County Savings Bank</w:t>
            </w:r>
            <w:r>
              <w:br/>
            </w:r>
            <w:r w:rsidRPr="00686370">
              <w:rPr>
                <w:rFonts w:ascii="Times New Roman" w:eastAsia="Times New Roman" w:hAnsi="Times New Roman"/>
                <w:color w:val="000000"/>
                <w:spacing w:val="-2"/>
                <w:sz w:val="23"/>
                <w:szCs w:val="23"/>
              </w:rPr>
              <w:t>Commitment. Stability. Community.</w:t>
            </w:r>
            <w:r>
              <w:br/>
            </w:r>
            <w:r w:rsidR="0C82B229" w:rsidRPr="00686370">
              <w:rPr>
                <w:rFonts w:ascii="Times New Roman" w:eastAsia="Times New Roman" w:hAnsi="Times New Roman"/>
                <w:color w:val="000000"/>
                <w:spacing w:val="-2"/>
                <w:sz w:val="23"/>
                <w:szCs w:val="23"/>
              </w:rPr>
              <w:t>Business Intelligence</w:t>
            </w:r>
            <w:r w:rsidR="6CF9C4B1" w:rsidRPr="00686370">
              <w:rPr>
                <w:rFonts w:ascii="Times New Roman" w:eastAsia="Times New Roman" w:hAnsi="Times New Roman"/>
                <w:color w:val="000000"/>
                <w:spacing w:val="-2"/>
                <w:sz w:val="23"/>
                <w:szCs w:val="23"/>
              </w:rPr>
              <w:t xml:space="preserve"> &amp; Data Analytics</w:t>
            </w:r>
            <w:r>
              <w:br/>
            </w:r>
            <w:r w:rsidR="0C82B229" w:rsidRPr="00686370">
              <w:rPr>
                <w:rFonts w:ascii="Times New Roman" w:eastAsia="Times New Roman" w:hAnsi="Times New Roman"/>
                <w:color w:val="000000"/>
                <w:spacing w:val="-2"/>
                <w:sz w:val="23"/>
                <w:szCs w:val="23"/>
              </w:rPr>
              <w:t>Rapid Application Development</w:t>
            </w:r>
            <w:r w:rsidR="63D6C91E" w:rsidRPr="00686370">
              <w:rPr>
                <w:rFonts w:ascii="Times New Roman" w:eastAsia="Times New Roman" w:hAnsi="Times New Roman"/>
                <w:color w:val="000000"/>
                <w:spacing w:val="-2"/>
                <w:sz w:val="23"/>
                <w:szCs w:val="23"/>
              </w:rPr>
              <w:t xml:space="preserve"> </w:t>
            </w:r>
            <w:r w:rsidR="0C82B229" w:rsidRPr="00686370">
              <w:rPr>
                <w:rFonts w:ascii="Times New Roman" w:eastAsia="Times New Roman" w:hAnsi="Times New Roman"/>
                <w:color w:val="000000"/>
                <w:spacing w:val="-2"/>
                <w:sz w:val="23"/>
                <w:szCs w:val="23"/>
              </w:rPr>
              <w:t xml:space="preserve">(RAD) </w:t>
            </w:r>
            <w:r w:rsidRPr="00686370">
              <w:rPr>
                <w:rFonts w:ascii="Times New Roman" w:eastAsia="Times New Roman" w:hAnsi="Times New Roman"/>
                <w:color w:val="000000"/>
                <w:spacing w:val="-2"/>
                <w:sz w:val="23"/>
                <w:szCs w:val="23"/>
              </w:rPr>
              <w:t>Use Cases</w:t>
            </w:r>
          </w:p>
        </w:tc>
      </w:tr>
    </w:tbl>
    <w:p w14:paraId="63374200" w14:textId="4237D044" w:rsidR="090EAD23" w:rsidRDefault="090EAD23" w:rsidP="090EAD23">
      <w:pPr>
        <w:spacing w:after="0" w:line="342" w:lineRule="exact"/>
        <w:rPr>
          <w:rFonts w:ascii="Times New Roman" w:eastAsia="Times New Roman" w:hAnsi="Times New Roman" w:cs="Times New Roman"/>
          <w:b/>
          <w:bCs/>
          <w:color w:val="026344"/>
          <w:sz w:val="23"/>
          <w:szCs w:val="23"/>
        </w:rPr>
      </w:pPr>
    </w:p>
    <w:p w14:paraId="570F28A6" w14:textId="42D294C5" w:rsidR="00AA4A87" w:rsidRDefault="007838E3" w:rsidP="090EAD23">
      <w:pPr>
        <w:spacing w:after="0" w:line="342" w:lineRule="exact"/>
        <w:textAlignment w:val="baseline"/>
        <w:rPr>
          <w:rFonts w:ascii="Times New Roman" w:eastAsia="Times New Roman" w:hAnsi="Times New Roman" w:cs="Times New Roman"/>
          <w:b/>
          <w:bCs/>
          <w:color w:val="026344"/>
          <w:spacing w:val="10"/>
          <w:sz w:val="23"/>
          <w:szCs w:val="23"/>
        </w:rPr>
      </w:pPr>
      <w:r w:rsidRPr="090EAD23">
        <w:rPr>
          <w:rFonts w:ascii="Times New Roman" w:eastAsia="Times New Roman" w:hAnsi="Times New Roman" w:cs="Times New Roman"/>
          <w:b/>
          <w:bCs/>
          <w:color w:val="026344"/>
          <w:spacing w:val="10"/>
          <w:sz w:val="23"/>
          <w:szCs w:val="23"/>
        </w:rPr>
        <w:t xml:space="preserve">Project Title: </w:t>
      </w:r>
      <w:r w:rsidR="00802D4A">
        <w:rPr>
          <w:rFonts w:ascii="Times New Roman" w:eastAsia="Times New Roman" w:hAnsi="Times New Roman" w:cs="Times New Roman"/>
          <w:b/>
          <w:bCs/>
          <w:color w:val="026344"/>
          <w:spacing w:val="10"/>
          <w:sz w:val="23"/>
          <w:szCs w:val="23"/>
        </w:rPr>
        <w:t xml:space="preserve">Resolution Committee Automation – </w:t>
      </w:r>
      <w:r w:rsidR="006134CE">
        <w:rPr>
          <w:rFonts w:ascii="Times New Roman" w:eastAsia="Times New Roman" w:hAnsi="Times New Roman" w:cs="Times New Roman"/>
          <w:b/>
          <w:bCs/>
          <w:color w:val="026344"/>
          <w:spacing w:val="10"/>
          <w:sz w:val="23"/>
          <w:szCs w:val="23"/>
        </w:rPr>
        <w:t>Delinquency</w:t>
      </w:r>
    </w:p>
    <w:p w14:paraId="3991054F" w14:textId="03CBFF40" w:rsidR="007838E3" w:rsidRPr="007838E3" w:rsidRDefault="007838E3" w:rsidP="090EAD23">
      <w:pPr>
        <w:spacing w:after="0" w:line="342" w:lineRule="exact"/>
        <w:textAlignment w:val="baseline"/>
        <w:rPr>
          <w:rFonts w:ascii="Times New Roman" w:eastAsia="Times New Roman" w:hAnsi="Times New Roman" w:cs="Times New Roman"/>
          <w:b/>
          <w:bCs/>
          <w:color w:val="026344"/>
          <w:spacing w:val="10"/>
          <w:sz w:val="23"/>
          <w:szCs w:val="23"/>
        </w:rPr>
      </w:pPr>
      <w:r w:rsidRPr="090EAD23">
        <w:rPr>
          <w:rFonts w:ascii="Times New Roman" w:eastAsia="Times New Roman" w:hAnsi="Times New Roman" w:cs="Times New Roman"/>
          <w:b/>
          <w:bCs/>
          <w:color w:val="026344"/>
          <w:spacing w:val="10"/>
          <w:sz w:val="23"/>
          <w:szCs w:val="23"/>
        </w:rPr>
        <w:t>Executive Sponsor:</w:t>
      </w:r>
      <w:r w:rsidR="00802D4A">
        <w:rPr>
          <w:rFonts w:ascii="Times New Roman" w:eastAsia="Times New Roman" w:hAnsi="Times New Roman" w:cs="Times New Roman"/>
          <w:b/>
          <w:bCs/>
          <w:color w:val="026344"/>
          <w:spacing w:val="10"/>
          <w:sz w:val="23"/>
          <w:szCs w:val="23"/>
        </w:rPr>
        <w:t xml:space="preserve"> Michael Coppolino</w:t>
      </w:r>
    </w:p>
    <w:p w14:paraId="1F7347FC" w14:textId="3D9CB01C" w:rsidR="007838E3" w:rsidRPr="007838E3" w:rsidRDefault="007838E3" w:rsidP="090EAD23">
      <w:pPr>
        <w:spacing w:after="0" w:line="342" w:lineRule="exact"/>
        <w:textAlignment w:val="baseline"/>
        <w:rPr>
          <w:rFonts w:ascii="Times New Roman" w:eastAsia="Times New Roman" w:hAnsi="Times New Roman" w:cs="Times New Roman"/>
          <w:b/>
          <w:bCs/>
          <w:color w:val="026344"/>
          <w:spacing w:val="10"/>
          <w:sz w:val="23"/>
          <w:szCs w:val="23"/>
        </w:rPr>
      </w:pPr>
      <w:r w:rsidRPr="090EAD23">
        <w:rPr>
          <w:rFonts w:ascii="Times New Roman" w:eastAsia="Times New Roman" w:hAnsi="Times New Roman" w:cs="Times New Roman"/>
          <w:b/>
          <w:bCs/>
          <w:color w:val="026344"/>
          <w:spacing w:val="10"/>
          <w:sz w:val="23"/>
          <w:szCs w:val="23"/>
        </w:rPr>
        <w:t>Project Manager:</w:t>
      </w:r>
      <w:r w:rsidR="00802D4A">
        <w:rPr>
          <w:rFonts w:ascii="Times New Roman" w:eastAsia="Times New Roman" w:hAnsi="Times New Roman" w:cs="Times New Roman"/>
          <w:b/>
          <w:bCs/>
          <w:color w:val="026344"/>
          <w:spacing w:val="10"/>
          <w:sz w:val="23"/>
          <w:szCs w:val="23"/>
        </w:rPr>
        <w:t xml:space="preserve"> William Muto</w:t>
      </w:r>
    </w:p>
    <w:p w14:paraId="6FEF79D8" w14:textId="269E6FC4" w:rsidR="007838E3" w:rsidRPr="007838E3" w:rsidRDefault="007838E3" w:rsidP="090EAD23">
      <w:pPr>
        <w:spacing w:after="0" w:line="342" w:lineRule="exact"/>
        <w:textAlignment w:val="baseline"/>
        <w:rPr>
          <w:rFonts w:ascii="Times New Roman" w:eastAsia="Times New Roman" w:hAnsi="Times New Roman" w:cs="Times New Roman"/>
          <w:b/>
          <w:bCs/>
          <w:color w:val="026344"/>
          <w:spacing w:val="10"/>
          <w:sz w:val="23"/>
          <w:szCs w:val="23"/>
        </w:rPr>
      </w:pPr>
      <w:r w:rsidRPr="090EAD23">
        <w:rPr>
          <w:rFonts w:ascii="Times New Roman" w:eastAsia="Times New Roman" w:hAnsi="Times New Roman" w:cs="Times New Roman"/>
          <w:b/>
          <w:bCs/>
          <w:color w:val="026344"/>
          <w:spacing w:val="10"/>
          <w:sz w:val="23"/>
          <w:szCs w:val="23"/>
        </w:rPr>
        <w:t>Business Line Owner:</w:t>
      </w:r>
      <w:r w:rsidR="00802D4A">
        <w:rPr>
          <w:rFonts w:ascii="Times New Roman" w:eastAsia="Times New Roman" w:hAnsi="Times New Roman" w:cs="Times New Roman"/>
          <w:b/>
          <w:bCs/>
          <w:color w:val="026344"/>
          <w:spacing w:val="10"/>
          <w:sz w:val="23"/>
          <w:szCs w:val="23"/>
        </w:rPr>
        <w:t xml:space="preserve"> Paul Kocak</w:t>
      </w:r>
    </w:p>
    <w:p w14:paraId="02F83BC7" w14:textId="172B16FF" w:rsidR="007838E3" w:rsidRPr="007838E3" w:rsidRDefault="007838E3" w:rsidP="090EAD23">
      <w:pPr>
        <w:spacing w:after="0" w:line="342" w:lineRule="exact"/>
        <w:textAlignment w:val="baseline"/>
        <w:rPr>
          <w:rFonts w:ascii="Times New Roman" w:eastAsia="Times New Roman" w:hAnsi="Times New Roman" w:cs="Times New Roman"/>
          <w:b/>
          <w:bCs/>
          <w:color w:val="026344"/>
          <w:spacing w:val="10"/>
          <w:sz w:val="23"/>
          <w:szCs w:val="23"/>
        </w:rPr>
      </w:pPr>
      <w:r w:rsidRPr="090EAD23">
        <w:rPr>
          <w:rFonts w:ascii="Times New Roman" w:eastAsia="Times New Roman" w:hAnsi="Times New Roman" w:cs="Times New Roman"/>
          <w:b/>
          <w:bCs/>
          <w:color w:val="026344"/>
          <w:spacing w:val="10"/>
          <w:sz w:val="23"/>
          <w:szCs w:val="23"/>
        </w:rPr>
        <w:t xml:space="preserve">Business Initiative Lead: </w:t>
      </w:r>
      <w:r w:rsidR="00802D4A">
        <w:rPr>
          <w:rFonts w:ascii="Times New Roman" w:eastAsia="Times New Roman" w:hAnsi="Times New Roman" w:cs="Times New Roman"/>
          <w:b/>
          <w:bCs/>
          <w:color w:val="026344"/>
          <w:spacing w:val="10"/>
          <w:sz w:val="23"/>
          <w:szCs w:val="23"/>
        </w:rPr>
        <w:t>Chad Doorley</w:t>
      </w:r>
    </w:p>
    <w:p w14:paraId="1CE99CFD" w14:textId="77777777" w:rsidR="007838E3" w:rsidRDefault="007838E3" w:rsidP="00AA4A87">
      <w:pPr>
        <w:jc w:val="both"/>
        <w:rPr>
          <w:rFonts w:ascii="Times New Roman" w:hAnsi="Times New Roman" w:cs="Times New Roman"/>
          <w:b/>
          <w:sz w:val="23"/>
          <w:szCs w:val="23"/>
          <w:u w:val="single"/>
        </w:rPr>
      </w:pPr>
    </w:p>
    <w:p w14:paraId="77D3F5E2" w14:textId="596DC520" w:rsidR="00802D4A" w:rsidRPr="00D33555" w:rsidRDefault="00AA4A87" w:rsidP="00D33555">
      <w:pPr>
        <w:jc w:val="both"/>
        <w:rPr>
          <w:rFonts w:ascii="Times New Roman" w:hAnsi="Times New Roman" w:cs="Times New Roman"/>
          <w:b/>
          <w:sz w:val="23"/>
          <w:szCs w:val="23"/>
          <w:u w:val="single"/>
        </w:rPr>
      </w:pPr>
      <w:r w:rsidRPr="090EAD23">
        <w:rPr>
          <w:rFonts w:ascii="Times New Roman" w:hAnsi="Times New Roman" w:cs="Times New Roman"/>
          <w:b/>
          <w:bCs/>
          <w:sz w:val="23"/>
          <w:szCs w:val="23"/>
          <w:u w:val="single"/>
        </w:rPr>
        <w:t>Executive Summary</w:t>
      </w:r>
      <w:r w:rsidR="007838E3" w:rsidRPr="090EAD23">
        <w:rPr>
          <w:rFonts w:ascii="Times New Roman" w:hAnsi="Times New Roman" w:cs="Times New Roman"/>
          <w:b/>
          <w:bCs/>
          <w:sz w:val="23"/>
          <w:szCs w:val="23"/>
          <w:u w:val="single"/>
        </w:rPr>
        <w:t xml:space="preserve"> &amp; Scope</w:t>
      </w:r>
    </w:p>
    <w:p w14:paraId="4C64F2C3" w14:textId="26956BD7" w:rsidR="00D33555" w:rsidRPr="00D33555" w:rsidRDefault="00802D4A" w:rsidP="00D33555">
      <w:pPr>
        <w:ind w:firstLine="720"/>
        <w:jc w:val="both"/>
        <w:rPr>
          <w:rFonts w:ascii="Times New Roman" w:eastAsia="Times New Roman" w:hAnsi="Times New Roman" w:cs="Times New Roman"/>
          <w:color w:val="000000" w:themeColor="text1"/>
          <w:sz w:val="23"/>
          <w:szCs w:val="23"/>
        </w:rPr>
      </w:pPr>
      <w:r w:rsidRPr="00D33555">
        <w:rPr>
          <w:rFonts w:ascii="Times New Roman" w:eastAsia="Times New Roman" w:hAnsi="Times New Roman" w:cs="Times New Roman"/>
          <w:color w:val="000000" w:themeColor="text1"/>
          <w:sz w:val="23"/>
          <w:szCs w:val="23"/>
        </w:rPr>
        <w:t xml:space="preserve">The </w:t>
      </w:r>
      <w:r w:rsidR="00AC3EDD">
        <w:rPr>
          <w:rFonts w:ascii="Times New Roman" w:eastAsia="Times New Roman" w:hAnsi="Times New Roman" w:cs="Times New Roman"/>
          <w:color w:val="000000" w:themeColor="text1"/>
          <w:sz w:val="23"/>
          <w:szCs w:val="23"/>
        </w:rPr>
        <w:t>Delinquency</w:t>
      </w:r>
      <w:r w:rsidRPr="00D33555">
        <w:rPr>
          <w:rFonts w:ascii="Times New Roman" w:eastAsia="Times New Roman" w:hAnsi="Times New Roman" w:cs="Times New Roman"/>
          <w:color w:val="000000" w:themeColor="text1"/>
          <w:sz w:val="23"/>
          <w:szCs w:val="23"/>
        </w:rPr>
        <w:t xml:space="preserve"> report is a package generated monthly for the Resolution Committee</w:t>
      </w:r>
      <w:r w:rsidR="00D33555" w:rsidRPr="00D33555">
        <w:rPr>
          <w:rFonts w:ascii="Times New Roman" w:eastAsia="Times New Roman" w:hAnsi="Times New Roman" w:cs="Times New Roman"/>
          <w:color w:val="000000" w:themeColor="text1"/>
          <w:sz w:val="23"/>
          <w:szCs w:val="23"/>
        </w:rPr>
        <w:t xml:space="preserve"> (RC)</w:t>
      </w:r>
      <w:r w:rsidRPr="00D33555">
        <w:rPr>
          <w:rFonts w:ascii="Times New Roman" w:eastAsia="Times New Roman" w:hAnsi="Times New Roman" w:cs="Times New Roman"/>
          <w:color w:val="000000" w:themeColor="text1"/>
          <w:sz w:val="23"/>
          <w:szCs w:val="23"/>
        </w:rPr>
        <w:t xml:space="preserve">. It breaks out and summarizes </w:t>
      </w:r>
      <w:r w:rsidR="006134CE">
        <w:rPr>
          <w:rFonts w:ascii="Times New Roman" w:eastAsia="Times New Roman" w:hAnsi="Times New Roman" w:cs="Times New Roman"/>
          <w:color w:val="000000" w:themeColor="text1"/>
          <w:sz w:val="23"/>
          <w:szCs w:val="23"/>
        </w:rPr>
        <w:t xml:space="preserve">past due loans across the Commercial and Consumer </w:t>
      </w:r>
      <w:r w:rsidR="00AC3EDD">
        <w:rPr>
          <w:rFonts w:ascii="Times New Roman" w:eastAsia="Times New Roman" w:hAnsi="Times New Roman" w:cs="Times New Roman"/>
          <w:color w:val="000000" w:themeColor="text1"/>
          <w:sz w:val="23"/>
          <w:szCs w:val="23"/>
        </w:rPr>
        <w:t xml:space="preserve">loan </w:t>
      </w:r>
      <w:r w:rsidR="006134CE">
        <w:rPr>
          <w:rFonts w:ascii="Times New Roman" w:eastAsia="Times New Roman" w:hAnsi="Times New Roman" w:cs="Times New Roman"/>
          <w:color w:val="000000" w:themeColor="text1"/>
          <w:sz w:val="23"/>
          <w:szCs w:val="23"/>
        </w:rPr>
        <w:t>departments</w:t>
      </w:r>
      <w:r w:rsidRPr="00D33555">
        <w:rPr>
          <w:rFonts w:ascii="Times New Roman" w:eastAsia="Times New Roman" w:hAnsi="Times New Roman" w:cs="Times New Roman"/>
          <w:color w:val="000000" w:themeColor="text1"/>
          <w:sz w:val="23"/>
          <w:szCs w:val="23"/>
        </w:rPr>
        <w:t>. There are several packages in the Resolution Committee</w:t>
      </w:r>
      <w:r w:rsidR="00D33555">
        <w:rPr>
          <w:rFonts w:ascii="Times New Roman" w:eastAsia="Times New Roman" w:hAnsi="Times New Roman" w:cs="Times New Roman"/>
          <w:color w:val="000000" w:themeColor="text1"/>
          <w:sz w:val="23"/>
          <w:szCs w:val="23"/>
        </w:rPr>
        <w:t>,</w:t>
      </w:r>
      <w:r w:rsidRPr="00D33555">
        <w:rPr>
          <w:rFonts w:ascii="Times New Roman" w:eastAsia="Times New Roman" w:hAnsi="Times New Roman" w:cs="Times New Roman"/>
          <w:color w:val="000000" w:themeColor="text1"/>
          <w:sz w:val="23"/>
          <w:szCs w:val="23"/>
        </w:rPr>
        <w:t xml:space="preserve"> and they </w:t>
      </w:r>
      <w:r w:rsidR="00D33555">
        <w:rPr>
          <w:rFonts w:ascii="Times New Roman" w:eastAsia="Times New Roman" w:hAnsi="Times New Roman" w:cs="Times New Roman"/>
          <w:color w:val="000000" w:themeColor="text1"/>
          <w:sz w:val="23"/>
          <w:szCs w:val="23"/>
        </w:rPr>
        <w:t>were previously</w:t>
      </w:r>
      <w:r w:rsidRPr="00D33555">
        <w:rPr>
          <w:rFonts w:ascii="Times New Roman" w:eastAsia="Times New Roman" w:hAnsi="Times New Roman" w:cs="Times New Roman"/>
          <w:color w:val="000000" w:themeColor="text1"/>
          <w:sz w:val="23"/>
          <w:szCs w:val="23"/>
        </w:rPr>
        <w:t xml:space="preserve"> prepared manually by the Loan Review &amp; Collections team. This report is a subset of an overall initiative to automate parts of this package to increase internal efficiency and reduce the error rate. This ties to the strategic goal of decreasing operating costs &amp; creating clear, auditable processes. </w:t>
      </w:r>
    </w:p>
    <w:p w14:paraId="332929BA" w14:textId="26292655" w:rsidR="00AA4A87" w:rsidRPr="00D33555" w:rsidRDefault="00802D4A" w:rsidP="00D33555">
      <w:pPr>
        <w:ind w:firstLine="720"/>
        <w:jc w:val="both"/>
        <w:rPr>
          <w:rFonts w:ascii="Times New Roman" w:eastAsia="Times New Roman" w:hAnsi="Times New Roman" w:cs="Times New Roman"/>
          <w:color w:val="000000" w:themeColor="text1"/>
          <w:sz w:val="23"/>
          <w:szCs w:val="23"/>
        </w:rPr>
      </w:pPr>
      <w:r w:rsidRPr="00D33555">
        <w:rPr>
          <w:rFonts w:ascii="Times New Roman" w:eastAsia="Times New Roman" w:hAnsi="Times New Roman" w:cs="Times New Roman"/>
          <w:color w:val="000000" w:themeColor="text1"/>
          <w:sz w:val="23"/>
          <w:szCs w:val="23"/>
        </w:rPr>
        <w:t xml:space="preserve">The </w:t>
      </w:r>
      <w:r w:rsidR="00AC3EDD">
        <w:rPr>
          <w:rFonts w:ascii="Times New Roman" w:eastAsia="Times New Roman" w:hAnsi="Times New Roman" w:cs="Times New Roman"/>
          <w:color w:val="000000" w:themeColor="text1"/>
          <w:sz w:val="23"/>
          <w:szCs w:val="23"/>
        </w:rPr>
        <w:t>Delinquency</w:t>
      </w:r>
      <w:r w:rsidRPr="00D33555">
        <w:rPr>
          <w:rFonts w:ascii="Times New Roman" w:eastAsia="Times New Roman" w:hAnsi="Times New Roman" w:cs="Times New Roman"/>
          <w:color w:val="000000" w:themeColor="text1"/>
          <w:sz w:val="23"/>
          <w:szCs w:val="23"/>
        </w:rPr>
        <w:t xml:space="preserve"> report </w:t>
      </w:r>
      <w:r w:rsidR="00AC3EDD">
        <w:rPr>
          <w:rFonts w:ascii="Times New Roman" w:eastAsia="Times New Roman" w:hAnsi="Times New Roman" w:cs="Times New Roman"/>
          <w:color w:val="000000" w:themeColor="text1"/>
          <w:sz w:val="23"/>
          <w:szCs w:val="23"/>
        </w:rPr>
        <w:t>breaks out all past due loans by category.</w:t>
      </w:r>
      <w:r w:rsidRPr="00D33555">
        <w:rPr>
          <w:rFonts w:ascii="Times New Roman" w:eastAsia="Times New Roman" w:hAnsi="Times New Roman" w:cs="Times New Roman"/>
          <w:color w:val="000000" w:themeColor="text1"/>
          <w:sz w:val="23"/>
          <w:szCs w:val="23"/>
        </w:rPr>
        <w:t xml:space="preserve"> The data is retrieved at month end from the COCC Database and </w:t>
      </w:r>
      <w:r w:rsidR="00AC3EDD">
        <w:rPr>
          <w:rFonts w:ascii="Times New Roman" w:eastAsia="Times New Roman" w:hAnsi="Times New Roman" w:cs="Times New Roman"/>
          <w:color w:val="000000" w:themeColor="text1"/>
          <w:sz w:val="23"/>
          <w:szCs w:val="23"/>
        </w:rPr>
        <w:t xml:space="preserve">is </w:t>
      </w:r>
      <w:r w:rsidRPr="00D33555">
        <w:rPr>
          <w:rFonts w:ascii="Times New Roman" w:eastAsia="Times New Roman" w:hAnsi="Times New Roman" w:cs="Times New Roman"/>
          <w:color w:val="000000" w:themeColor="text1"/>
          <w:sz w:val="23"/>
          <w:szCs w:val="23"/>
        </w:rPr>
        <w:t xml:space="preserve">transformed programmatically to produce the </w:t>
      </w:r>
      <w:r w:rsidR="00AC3EDD">
        <w:rPr>
          <w:rFonts w:ascii="Times New Roman" w:eastAsia="Times New Roman" w:hAnsi="Times New Roman" w:cs="Times New Roman"/>
          <w:color w:val="000000" w:themeColor="text1"/>
          <w:sz w:val="23"/>
          <w:szCs w:val="23"/>
        </w:rPr>
        <w:t>full report</w:t>
      </w:r>
      <w:r w:rsidRPr="00D33555">
        <w:rPr>
          <w:rFonts w:ascii="Times New Roman" w:eastAsia="Times New Roman" w:hAnsi="Times New Roman" w:cs="Times New Roman"/>
          <w:color w:val="000000" w:themeColor="text1"/>
          <w:sz w:val="23"/>
          <w:szCs w:val="23"/>
        </w:rPr>
        <w:t>. The output is written to Excel. The Loan Review team is responsible for validat</w:t>
      </w:r>
      <w:r w:rsidR="00D33555" w:rsidRPr="00D33555">
        <w:rPr>
          <w:rFonts w:ascii="Times New Roman" w:eastAsia="Times New Roman" w:hAnsi="Times New Roman" w:cs="Times New Roman"/>
          <w:color w:val="000000" w:themeColor="text1"/>
          <w:sz w:val="23"/>
          <w:szCs w:val="23"/>
        </w:rPr>
        <w:t xml:space="preserve">ing the outputs and attaching the </w:t>
      </w:r>
      <w:r w:rsidR="00AC3EDD">
        <w:rPr>
          <w:rFonts w:ascii="Times New Roman" w:eastAsia="Times New Roman" w:hAnsi="Times New Roman" w:cs="Times New Roman"/>
          <w:color w:val="000000" w:themeColor="text1"/>
          <w:sz w:val="23"/>
          <w:szCs w:val="23"/>
        </w:rPr>
        <w:t>Delinquency report</w:t>
      </w:r>
      <w:r w:rsidR="00D33555" w:rsidRPr="00D33555">
        <w:rPr>
          <w:rFonts w:ascii="Times New Roman" w:eastAsia="Times New Roman" w:hAnsi="Times New Roman" w:cs="Times New Roman"/>
          <w:color w:val="000000" w:themeColor="text1"/>
          <w:sz w:val="23"/>
          <w:szCs w:val="23"/>
        </w:rPr>
        <w:t xml:space="preserve"> to the RC package.</w:t>
      </w:r>
    </w:p>
    <w:p w14:paraId="4D2138DF" w14:textId="39128FAD" w:rsidR="00AA4A87" w:rsidRPr="00574017" w:rsidRDefault="00AA4A87" w:rsidP="090EAD23">
      <w:pPr>
        <w:spacing w:line="240" w:lineRule="auto"/>
        <w:jc w:val="both"/>
        <w:rPr>
          <w:rFonts w:ascii="Times New Roman" w:eastAsia="Times New Roman" w:hAnsi="Times New Roman" w:cs="Times New Roman"/>
          <w:b/>
          <w:bCs/>
          <w:color w:val="000000" w:themeColor="text1"/>
          <w:sz w:val="23"/>
          <w:szCs w:val="23"/>
          <w:u w:val="single"/>
        </w:rPr>
      </w:pPr>
    </w:p>
    <w:p w14:paraId="688CD26D" w14:textId="1BD9648D" w:rsidR="00AA4A87" w:rsidRPr="00574017" w:rsidRDefault="00AA4A87" w:rsidP="090EAD23">
      <w:pPr>
        <w:spacing w:line="240" w:lineRule="auto"/>
        <w:jc w:val="both"/>
        <w:rPr>
          <w:rFonts w:ascii="Times New Roman" w:eastAsia="Times New Roman" w:hAnsi="Times New Roman" w:cs="Times New Roman"/>
          <w:color w:val="000000"/>
          <w:sz w:val="23"/>
          <w:szCs w:val="23"/>
        </w:rPr>
      </w:pPr>
      <w:r w:rsidRPr="090EAD23">
        <w:rPr>
          <w:rFonts w:ascii="Times New Roman" w:eastAsia="Times New Roman" w:hAnsi="Times New Roman" w:cs="Times New Roman"/>
          <w:b/>
          <w:bCs/>
          <w:color w:val="000000" w:themeColor="text1"/>
          <w:sz w:val="23"/>
          <w:szCs w:val="23"/>
          <w:u w:val="single"/>
        </w:rPr>
        <w:t>Benefits and Potential Gain</w:t>
      </w:r>
      <w:r w:rsidR="5E4AF1A4" w:rsidRPr="090EAD23">
        <w:rPr>
          <w:rFonts w:ascii="Times New Roman" w:eastAsia="Times New Roman" w:hAnsi="Times New Roman" w:cs="Times New Roman"/>
          <w:b/>
          <w:bCs/>
          <w:color w:val="000000" w:themeColor="text1"/>
          <w:sz w:val="23"/>
          <w:szCs w:val="23"/>
          <w:u w:val="single"/>
        </w:rPr>
        <w:t>(</w:t>
      </w:r>
      <w:r w:rsidRPr="090EAD23">
        <w:rPr>
          <w:rFonts w:ascii="Times New Roman" w:eastAsia="Times New Roman" w:hAnsi="Times New Roman" w:cs="Times New Roman"/>
          <w:b/>
          <w:bCs/>
          <w:color w:val="000000" w:themeColor="text1"/>
          <w:sz w:val="23"/>
          <w:szCs w:val="23"/>
          <w:u w:val="single"/>
        </w:rPr>
        <w:t>s</w:t>
      </w:r>
      <w:r w:rsidR="088EF412" w:rsidRPr="090EAD23">
        <w:rPr>
          <w:rFonts w:ascii="Times New Roman" w:eastAsia="Times New Roman" w:hAnsi="Times New Roman" w:cs="Times New Roman"/>
          <w:b/>
          <w:bCs/>
          <w:color w:val="000000" w:themeColor="text1"/>
          <w:sz w:val="23"/>
          <w:szCs w:val="23"/>
          <w:u w:val="single"/>
        </w:rPr>
        <w:t>)</w:t>
      </w:r>
    </w:p>
    <w:p w14:paraId="0D70FFA8" w14:textId="56FAF39E" w:rsidR="7760C2AE" w:rsidRDefault="00D33555" w:rsidP="090EAD23">
      <w:pPr>
        <w:jc w:val="both"/>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Through the automation of this report, the Bank will experience:</w:t>
      </w:r>
    </w:p>
    <w:p w14:paraId="451EDA6E" w14:textId="0E6143E9" w:rsidR="00D33555" w:rsidRDefault="00D33555" w:rsidP="00D33555">
      <w:pPr>
        <w:pStyle w:val="ListParagraph"/>
        <w:numPr>
          <w:ilvl w:val="0"/>
          <w:numId w:val="5"/>
        </w:numPr>
        <w:jc w:val="both"/>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Lower error rates</w:t>
      </w:r>
    </w:p>
    <w:p w14:paraId="7422650E" w14:textId="3B13779F" w:rsidR="00D33555" w:rsidRPr="00D33555" w:rsidRDefault="00D33555" w:rsidP="00D33555">
      <w:pPr>
        <w:pStyle w:val="ListParagraph"/>
        <w:numPr>
          <w:ilvl w:val="0"/>
          <w:numId w:val="5"/>
        </w:numPr>
        <w:jc w:val="both"/>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Decreased operating costs</w:t>
      </w:r>
    </w:p>
    <w:p w14:paraId="3678D6BD" w14:textId="540A8C02" w:rsidR="00D33555" w:rsidRDefault="00D33555" w:rsidP="00D33555">
      <w:pPr>
        <w:pStyle w:val="ListParagraph"/>
        <w:numPr>
          <w:ilvl w:val="0"/>
          <w:numId w:val="5"/>
        </w:numPr>
        <w:jc w:val="both"/>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Less time spent compiling the report</w:t>
      </w:r>
    </w:p>
    <w:p w14:paraId="1AFDB430" w14:textId="3BEF6A7E" w:rsidR="00D33555" w:rsidRPr="00D33555" w:rsidRDefault="00D33555" w:rsidP="00D33555">
      <w:pPr>
        <w:pStyle w:val="ListParagraph"/>
        <w:numPr>
          <w:ilvl w:val="0"/>
          <w:numId w:val="5"/>
        </w:numPr>
        <w:jc w:val="both"/>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Improved auditability and transparency into where the data comes from, how it is transformed (filters, calculations, adjustments)</w:t>
      </w:r>
    </w:p>
    <w:p w14:paraId="56799275" w14:textId="0CB04E35" w:rsidR="090EAD23" w:rsidRDefault="090EAD23" w:rsidP="090EAD23">
      <w:pPr>
        <w:spacing w:line="240" w:lineRule="auto"/>
        <w:jc w:val="both"/>
        <w:rPr>
          <w:rFonts w:ascii="Times New Roman" w:eastAsia="Times New Roman" w:hAnsi="Times New Roman" w:cs="Times New Roman"/>
          <w:b/>
          <w:bCs/>
          <w:color w:val="000000" w:themeColor="text1"/>
          <w:sz w:val="23"/>
          <w:szCs w:val="23"/>
          <w:u w:val="single"/>
        </w:rPr>
      </w:pPr>
    </w:p>
    <w:p w14:paraId="4EF4455A" w14:textId="49AC2E3C" w:rsidR="090EAD23" w:rsidRDefault="090EAD23" w:rsidP="090EAD23">
      <w:pPr>
        <w:spacing w:line="240" w:lineRule="auto"/>
        <w:jc w:val="both"/>
        <w:rPr>
          <w:rFonts w:ascii="Times New Roman" w:eastAsia="Times New Roman" w:hAnsi="Times New Roman" w:cs="Times New Roman"/>
          <w:b/>
          <w:bCs/>
          <w:color w:val="000000" w:themeColor="text1"/>
          <w:sz w:val="23"/>
          <w:szCs w:val="23"/>
          <w:u w:val="single"/>
        </w:rPr>
      </w:pPr>
    </w:p>
    <w:p w14:paraId="202ED5E4" w14:textId="5BFC9D38" w:rsidR="00AA4A87" w:rsidRDefault="007838E3" w:rsidP="00AA4A87">
      <w:pPr>
        <w:spacing w:line="240" w:lineRule="auto"/>
        <w:jc w:val="both"/>
        <w:rPr>
          <w:rFonts w:ascii="Times New Roman" w:eastAsia="Times New Roman" w:hAnsi="Times New Roman" w:cs="Times New Roman"/>
          <w:color w:val="000000"/>
          <w:sz w:val="23"/>
          <w:szCs w:val="23"/>
        </w:rPr>
      </w:pPr>
      <w:r w:rsidRPr="090EAD23">
        <w:rPr>
          <w:rFonts w:ascii="Times New Roman" w:eastAsia="Times New Roman" w:hAnsi="Times New Roman" w:cs="Times New Roman"/>
          <w:b/>
          <w:bCs/>
          <w:color w:val="000000" w:themeColor="text1"/>
          <w:sz w:val="23"/>
          <w:szCs w:val="23"/>
          <w:u w:val="single"/>
        </w:rPr>
        <w:t>Deliverable</w:t>
      </w:r>
      <w:r w:rsidR="2613680B" w:rsidRPr="090EAD23">
        <w:rPr>
          <w:rFonts w:ascii="Times New Roman" w:eastAsia="Times New Roman" w:hAnsi="Times New Roman" w:cs="Times New Roman"/>
          <w:b/>
          <w:bCs/>
          <w:color w:val="000000" w:themeColor="text1"/>
          <w:sz w:val="23"/>
          <w:szCs w:val="23"/>
          <w:u w:val="single"/>
        </w:rPr>
        <w:t>(s)</w:t>
      </w:r>
      <w:r w:rsidR="00AA4A87" w:rsidRPr="090EAD23">
        <w:rPr>
          <w:rFonts w:ascii="Times New Roman" w:eastAsia="Times New Roman" w:hAnsi="Times New Roman" w:cs="Times New Roman"/>
          <w:color w:val="000000" w:themeColor="text1"/>
          <w:sz w:val="23"/>
          <w:szCs w:val="23"/>
        </w:rPr>
        <w:t xml:space="preserve"> </w:t>
      </w:r>
    </w:p>
    <w:p w14:paraId="26149E0A" w14:textId="21C2668C" w:rsidR="50734909" w:rsidRDefault="50734909" w:rsidP="090EAD23">
      <w:pPr>
        <w:spacing w:line="240" w:lineRule="auto"/>
        <w:jc w:val="both"/>
        <w:rPr>
          <w:rFonts w:ascii="Times New Roman" w:eastAsia="Times New Roman" w:hAnsi="Times New Roman" w:cs="Times New Roman"/>
          <w:i/>
          <w:iCs/>
          <w:color w:val="000000" w:themeColor="text1"/>
          <w:sz w:val="23"/>
          <w:szCs w:val="23"/>
        </w:rPr>
      </w:pPr>
      <w:r w:rsidRPr="090EAD23">
        <w:rPr>
          <w:rFonts w:ascii="Times New Roman" w:eastAsia="Times New Roman" w:hAnsi="Times New Roman" w:cs="Times New Roman"/>
          <w:i/>
          <w:iCs/>
          <w:color w:val="000000" w:themeColor="text1"/>
          <w:sz w:val="23"/>
          <w:szCs w:val="23"/>
        </w:rPr>
        <w:t>Describe</w:t>
      </w:r>
      <w:r w:rsidR="027929E2" w:rsidRPr="090EAD23">
        <w:rPr>
          <w:rFonts w:ascii="Times New Roman" w:eastAsia="Times New Roman" w:hAnsi="Times New Roman" w:cs="Times New Roman"/>
          <w:i/>
          <w:iCs/>
          <w:color w:val="000000" w:themeColor="text1"/>
          <w:sz w:val="23"/>
          <w:szCs w:val="23"/>
        </w:rPr>
        <w:t xml:space="preserve"> how the output will be presented and at what frequency.</w:t>
      </w:r>
    </w:p>
    <w:p w14:paraId="13670DAA" w14:textId="55A1EA55" w:rsidR="00D33555" w:rsidRPr="00D33555" w:rsidRDefault="00D33555" w:rsidP="090EAD23">
      <w:pPr>
        <w:spacing w:line="240" w:lineRule="auto"/>
        <w:jc w:val="both"/>
        <w:rPr>
          <w:rFonts w:ascii="Times New Roman" w:eastAsia="Times New Roman" w:hAnsi="Times New Roman" w:cs="Times New Roman"/>
          <w:color w:val="000000" w:themeColor="text1"/>
          <w:sz w:val="23"/>
          <w:szCs w:val="23"/>
        </w:rPr>
      </w:pPr>
      <w:r>
        <w:rPr>
          <w:rFonts w:ascii="Times New Roman" w:eastAsia="Times New Roman" w:hAnsi="Times New Roman" w:cs="Times New Roman"/>
          <w:color w:val="000000" w:themeColor="text1"/>
          <w:sz w:val="23"/>
          <w:szCs w:val="23"/>
        </w:rPr>
        <w:t>The output of the report is an excel file that is produced monthly. It will be sent to the Loan Review shared mailbox as well as saved to the network drive.</w:t>
      </w:r>
    </w:p>
    <w:p w14:paraId="395BC0EB" w14:textId="07BD9001" w:rsidR="090EAD23" w:rsidRDefault="090EAD23" w:rsidP="090EAD23">
      <w:pPr>
        <w:spacing w:line="240" w:lineRule="auto"/>
        <w:jc w:val="both"/>
        <w:rPr>
          <w:rFonts w:ascii="Times New Roman" w:eastAsia="Times New Roman" w:hAnsi="Times New Roman" w:cs="Times New Roman"/>
          <w:color w:val="000000" w:themeColor="text1"/>
          <w:sz w:val="23"/>
          <w:szCs w:val="23"/>
        </w:rPr>
      </w:pPr>
    </w:p>
    <w:p w14:paraId="722BBB2D" w14:textId="77777777" w:rsidR="00BB29A3" w:rsidRDefault="00BB29A3" w:rsidP="090EAD23">
      <w:pPr>
        <w:spacing w:line="240" w:lineRule="auto"/>
        <w:rPr>
          <w:rFonts w:ascii="Times New Roman" w:eastAsia="Times New Roman" w:hAnsi="Times New Roman" w:cs="Times New Roman"/>
          <w:i/>
          <w:iCs/>
          <w:color w:val="000000"/>
          <w:sz w:val="23"/>
          <w:szCs w:val="23"/>
        </w:rPr>
      </w:pPr>
      <w:r w:rsidRPr="090EAD23">
        <w:rPr>
          <w:rFonts w:ascii="Times New Roman" w:eastAsia="Times New Roman" w:hAnsi="Times New Roman" w:cs="Times New Roman"/>
          <w:i/>
          <w:iCs/>
          <w:color w:val="000000" w:themeColor="text1"/>
          <w:sz w:val="23"/>
          <w:szCs w:val="23"/>
        </w:rPr>
        <w:t>The workflow, output, and associated documentation can be found at:</w:t>
      </w:r>
    </w:p>
    <w:p w14:paraId="2E9BB6F9" w14:textId="77777777" w:rsidR="00663B4E" w:rsidRDefault="00663B4E" w:rsidP="00663B4E">
      <w:pPr>
        <w:spacing w:line="240" w:lineRule="auto"/>
        <w:rPr>
          <w:rFonts w:ascii="Times New Roman" w:eastAsia="Times New Roman" w:hAnsi="Times New Roman" w:cs="Times New Roman"/>
          <w:color w:val="000000" w:themeColor="text1"/>
          <w:sz w:val="23"/>
          <w:szCs w:val="23"/>
        </w:rPr>
      </w:pPr>
      <w:hyperlink r:id="rId6" w:history="1">
        <w:r w:rsidRPr="00663B4E">
          <w:rPr>
            <w:rStyle w:val="Hyperlink"/>
            <w:rFonts w:ascii="Times New Roman" w:eastAsia="Times New Roman" w:hAnsi="Times New Roman" w:cs="Times New Roman"/>
            <w:sz w:val="23"/>
            <w:szCs w:val="23"/>
          </w:rPr>
          <w:t>Delinquency</w:t>
        </w:r>
      </w:hyperlink>
    </w:p>
    <w:p w14:paraId="2E6A92DA" w14:textId="060B627D" w:rsidR="090EAD23" w:rsidRDefault="090EAD23" w:rsidP="090EAD23">
      <w:pPr>
        <w:spacing w:after="0"/>
        <w:ind w:left="-720" w:firstLine="630"/>
        <w:rPr>
          <w:sz w:val="23"/>
          <w:szCs w:val="23"/>
        </w:rPr>
      </w:pPr>
    </w:p>
    <w:p w14:paraId="630940D8" w14:textId="6F25C91C" w:rsidR="00531492" w:rsidRDefault="007838E3" w:rsidP="00741E67">
      <w:pPr>
        <w:spacing w:line="240" w:lineRule="auto"/>
        <w:rPr>
          <w:rFonts w:ascii="Times New Roman" w:eastAsia="Times New Roman" w:hAnsi="Times New Roman" w:cs="Times New Roman"/>
          <w:b/>
          <w:color w:val="000000"/>
          <w:sz w:val="23"/>
          <w:szCs w:val="23"/>
          <w:u w:val="single"/>
        </w:rPr>
      </w:pPr>
      <w:r w:rsidRPr="090EAD23">
        <w:rPr>
          <w:rFonts w:ascii="Times New Roman" w:eastAsia="Times New Roman" w:hAnsi="Times New Roman" w:cs="Times New Roman"/>
          <w:b/>
          <w:bCs/>
          <w:color w:val="000000" w:themeColor="text1"/>
          <w:sz w:val="23"/>
          <w:szCs w:val="23"/>
          <w:u w:val="single"/>
        </w:rPr>
        <w:t>Technical Documentation:</w:t>
      </w:r>
    </w:p>
    <w:p w14:paraId="082FA7A5" w14:textId="02041CAC" w:rsidR="00663B4E" w:rsidRPr="00663B4E" w:rsidRDefault="00663B4E" w:rsidP="00663B4E">
      <w:pPr>
        <w:spacing w:after="0"/>
        <w:ind w:left="-720" w:firstLine="630"/>
        <w:rPr>
          <w:sz w:val="18"/>
          <w:szCs w:val="18"/>
        </w:rPr>
      </w:pPr>
      <w:hyperlink r:id="rId7" w:history="1">
        <w:r w:rsidRPr="00663B4E">
          <w:rPr>
            <w:rStyle w:val="Hyperlink"/>
            <w:sz w:val="18"/>
            <w:szCs w:val="18"/>
          </w:rPr>
          <w:t>Technical Documentation</w:t>
        </w:r>
      </w:hyperlink>
    </w:p>
    <w:sectPr w:rsidR="00663B4E" w:rsidRPr="00663B4E" w:rsidSect="00285E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5F38B"/>
    <w:multiLevelType w:val="hybridMultilevel"/>
    <w:tmpl w:val="EEB09B4C"/>
    <w:lvl w:ilvl="0" w:tplc="27AE90BC">
      <w:start w:val="1"/>
      <w:numFmt w:val="decimal"/>
      <w:lvlText w:val="%1."/>
      <w:lvlJc w:val="left"/>
      <w:pPr>
        <w:ind w:left="720" w:hanging="360"/>
      </w:pPr>
    </w:lvl>
    <w:lvl w:ilvl="1" w:tplc="E8300474">
      <w:start w:val="1"/>
      <w:numFmt w:val="lowerLetter"/>
      <w:lvlText w:val="%2."/>
      <w:lvlJc w:val="left"/>
      <w:pPr>
        <w:ind w:left="1440" w:hanging="360"/>
      </w:pPr>
    </w:lvl>
    <w:lvl w:ilvl="2" w:tplc="1D7EEE24">
      <w:start w:val="1"/>
      <w:numFmt w:val="lowerRoman"/>
      <w:lvlText w:val="%3."/>
      <w:lvlJc w:val="right"/>
      <w:pPr>
        <w:ind w:left="2160" w:hanging="180"/>
      </w:pPr>
    </w:lvl>
    <w:lvl w:ilvl="3" w:tplc="7AD01BD2">
      <w:start w:val="1"/>
      <w:numFmt w:val="decimal"/>
      <w:lvlText w:val="%4."/>
      <w:lvlJc w:val="left"/>
      <w:pPr>
        <w:ind w:left="2880" w:hanging="360"/>
      </w:pPr>
    </w:lvl>
    <w:lvl w:ilvl="4" w:tplc="C7324AAC">
      <w:start w:val="1"/>
      <w:numFmt w:val="lowerLetter"/>
      <w:lvlText w:val="%5."/>
      <w:lvlJc w:val="left"/>
      <w:pPr>
        <w:ind w:left="3600" w:hanging="360"/>
      </w:pPr>
    </w:lvl>
    <w:lvl w:ilvl="5" w:tplc="30323528">
      <w:start w:val="1"/>
      <w:numFmt w:val="lowerRoman"/>
      <w:lvlText w:val="%6."/>
      <w:lvlJc w:val="right"/>
      <w:pPr>
        <w:ind w:left="4320" w:hanging="180"/>
      </w:pPr>
    </w:lvl>
    <w:lvl w:ilvl="6" w:tplc="B7AA7988">
      <w:start w:val="1"/>
      <w:numFmt w:val="decimal"/>
      <w:lvlText w:val="%7."/>
      <w:lvlJc w:val="left"/>
      <w:pPr>
        <w:ind w:left="5040" w:hanging="360"/>
      </w:pPr>
    </w:lvl>
    <w:lvl w:ilvl="7" w:tplc="CE24ECF4">
      <w:start w:val="1"/>
      <w:numFmt w:val="lowerLetter"/>
      <w:lvlText w:val="%8."/>
      <w:lvlJc w:val="left"/>
      <w:pPr>
        <w:ind w:left="5760" w:hanging="360"/>
      </w:pPr>
    </w:lvl>
    <w:lvl w:ilvl="8" w:tplc="FEC46B74">
      <w:start w:val="1"/>
      <w:numFmt w:val="lowerRoman"/>
      <w:lvlText w:val="%9."/>
      <w:lvlJc w:val="right"/>
      <w:pPr>
        <w:ind w:left="6480" w:hanging="180"/>
      </w:pPr>
    </w:lvl>
  </w:abstractNum>
  <w:abstractNum w:abstractNumId="1" w15:restartNumberingAfterBreak="0">
    <w:nsid w:val="49DE7C2F"/>
    <w:multiLevelType w:val="hybridMultilevel"/>
    <w:tmpl w:val="D43ED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32BC3"/>
    <w:multiLevelType w:val="hybridMultilevel"/>
    <w:tmpl w:val="32BCCD40"/>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08047FD"/>
    <w:multiLevelType w:val="hybridMultilevel"/>
    <w:tmpl w:val="3CA8510C"/>
    <w:lvl w:ilvl="0" w:tplc="3506AF1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1301BD"/>
    <w:multiLevelType w:val="hybridMultilevel"/>
    <w:tmpl w:val="71543D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947982">
    <w:abstractNumId w:val="0"/>
  </w:num>
  <w:num w:numId="2" w16cid:durableId="2136439717">
    <w:abstractNumId w:val="4"/>
  </w:num>
  <w:num w:numId="3" w16cid:durableId="630864781">
    <w:abstractNumId w:val="1"/>
  </w:num>
  <w:num w:numId="4" w16cid:durableId="1275477557">
    <w:abstractNumId w:val="2"/>
  </w:num>
  <w:num w:numId="5" w16cid:durableId="95902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01F"/>
    <w:rsid w:val="00034467"/>
    <w:rsid w:val="0007069B"/>
    <w:rsid w:val="000C0AA8"/>
    <w:rsid w:val="00302789"/>
    <w:rsid w:val="00531492"/>
    <w:rsid w:val="00584194"/>
    <w:rsid w:val="005A5944"/>
    <w:rsid w:val="005D0FB6"/>
    <w:rsid w:val="006134CE"/>
    <w:rsid w:val="00663B4E"/>
    <w:rsid w:val="006E1A3C"/>
    <w:rsid w:val="00733453"/>
    <w:rsid w:val="00741E67"/>
    <w:rsid w:val="007838E3"/>
    <w:rsid w:val="0079177F"/>
    <w:rsid w:val="00802D4A"/>
    <w:rsid w:val="00875B8D"/>
    <w:rsid w:val="008A675F"/>
    <w:rsid w:val="00916CE1"/>
    <w:rsid w:val="00AA4A87"/>
    <w:rsid w:val="00AC3EDD"/>
    <w:rsid w:val="00BB29A3"/>
    <w:rsid w:val="00C97F97"/>
    <w:rsid w:val="00CC4B8A"/>
    <w:rsid w:val="00D21940"/>
    <w:rsid w:val="00D33555"/>
    <w:rsid w:val="00E2501F"/>
    <w:rsid w:val="00FE1B3B"/>
    <w:rsid w:val="027929E2"/>
    <w:rsid w:val="088EF412"/>
    <w:rsid w:val="090EAD23"/>
    <w:rsid w:val="0A939C14"/>
    <w:rsid w:val="0B88F276"/>
    <w:rsid w:val="0C336D0D"/>
    <w:rsid w:val="0C6B15A9"/>
    <w:rsid w:val="0C82B229"/>
    <w:rsid w:val="0E3722D5"/>
    <w:rsid w:val="16A94E40"/>
    <w:rsid w:val="183A6AB9"/>
    <w:rsid w:val="1C774A6C"/>
    <w:rsid w:val="1CBA5B45"/>
    <w:rsid w:val="204A0CB5"/>
    <w:rsid w:val="2103A3F3"/>
    <w:rsid w:val="2613680B"/>
    <w:rsid w:val="2E7CF590"/>
    <w:rsid w:val="36602C70"/>
    <w:rsid w:val="36D98479"/>
    <w:rsid w:val="4D9F6E12"/>
    <w:rsid w:val="4F2C2708"/>
    <w:rsid w:val="4FE83223"/>
    <w:rsid w:val="50734909"/>
    <w:rsid w:val="5DFE8C4C"/>
    <w:rsid w:val="5E4AF1A4"/>
    <w:rsid w:val="5EED2715"/>
    <w:rsid w:val="634F0278"/>
    <w:rsid w:val="63D6C91E"/>
    <w:rsid w:val="647D576D"/>
    <w:rsid w:val="6509B201"/>
    <w:rsid w:val="657263F4"/>
    <w:rsid w:val="66F77987"/>
    <w:rsid w:val="6BCC6852"/>
    <w:rsid w:val="6CF9C4B1"/>
    <w:rsid w:val="7760C2AE"/>
    <w:rsid w:val="77B8D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139F"/>
  <w15:chartTrackingRefBased/>
  <w15:docId w15:val="{A76FE740-CE27-4D0C-8080-4B367A60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87"/>
    <w:pPr>
      <w:ind w:left="720"/>
      <w:contextualSpacing/>
    </w:pPr>
  </w:style>
  <w:style w:type="character" w:styleId="Hyperlink">
    <w:name w:val="Hyperlink"/>
    <w:basedOn w:val="DefaultParagraphFont"/>
    <w:uiPriority w:val="99"/>
    <w:unhideWhenUsed/>
    <w:rsid w:val="00BB29A3"/>
    <w:rPr>
      <w:color w:val="0563C1"/>
      <w:u w:val="single"/>
    </w:rPr>
  </w:style>
  <w:style w:type="paragraph" w:customStyle="1" w:styleId="TitleSPLDate">
    <w:name w:val="TitleSPL&amp;Date"/>
    <w:basedOn w:val="Normal"/>
    <w:rsid w:val="007838E3"/>
    <w:pPr>
      <w:spacing w:before="6000" w:after="0" w:line="240" w:lineRule="auto"/>
      <w:jc w:val="center"/>
    </w:pPr>
    <w:rPr>
      <w:rFonts w:ascii="Times New Roman" w:eastAsia="Times New Roman" w:hAnsi="Times New Roman" w:cs="Times New Roman"/>
      <w:sz w:val="28"/>
      <w:szCs w:val="20"/>
    </w:rPr>
  </w:style>
  <w:style w:type="character" w:styleId="UnresolvedMention">
    <w:name w:val="Unresolved Mention"/>
    <w:basedOn w:val="DefaultParagraphFont"/>
    <w:uiPriority w:val="99"/>
    <w:semiHidden/>
    <w:unhideWhenUsed/>
    <w:rsid w:val="00663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15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00-da1\Home\Share\Data%20&amp;%20Analytics%20Initiatives\Project%20Management\Chad%20Projects\Resolution%20Committee%20Automation\Delinquency\Documentation\Technical%20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00-da1\Home\Share\Data%20&amp;%20Analytics%20Initiatives\Project%20Management\Chad%20Projects\Resolution%20Committee%20Automation\Delinquency"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Bristol County Savings Bank</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Doorley</dc:creator>
  <cp:keywords/>
  <dc:description/>
  <cp:lastModifiedBy>Chad Doorley</cp:lastModifiedBy>
  <cp:revision>3</cp:revision>
  <dcterms:created xsi:type="dcterms:W3CDTF">2024-10-11T17:57:00Z</dcterms:created>
  <dcterms:modified xsi:type="dcterms:W3CDTF">2025-01-06T19:18:00Z</dcterms:modified>
</cp:coreProperties>
</file>