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8A6" w:rsidRPr="000208A6" w:rsidRDefault="00000000" w:rsidP="004867DE">
      <w:pPr>
        <w:pStyle w:val="Heading1"/>
      </w:pPr>
      <w:r>
        <w:t>Introduction</w:t>
      </w:r>
    </w:p>
    <w:p w:rsidR="000208A6" w:rsidRDefault="000208A6" w:rsidP="004867DE">
      <w:pPr>
        <w:rPr>
          <w:lang w:val="en-US"/>
        </w:rPr>
      </w:pPr>
      <w:r w:rsidRPr="000208A6">
        <w:rPr>
          <w:lang w:val="en-US"/>
        </w:rPr>
        <w:t xml:space="preserve">"Should I take the familiar route to work or try a new path today? </w:t>
      </w:r>
      <w:r>
        <w:rPr>
          <w:lang w:val="en-US"/>
        </w:rPr>
        <w:t>S</w:t>
      </w:r>
      <w:r w:rsidRPr="000208A6">
        <w:rPr>
          <w:lang w:val="en-US"/>
        </w:rPr>
        <w:t xml:space="preserve">hould I choose for </w:t>
      </w:r>
      <w:r>
        <w:rPr>
          <w:lang w:val="en-US"/>
        </w:rPr>
        <w:t>a new dish in the</w:t>
      </w:r>
      <w:r w:rsidRPr="000208A6">
        <w:rPr>
          <w:lang w:val="en-US"/>
        </w:rPr>
        <w:t xml:space="preserve"> menu </w:t>
      </w:r>
      <w:r>
        <w:rPr>
          <w:lang w:val="en-US"/>
        </w:rPr>
        <w:t>or go for my usual one</w:t>
      </w:r>
      <w:r w:rsidRPr="000208A6">
        <w:rPr>
          <w:lang w:val="en-US"/>
        </w:rPr>
        <w:t xml:space="preserve">?" </w:t>
      </w:r>
      <w:r w:rsidR="00862710">
        <w:t>Everyday dilemmas like this are an example of decision-making under uncertainty</w:t>
      </w:r>
      <w:r w:rsidRPr="000208A6">
        <w:rPr>
          <w:lang w:val="en-US"/>
        </w:rPr>
        <w:t xml:space="preserve">. In such scenarios, individuals must constantly weigh the known against the unknown, making choices that can range from trivial to life-altering. </w:t>
      </w:r>
      <w:r w:rsidR="00C60307">
        <w:t>Th</w:t>
      </w:r>
      <w:r w:rsidR="00C60307">
        <w:t>is</w:t>
      </w:r>
      <w:r w:rsidR="00C60307">
        <w:t xml:space="preserve"> process becomes more important when the </w:t>
      </w:r>
      <w:r w:rsidR="00C60307">
        <w:t>environment</w:t>
      </w:r>
      <w:r w:rsidR="00C60307">
        <w:t xml:space="preserve"> is dynamic </w:t>
      </w:r>
      <w:r w:rsidR="00C60307">
        <w:t>where</w:t>
      </w:r>
      <w:r w:rsidR="00C60307">
        <w:t xml:space="preserve"> </w:t>
      </w:r>
      <w:r w:rsidR="00C60307">
        <w:t>one’s</w:t>
      </w:r>
      <w:r w:rsidR="00C60307">
        <w:t xml:space="preserve"> </w:t>
      </w:r>
      <w:r w:rsidR="00C60307" w:rsidRPr="000208A6">
        <w:rPr>
          <w:lang w:val="en-US"/>
        </w:rPr>
        <w:t>adaptability and decision-making flexibility become key survival tools</w:t>
      </w:r>
      <w:r w:rsidR="00C60307">
        <w:t>.</w:t>
      </w:r>
      <w:r w:rsidR="00C60307">
        <w:t xml:space="preserve"> </w:t>
      </w:r>
      <w:r w:rsidRPr="000208A6">
        <w:rPr>
          <w:lang w:val="en-US"/>
        </w:rPr>
        <w:t xml:space="preserve">One classic illustration of this is the exploration-exploitation dilemma, which poses a fundamental question: in an uncertain environment, how does one balance the choice between exploiting a known resource and exploring potential new ones? </w:t>
      </w:r>
      <w:r w:rsidR="007E1BFD">
        <w:rPr>
          <w:lang w:val="en-US"/>
        </w:rPr>
        <w:t xml:space="preserve">Exploration is a risk-taking behaviour that may come with a cost. However, without exploration, we </w:t>
      </w:r>
      <w:r w:rsidR="000001E7">
        <w:rPr>
          <w:lang w:val="en-US"/>
        </w:rPr>
        <w:t>will</w:t>
      </w:r>
      <w:r w:rsidR="007E1BFD">
        <w:rPr>
          <w:lang w:val="en-US"/>
        </w:rPr>
        <w:t xml:space="preserve"> perseverate with same strategies and miss the opportunity to find a better option. </w:t>
      </w:r>
      <w:r w:rsidR="00C60307">
        <w:t xml:space="preserve">This classical dilemma questions the current understanding of </w:t>
      </w:r>
      <w:r w:rsidR="00C60307">
        <w:t>the</w:t>
      </w:r>
      <w:r w:rsidR="00C60307">
        <w:t xml:space="preserve"> neural underpinnings of such complex behavio</w:t>
      </w:r>
      <w:r w:rsidR="00C60307">
        <w:t>u</w:t>
      </w:r>
      <w:r w:rsidR="00C60307">
        <w:t>rs, inviting us to venture deeper into the cognitive processes involved in the same</w:t>
      </w:r>
      <w:r w:rsidRPr="000208A6">
        <w:rPr>
          <w:lang w:val="en-US"/>
        </w:rPr>
        <w:t>.</w:t>
      </w:r>
    </w:p>
    <w:p w:rsidR="004867DE" w:rsidRDefault="009C3B00" w:rsidP="004867DE">
      <w:pPr>
        <w:pStyle w:val="Heading2"/>
      </w:pPr>
      <w:r>
        <w:rPr>
          <w:bCs/>
          <w:lang w:val="en-US"/>
        </w:rPr>
        <w:t>Exploratory Behaviour and</w:t>
      </w:r>
      <w:r w:rsidR="004867DE" w:rsidRPr="004867DE">
        <w:rPr>
          <w:bCs/>
          <w:lang w:val="en-US"/>
        </w:rPr>
        <w:t xml:space="preserve"> Attentional Resource Allocation</w:t>
      </w:r>
      <w:r>
        <w:rPr>
          <w:bCs/>
          <w:lang w:val="en-US"/>
        </w:rPr>
        <w:t xml:space="preserve"> in the Brain</w:t>
      </w:r>
    </w:p>
    <w:p w:rsidR="005D7063" w:rsidRDefault="0005171C">
      <w:pPr>
        <w:rPr>
          <w:lang w:val="en-US"/>
        </w:rPr>
      </w:pPr>
      <w:r>
        <w:t>Foraging is a fundamental behavior seen in many species, where individuals search for food in their environment.</w:t>
      </w:r>
      <w:r>
        <w:t xml:space="preserve"> </w:t>
      </w:r>
      <w:r w:rsidR="00B156C4">
        <w:t>It</w:t>
      </w:r>
      <w:r>
        <w:t xml:space="preserve"> inherently </w:t>
      </w:r>
      <w:r>
        <w:t xml:space="preserve">involves a critical decision-making process </w:t>
      </w:r>
      <w:r>
        <w:t xml:space="preserve">where an individual </w:t>
      </w:r>
      <w:r>
        <w:t>must choose between staying with a known resource (exploitation) and venturing out in search of potentially better options (exploration).</w:t>
      </w:r>
      <w:r>
        <w:t xml:space="preserve"> </w:t>
      </w:r>
      <w:r w:rsidR="00DD2921">
        <w:t>This choice, fundamental in foraging behavior, becomes a complex problem of resource allocation within the brain.</w:t>
      </w:r>
      <w:r w:rsidR="00DD2921">
        <w:t xml:space="preserve"> </w:t>
      </w:r>
      <w:r w:rsidR="004867DE" w:rsidRPr="004867DE">
        <w:rPr>
          <w:lang w:val="en-US"/>
        </w:rPr>
        <w:t>Decisions about leaving a current resource ("patch") rely on probabilistic and often dynamic environmental information. This decision-making process, guided by principles like the Marginal Value Theorem</w:t>
      </w:r>
      <w:r w:rsidR="00C07186">
        <w:rPr>
          <w:lang w:val="en-US"/>
        </w:rPr>
        <w:t xml:space="preserve"> (</w:t>
      </w:r>
      <w:proofErr w:type="spellStart"/>
      <w:r w:rsidR="00C07186">
        <w:rPr>
          <w:lang w:val="en-US"/>
        </w:rPr>
        <w:t>Charnov</w:t>
      </w:r>
      <w:proofErr w:type="spellEnd"/>
      <w:r w:rsidR="00C07186">
        <w:rPr>
          <w:lang w:val="en-US"/>
        </w:rPr>
        <w:t xml:space="preserve"> et al 1996)</w:t>
      </w:r>
      <w:r w:rsidR="004867DE" w:rsidRPr="004867DE">
        <w:rPr>
          <w:lang w:val="en-US"/>
        </w:rPr>
        <w:t>, is observed universally, from insects to humans, suggesting an underlying commonality in behavioral and neural strategies</w:t>
      </w:r>
      <w:r w:rsidR="00C07186">
        <w:rPr>
          <w:lang w:val="en-US"/>
        </w:rPr>
        <w:t xml:space="preserve"> (</w:t>
      </w:r>
      <w:r w:rsidR="00C07186">
        <w:t>Constantino and Daw, 2015</w:t>
      </w:r>
      <w:r w:rsidR="00C07186">
        <w:t>)</w:t>
      </w:r>
      <w:r w:rsidR="004867DE" w:rsidRPr="004867DE">
        <w:rPr>
          <w:lang w:val="en-US"/>
        </w:rPr>
        <w:t>. Exploration is influenced by various factors, including travel costs and food predictability</w:t>
      </w:r>
      <w:r w:rsidR="004867DE">
        <w:rPr>
          <w:lang w:val="en-US"/>
        </w:rPr>
        <w:t xml:space="preserve"> (</w:t>
      </w:r>
      <w:proofErr w:type="spellStart"/>
      <w:r w:rsidR="004867DE">
        <w:rPr>
          <w:lang w:val="en-US"/>
        </w:rPr>
        <w:t>Lottem</w:t>
      </w:r>
      <w:proofErr w:type="spellEnd"/>
      <w:r w:rsidR="004867DE">
        <w:rPr>
          <w:lang w:val="en-US"/>
        </w:rPr>
        <w:t xml:space="preserve"> et al., 2018)</w:t>
      </w:r>
      <w:r w:rsidR="004867DE" w:rsidRPr="004867DE">
        <w:rPr>
          <w:lang w:val="en-US"/>
        </w:rPr>
        <w:t>. In humans, studies on gambling</w:t>
      </w:r>
      <w:r w:rsidR="004867DE">
        <w:rPr>
          <w:lang w:val="en-US"/>
        </w:rPr>
        <w:t xml:space="preserve"> </w:t>
      </w:r>
      <w:r w:rsidR="004867DE" w:rsidRPr="004867DE">
        <w:rPr>
          <w:lang w:val="en-US"/>
        </w:rPr>
        <w:t xml:space="preserve">(Daw et al., 2006; Raja </w:t>
      </w:r>
      <w:proofErr w:type="spellStart"/>
      <w:r w:rsidR="004867DE" w:rsidRPr="004867DE">
        <w:rPr>
          <w:lang w:val="en-US"/>
        </w:rPr>
        <w:t>Beharelle</w:t>
      </w:r>
      <w:proofErr w:type="spellEnd"/>
      <w:r w:rsidR="004867DE" w:rsidRPr="004867DE">
        <w:rPr>
          <w:lang w:val="en-US"/>
        </w:rPr>
        <w:t xml:space="preserve"> et al., 2015), attentional shifts</w:t>
      </w:r>
      <w:r w:rsidR="004867DE">
        <w:rPr>
          <w:lang w:val="en-US"/>
        </w:rPr>
        <w:t xml:space="preserve"> to environmental changes </w:t>
      </w:r>
      <w:r w:rsidR="004867DE" w:rsidRPr="004867DE">
        <w:rPr>
          <w:lang w:val="en-US"/>
        </w:rPr>
        <w:t xml:space="preserve">(Müller, et al., 1995; </w:t>
      </w:r>
      <w:proofErr w:type="spellStart"/>
      <w:r w:rsidR="004867DE" w:rsidRPr="004867DE">
        <w:rPr>
          <w:lang w:val="en-US"/>
        </w:rPr>
        <w:t>Chetverikov</w:t>
      </w:r>
      <w:proofErr w:type="spellEnd"/>
      <w:r w:rsidR="004867DE" w:rsidRPr="004867DE">
        <w:rPr>
          <w:lang w:val="en-US"/>
        </w:rPr>
        <w:t xml:space="preserve"> et al., 2017), and visual search patterns</w:t>
      </w:r>
      <w:r w:rsidR="004867DE">
        <w:rPr>
          <w:lang w:val="en-US"/>
        </w:rPr>
        <w:t xml:space="preserve"> (</w:t>
      </w:r>
      <w:proofErr w:type="spellStart"/>
      <w:r w:rsidR="004867DE" w:rsidRPr="004867DE">
        <w:rPr>
          <w:lang w:val="en-US"/>
        </w:rPr>
        <w:t>Kristjansson</w:t>
      </w:r>
      <w:proofErr w:type="spellEnd"/>
      <w:r w:rsidR="004867DE" w:rsidRPr="004867DE">
        <w:rPr>
          <w:lang w:val="en-US"/>
        </w:rPr>
        <w:t xml:space="preserve"> et al., 2014, Wolfe et al., 2019</w:t>
      </w:r>
      <w:r w:rsidR="004867DE">
        <w:rPr>
          <w:lang w:val="en-US"/>
        </w:rPr>
        <w:t>)</w:t>
      </w:r>
      <w:r w:rsidR="004867DE" w:rsidRPr="004867DE">
        <w:rPr>
          <w:lang w:val="en-US"/>
        </w:rPr>
        <w:t xml:space="preserve"> </w:t>
      </w:r>
      <w:r w:rsidR="004867DE">
        <w:rPr>
          <w:lang w:val="en-US"/>
        </w:rPr>
        <w:t>r</w:t>
      </w:r>
      <w:r w:rsidR="004867DE" w:rsidRPr="004867DE">
        <w:rPr>
          <w:lang w:val="en-US"/>
        </w:rPr>
        <w:t>eveal the brain's efficiency in adapting to subtle reward changes and environmental shifts, paralleling animal foraging behaviors.</w:t>
      </w:r>
    </w:p>
    <w:p w:rsidR="00CE5216" w:rsidRDefault="00D87DC9" w:rsidP="00CE5216">
      <w:pPr>
        <w:pStyle w:val="Heading2"/>
      </w:pPr>
      <w:r>
        <w:lastRenderedPageBreak/>
        <w:t>Prefrontal Cortex and Exploratory Decision-Making: Insights from Human and Primate Studies</w:t>
      </w:r>
    </w:p>
    <w:p w:rsidR="00C82CF6" w:rsidRDefault="002D3C7A" w:rsidP="00CE5216">
      <w:r>
        <w:t>Numerous studies have established the crucial role of the prefrontal cortex in decision making across species (</w:t>
      </w:r>
      <w:hyperlink r:id="rId5" w:anchor="B3" w:history="1">
        <w:r w:rsidR="006F7440" w:rsidRPr="006F7440">
          <w:rPr>
            <w:rStyle w:val="Hyperlink"/>
          </w:rPr>
          <w:t>Bechara et al., 2003</w:t>
        </w:r>
      </w:hyperlink>
      <w:r w:rsidR="006F7440" w:rsidRPr="006F7440">
        <w:t xml:space="preserve">; </w:t>
      </w:r>
      <w:hyperlink r:id="rId6" w:anchor="B2" w:history="1">
        <w:r w:rsidR="006F7440" w:rsidRPr="006F7440">
          <w:rPr>
            <w:rStyle w:val="Hyperlink"/>
          </w:rPr>
          <w:t>Bechara, 2005</w:t>
        </w:r>
      </w:hyperlink>
      <w:r>
        <w:t xml:space="preserve">). </w:t>
      </w:r>
      <w:r w:rsidR="00C82CF6">
        <w:t>In humans, the anterior prefrontal cortex (</w:t>
      </w:r>
      <w:proofErr w:type="spellStart"/>
      <w:r w:rsidR="00C82CF6">
        <w:t>aPFC</w:t>
      </w:r>
      <w:proofErr w:type="spellEnd"/>
      <w:r w:rsidR="00C82CF6">
        <w:t xml:space="preserve">), particularly the frontopolar cortex (FPC), </w:t>
      </w:r>
      <w:r>
        <w:t>plays a decisive role</w:t>
      </w:r>
      <w:r w:rsidR="00C82CF6">
        <w:t xml:space="preserve"> in decision-making, significantly influencing exploratory resource allocation. Notably, the FPC activates during exploratory decisions in contexts such as gambling, indicating its significant role in choosing to switch to alternative actions (Daw et al., 2006; Boorman et al., 2009). Additionally,</w:t>
      </w:r>
      <w:r w:rsidR="00023016">
        <w:t xml:space="preserve"> anodal and cathodal</w:t>
      </w:r>
      <w:r w:rsidR="00C82CF6">
        <w:t xml:space="preserve"> transcranial direct current stimulation </w:t>
      </w:r>
      <w:r w:rsidR="00023016">
        <w:t xml:space="preserve">experiments </w:t>
      </w:r>
      <w:r w:rsidR="00C82CF6">
        <w:t xml:space="preserve">involving the FPC have demonstrated </w:t>
      </w:r>
      <w:r w:rsidR="00023016">
        <w:t>a direct and polarizing</w:t>
      </w:r>
      <w:r w:rsidR="00C82CF6">
        <w:t xml:space="preserve"> impact on exploratory behavior, highlighting a causative relationship (Raja </w:t>
      </w:r>
      <w:proofErr w:type="spellStart"/>
      <w:r w:rsidR="00C82CF6">
        <w:t>Beharelle</w:t>
      </w:r>
      <w:proofErr w:type="spellEnd"/>
      <w:r w:rsidR="00C82CF6">
        <w:t xml:space="preserve"> et al., 2015).</w:t>
      </w:r>
    </w:p>
    <w:p w:rsidR="00E46402" w:rsidRDefault="00AA72AA" w:rsidP="00CE5216">
      <w:pPr>
        <w:rPr>
          <w:lang w:val="en-US"/>
        </w:rPr>
      </w:pPr>
      <w:r>
        <w:t xml:space="preserve">In </w:t>
      </w:r>
      <w:r w:rsidR="00841DD5">
        <w:t xml:space="preserve">non-human </w:t>
      </w:r>
      <w:r>
        <w:t>primate studies, disruptions</w:t>
      </w:r>
      <w:r w:rsidR="00841DD5">
        <w:t xml:space="preserve"> such as lesions</w:t>
      </w:r>
      <w:r>
        <w:t xml:space="preserve"> in the </w:t>
      </w:r>
      <w:proofErr w:type="spellStart"/>
      <w:r>
        <w:t>aPFC</w:t>
      </w:r>
      <w:proofErr w:type="spellEnd"/>
      <w:r>
        <w:t xml:space="preserve"> have been linked to increased persistence in following task rules, suggesting its crucial role in shifting focus from current tasks to exploring alternative reward</w:t>
      </w:r>
      <w:r w:rsidR="000E490E">
        <w:t xml:space="preserve"> sources</w:t>
      </w:r>
      <w:r>
        <w:t xml:space="preserve"> (Mansouri et al., 2015). This distinct </w:t>
      </w:r>
      <w:r w:rsidR="000E490E">
        <w:t xml:space="preserve">causative </w:t>
      </w:r>
      <w:r>
        <w:t xml:space="preserve">role of the </w:t>
      </w:r>
      <w:proofErr w:type="spellStart"/>
      <w:r>
        <w:t>aPFC</w:t>
      </w:r>
      <w:proofErr w:type="spellEnd"/>
      <w:r>
        <w:t xml:space="preserve"> sets it apart from</w:t>
      </w:r>
      <w:r w:rsidR="000E490E">
        <w:t xml:space="preserve"> </w:t>
      </w:r>
      <w:r w:rsidR="000E490E">
        <w:t>more posterior regions of the lateral prefrontal cortex, such as</w:t>
      </w:r>
      <w:r>
        <w:t xml:space="preserve"> the inferior frontal junction area (IFJ), which primarily activates</w:t>
      </w:r>
      <w:r w:rsidR="007D69B4">
        <w:t xml:space="preserve"> only</w:t>
      </w:r>
      <w:r>
        <w:t xml:space="preserve"> </w:t>
      </w:r>
      <w:r w:rsidR="008104EC">
        <w:t>when a</w:t>
      </w:r>
      <w:r>
        <w:t xml:space="preserve"> task </w:t>
      </w:r>
      <w:r w:rsidR="008104EC">
        <w:t>switch occurs</w:t>
      </w:r>
      <w:r w:rsidR="008C7E74">
        <w:t>.</w:t>
      </w:r>
      <w:r w:rsidR="00EA1E9F">
        <w:t xml:space="preserve"> </w:t>
      </w:r>
      <w:r w:rsidR="00EA1E9F">
        <w:t>Furthermore, the coactivation of the frontopolar area (FP1) and IFJ observed during exploratory beh</w:t>
      </w:r>
      <w:r w:rsidR="00E77DDF">
        <w:t>a</w:t>
      </w:r>
      <w:r w:rsidR="00EA1E9F">
        <w:t xml:space="preserve">viour from functional imaging studies suggests a modulatory role of </w:t>
      </w:r>
      <w:proofErr w:type="spellStart"/>
      <w:r w:rsidR="00EA1E9F">
        <w:t>aPFC</w:t>
      </w:r>
      <w:proofErr w:type="spellEnd"/>
      <w:r w:rsidR="00EA1E9F">
        <w:t xml:space="preserve"> on IFJ to achieve exploratory attention shifts (</w:t>
      </w:r>
      <w:proofErr w:type="spellStart"/>
      <w:r w:rsidR="00EA1E9F">
        <w:t>Bludau</w:t>
      </w:r>
      <w:proofErr w:type="spellEnd"/>
      <w:r w:rsidR="00EA1E9F">
        <w:t xml:space="preserve"> et al., 2015)</w:t>
      </w:r>
      <w:r w:rsidR="00BF63E2">
        <w:t xml:space="preserve">. </w:t>
      </w:r>
      <w:r w:rsidR="00A70537">
        <w:t xml:space="preserve">These </w:t>
      </w:r>
      <w:r w:rsidR="00BF63E2">
        <w:t>functional evidences</w:t>
      </w:r>
      <w:r w:rsidR="00A70537">
        <w:t xml:space="preserve"> </w:t>
      </w:r>
      <w:r w:rsidR="00BF63E2">
        <w:t>backed by the FP1’s complex dendritic</w:t>
      </w:r>
      <w:r w:rsidR="00BF63E2">
        <w:t xml:space="preserve"> spine</w:t>
      </w:r>
      <w:r w:rsidR="00BF63E2">
        <w:t xml:space="preserve"> </w:t>
      </w:r>
      <w:r w:rsidR="00BF63E2">
        <w:t>system</w:t>
      </w:r>
      <w:r w:rsidR="00661671">
        <w:t xml:space="preserve"> (high spine density but low cell body density)</w:t>
      </w:r>
      <w:r w:rsidR="00BF63E2">
        <w:t xml:space="preserve"> that offers a</w:t>
      </w:r>
      <w:r w:rsidR="00AE6C2D">
        <w:t>n excellent</w:t>
      </w:r>
      <w:r w:rsidR="00BF63E2">
        <w:t xml:space="preserve"> architecture f</w:t>
      </w:r>
      <w:r w:rsidR="00A70537">
        <w:t>or</w:t>
      </w:r>
      <w:r w:rsidR="00BF63E2">
        <w:t xml:space="preserve"> </w:t>
      </w:r>
      <w:r w:rsidR="00A70537">
        <w:t>integrating</w:t>
      </w:r>
      <w:r w:rsidR="00BF63E2">
        <w:t xml:space="preserve"> </w:t>
      </w:r>
      <w:r w:rsidR="00A70537">
        <w:t xml:space="preserve">different inputs </w:t>
      </w:r>
      <w:r w:rsidR="00A70537">
        <w:t>(Jacobs et al., 200</w:t>
      </w:r>
      <w:r w:rsidR="00661671">
        <w:t>,</w:t>
      </w:r>
      <w:r w:rsidR="00A70537">
        <w:t xml:space="preserve"> </w:t>
      </w:r>
      <w:proofErr w:type="spellStart"/>
      <w:r w:rsidR="00661671">
        <w:t>Ramnani</w:t>
      </w:r>
      <w:proofErr w:type="spellEnd"/>
      <w:r w:rsidR="00661671">
        <w:t xml:space="preserve"> &amp; Owen, 2004</w:t>
      </w:r>
      <w:r w:rsidR="00661671">
        <w:t>)</w:t>
      </w:r>
      <w:r w:rsidR="00661671">
        <w:t xml:space="preserve"> </w:t>
      </w:r>
      <w:r w:rsidR="00A70537">
        <w:t>suggests</w:t>
      </w:r>
      <w:r w:rsidR="00BF63E2">
        <w:t xml:space="preserve"> </w:t>
      </w:r>
      <w:r w:rsidR="00A70537">
        <w:t xml:space="preserve">an underlying neurocognitive circuit </w:t>
      </w:r>
      <w:r w:rsidR="00AE6C2D">
        <w:t>suitable</w:t>
      </w:r>
      <w:r w:rsidR="00A910CE">
        <w:t xml:space="preserve"> for </w:t>
      </w:r>
      <w:r w:rsidR="00A910CE" w:rsidRPr="00A910CE">
        <w:rPr>
          <w:lang w:val="en-US"/>
        </w:rPr>
        <w:t>the comparison of current task aspects with novel information required for exploratory decisions</w:t>
      </w:r>
      <w:r w:rsidR="00BE1702">
        <w:rPr>
          <w:lang w:val="en-US"/>
        </w:rPr>
        <w:t xml:space="preserve">. </w:t>
      </w:r>
    </w:p>
    <w:p w:rsidR="00CE5216" w:rsidRDefault="003319CB">
      <w:r>
        <w:t>In rodents, a</w:t>
      </w:r>
      <w:r w:rsidR="00FA47C1">
        <w:t xml:space="preserve">lthough exploratory </w:t>
      </w:r>
      <w:proofErr w:type="spellStart"/>
      <w:r w:rsidR="00FA47C1">
        <w:t>behaviors</w:t>
      </w:r>
      <w:proofErr w:type="spellEnd"/>
      <w:r w:rsidR="00FA47C1">
        <w:t xml:space="preserve"> are observed, the specific role of their frontal cortex in such behavio</w:t>
      </w:r>
      <w:r w:rsidR="00441E54">
        <w:t>u</w:t>
      </w:r>
      <w:r w:rsidR="00FA47C1">
        <w:t>rs remains less clea</w:t>
      </w:r>
      <w:r w:rsidR="005A3C91">
        <w:t xml:space="preserve">r. </w:t>
      </w:r>
      <w:r w:rsidR="00FA47C1">
        <w:t xml:space="preserve">This project aims to bridge this gap and explore the </w:t>
      </w:r>
      <w:r w:rsidR="00E362FF">
        <w:t xml:space="preserve">neural underpinnings of attentional resource allocation </w:t>
      </w:r>
      <w:r w:rsidR="00A66163">
        <w:t>in rodents</w:t>
      </w:r>
      <w:r w:rsidR="00463D10">
        <w:t>.</w:t>
      </w:r>
    </w:p>
    <w:p w:rsidR="006268F1" w:rsidRPr="005F3BD3" w:rsidRDefault="006268F1" w:rsidP="006268F1">
      <w:pPr>
        <w:pStyle w:val="Heading2"/>
      </w:pPr>
      <w:r>
        <w:t>Role of</w:t>
      </w:r>
      <w:r w:rsidR="001451E9">
        <w:t xml:space="preserve"> prefrontal cortex in </w:t>
      </w:r>
      <w:r>
        <w:t xml:space="preserve">exploratory behaviour in </w:t>
      </w:r>
      <w:r w:rsidR="001451E9">
        <w:t>rodents?</w:t>
      </w:r>
    </w:p>
    <w:p w:rsidR="005F3BD3" w:rsidRDefault="005F3BD3" w:rsidP="006268F1">
      <w:pPr>
        <w:rPr>
          <w:lang w:val="en-US"/>
        </w:rPr>
      </w:pPr>
      <w:r>
        <w:t xml:space="preserve">The role of the prefrontal cortex (PFC) in rodents, particularly in terms of exploratory behavior and attentional resource allocation, represents a multifaceted and dynamic </w:t>
      </w:r>
      <w:r>
        <w:lastRenderedPageBreak/>
        <w:t>area of research. Studies have shown the medial prefrontal cortex (</w:t>
      </w:r>
      <w:proofErr w:type="spellStart"/>
      <w:r>
        <w:t>mPFC</w:t>
      </w:r>
      <w:proofErr w:type="spellEnd"/>
      <w:r>
        <w:t>) to be central to decision-making processes, particularly in scenarios involving risk assessment and environmental adaptation (Orsini et al., 2018).</w:t>
      </w:r>
      <w:r w:rsidR="00B3688F">
        <w:t xml:space="preserve"> For instance,</w:t>
      </w:r>
      <w:r w:rsidR="001F7D69">
        <w:t xml:space="preserve"> sudden increase in </w:t>
      </w:r>
      <w:proofErr w:type="spellStart"/>
      <w:r w:rsidR="00D225E5">
        <w:t>mPFC</w:t>
      </w:r>
      <w:proofErr w:type="spellEnd"/>
      <w:r w:rsidR="00D225E5">
        <w:t xml:space="preserve"> </w:t>
      </w:r>
      <w:r w:rsidR="001F7D69">
        <w:t xml:space="preserve">neural activity </w:t>
      </w:r>
      <w:r w:rsidR="00D225E5">
        <w:t xml:space="preserve">was correlated to </w:t>
      </w:r>
      <w:r w:rsidR="001F7D69">
        <w:t>environment</w:t>
      </w:r>
      <w:r w:rsidR="00D225E5">
        <w:t>al change</w:t>
      </w:r>
      <w:r w:rsidR="00B858FD">
        <w:t>s</w:t>
      </w:r>
      <w:r w:rsidR="00D225E5">
        <w:t xml:space="preserve"> </w:t>
      </w:r>
      <w:r w:rsidR="001F7D69">
        <w:t xml:space="preserve">during a tone-cued behavioural task in rats </w:t>
      </w:r>
      <w:r w:rsidR="00B83AF4">
        <w:t>(</w:t>
      </w:r>
      <w:r w:rsidR="00B3688F" w:rsidRPr="00B3688F">
        <w:rPr>
          <w:lang w:val="en-US"/>
        </w:rPr>
        <w:t>Karlsson et al., 2012</w:t>
      </w:r>
      <w:r w:rsidR="00B83AF4">
        <w:rPr>
          <w:lang w:val="en-US"/>
        </w:rPr>
        <w:t>).</w:t>
      </w:r>
      <w:r w:rsidR="00B3688F" w:rsidRPr="00B3688F">
        <w:rPr>
          <w:lang w:val="en-US"/>
        </w:rPr>
        <w:t xml:space="preserve"> </w:t>
      </w:r>
      <w:r w:rsidR="00B15528">
        <w:t>Moreover</w:t>
      </w:r>
      <w:r w:rsidR="001611B8">
        <w:t xml:space="preserve">, enhanced neuronal activity in the </w:t>
      </w:r>
      <w:proofErr w:type="spellStart"/>
      <w:r w:rsidR="001611B8">
        <w:t>mPFC</w:t>
      </w:r>
      <w:proofErr w:type="spellEnd"/>
      <w:r w:rsidR="001611B8">
        <w:t xml:space="preserve"> has been observed in mice during social approach </w:t>
      </w:r>
      <w:proofErr w:type="spellStart"/>
      <w:r w:rsidR="001611B8">
        <w:t>behaviors</w:t>
      </w:r>
      <w:proofErr w:type="spellEnd"/>
      <w:r w:rsidR="001611B8">
        <w:t>, suggesting its active role in processing social cues</w:t>
      </w:r>
      <w:r w:rsidR="001611B8">
        <w:t>, an essential requirement for exploratory behaviour</w:t>
      </w:r>
      <w:r w:rsidR="001611B8">
        <w:t xml:space="preserve"> (Lee et al., 2016).</w:t>
      </w:r>
      <w:r w:rsidR="004E2A82">
        <w:t xml:space="preserve"> </w:t>
      </w:r>
      <w:r w:rsidR="00B15528">
        <w:t>Additionally</w:t>
      </w:r>
      <w:r>
        <w:t xml:space="preserve">, </w:t>
      </w:r>
      <w:r w:rsidR="00B15528">
        <w:t>accumulating</w:t>
      </w:r>
      <w:r w:rsidR="00110361">
        <w:t xml:space="preserve"> </w:t>
      </w:r>
      <w:r w:rsidR="00B15528">
        <w:t>evidences</w:t>
      </w:r>
      <w:r w:rsidR="00110361">
        <w:t xml:space="preserve"> demonstrated that </w:t>
      </w:r>
      <w:r>
        <w:t xml:space="preserve">the </w:t>
      </w:r>
      <w:proofErr w:type="spellStart"/>
      <w:r>
        <w:t>mPFC</w:t>
      </w:r>
      <w:proofErr w:type="spellEnd"/>
      <w:r>
        <w:t xml:space="preserve"> </w:t>
      </w:r>
      <w:r w:rsidR="00326774">
        <w:t xml:space="preserve">plays an instrumental </w:t>
      </w:r>
      <w:proofErr w:type="spellStart"/>
      <w:r w:rsidR="00326774">
        <w:t>role</w:t>
      </w:r>
      <w:r w:rsidR="00326774">
        <w:t xml:space="preserve"> </w:t>
      </w:r>
      <w:proofErr w:type="spellEnd"/>
      <w:r w:rsidR="00326774">
        <w:t>in encoding various forms of decision-making</w:t>
      </w:r>
      <w:r w:rsidR="00326774">
        <w:t xml:space="preserve"> </w:t>
      </w:r>
      <w:r w:rsidR="005B3A92">
        <w:t xml:space="preserve">including exploratory behaviour </w:t>
      </w:r>
      <w:r w:rsidR="00326774">
        <w:t>mainly due</w:t>
      </w:r>
      <w:r w:rsidR="00110361">
        <w:t xml:space="preserve"> its strong projections from CA1, thalamus and amygdala </w:t>
      </w:r>
      <w:r w:rsidR="00326774">
        <w:t>that helps to integrate</w:t>
      </w:r>
      <w:r w:rsidR="00110361">
        <w:t xml:space="preserve"> inputs</w:t>
      </w:r>
      <w:r w:rsidR="0078189C">
        <w:t xml:space="preserve"> from different regions</w:t>
      </w:r>
      <w:r w:rsidR="00326774">
        <w:t xml:space="preserve"> and update its information about the surroundings</w:t>
      </w:r>
      <w:r w:rsidR="00F947A3">
        <w:t xml:space="preserve"> </w:t>
      </w:r>
      <w:r w:rsidR="003E6024">
        <w:t>(</w:t>
      </w:r>
      <w:proofErr w:type="spellStart"/>
      <w:r w:rsidR="003E6024">
        <w:fldChar w:fldCharType="begin"/>
      </w:r>
      <w:r w:rsidR="003E6024">
        <w:instrText>HYPERLINK "https://www.frontiersin.org/articles/10.3389/fnbeh.2015.00007/full" \l "B23"</w:instrText>
      </w:r>
      <w:r w:rsidR="003E6024">
        <w:fldChar w:fldCharType="separate"/>
      </w:r>
      <w:r w:rsidR="003E6024">
        <w:rPr>
          <w:rStyle w:val="Hyperlink"/>
        </w:rPr>
        <w:t>Herry</w:t>
      </w:r>
      <w:proofErr w:type="spellEnd"/>
      <w:r w:rsidR="003E6024">
        <w:rPr>
          <w:rStyle w:val="Hyperlink"/>
        </w:rPr>
        <w:t xml:space="preserve"> et al., 1999</w:t>
      </w:r>
      <w:r w:rsidR="003E6024">
        <w:fldChar w:fldCharType="end"/>
      </w:r>
      <w:r w:rsidR="003E6024">
        <w:t xml:space="preserve">; </w:t>
      </w:r>
      <w:hyperlink r:id="rId7" w:anchor="B41" w:history="1">
        <w:r w:rsidR="003E6024">
          <w:rPr>
            <w:rStyle w:val="Hyperlink"/>
          </w:rPr>
          <w:t>Thierry et al., 2000</w:t>
        </w:r>
      </w:hyperlink>
      <w:r w:rsidR="003E6024">
        <w:t xml:space="preserve">; </w:t>
      </w:r>
      <w:hyperlink r:id="rId8" w:anchor="B3" w:history="1">
        <w:r w:rsidR="003E6024">
          <w:rPr>
            <w:rStyle w:val="Hyperlink"/>
          </w:rPr>
          <w:t>Bechara et al., 2003</w:t>
        </w:r>
      </w:hyperlink>
      <w:r w:rsidR="003E6024">
        <w:t xml:space="preserve">; </w:t>
      </w:r>
      <w:hyperlink r:id="rId9" w:anchor="B38" w:history="1">
        <w:r w:rsidR="003E6024">
          <w:rPr>
            <w:rStyle w:val="Hyperlink"/>
          </w:rPr>
          <w:t>St. Onge et al., 2012</w:t>
        </w:r>
      </w:hyperlink>
      <w:r w:rsidR="000519A3">
        <w:t xml:space="preserve">, </w:t>
      </w:r>
      <w:r w:rsidR="000519A3">
        <w:t>Tang et al., 2021</w:t>
      </w:r>
      <w:r w:rsidR="003E6024">
        <w:t>)</w:t>
      </w:r>
      <w:r>
        <w:t>.</w:t>
      </w:r>
    </w:p>
    <w:p w:rsidR="001451E9" w:rsidRDefault="00FA725D">
      <w:pPr>
        <w:rPr>
          <w:lang w:val="en-US"/>
        </w:rPr>
      </w:pPr>
      <w:r>
        <w:rPr>
          <w:lang w:val="en-US"/>
        </w:rPr>
        <w:t xml:space="preserve">Although, </w:t>
      </w:r>
      <w:proofErr w:type="spellStart"/>
      <w:r>
        <w:rPr>
          <w:lang w:val="en-US"/>
        </w:rPr>
        <w:t>mPFC</w:t>
      </w:r>
      <w:proofErr w:type="spellEnd"/>
      <w:r>
        <w:rPr>
          <w:lang w:val="en-US"/>
        </w:rPr>
        <w:t xml:space="preserve"> was the focus point in exploring the role prefrontal cortex in decision-making research in rodents, </w:t>
      </w:r>
      <w:r w:rsidR="005F3BD3">
        <w:rPr>
          <w:lang w:val="en-US"/>
        </w:rPr>
        <w:t>t</w:t>
      </w:r>
      <w:r w:rsidR="005F3BD3" w:rsidRPr="005F3BD3">
        <w:rPr>
          <w:lang w:val="en-US"/>
        </w:rPr>
        <w:t xml:space="preserve">he precise role of the rodent frontal cortex in decision-making, particularly in the context of exploratory behavior, has been a subject of considerable discussion and controversy. This debate arises primarily from the inconsistencies in nomenclature and the anatomical definition of the prefrontal cortex (PFC) in rodent models. Laubach et al. (2018) emphasize that the varied use of terms, often borrowed or adapted from primate research, has led to a fragmented understanding of the PFC’s role in rodents. Unlike in primates where the PFC is well-defined and its functions extensively studied, in rodents, the boundaries of this region are less clear, and its functions less distinct. The lack of a standardized approach in defining and researching the rodent PFC makes it challenging to draw direct comparisons with primate studies, thereby complicating the integration of rodent research into a broader neuroscientific context. This ambiguity in defining the </w:t>
      </w:r>
      <w:r w:rsidR="00521C3E">
        <w:rPr>
          <w:lang w:val="en-US"/>
        </w:rPr>
        <w:t xml:space="preserve">boundaries of </w:t>
      </w:r>
      <w:r w:rsidR="005F3BD3" w:rsidRPr="005F3BD3">
        <w:rPr>
          <w:lang w:val="en-US"/>
        </w:rPr>
        <w:t>rodent PFC, encompassing areas like the medial prefrontal cortex (</w:t>
      </w:r>
      <w:proofErr w:type="spellStart"/>
      <w:r w:rsidR="005F3BD3" w:rsidRPr="005F3BD3">
        <w:rPr>
          <w:lang w:val="en-US"/>
        </w:rPr>
        <w:t>mPFC</w:t>
      </w:r>
      <w:proofErr w:type="spellEnd"/>
      <w:r w:rsidR="005F3BD3" w:rsidRPr="005F3BD3">
        <w:rPr>
          <w:lang w:val="en-US"/>
        </w:rPr>
        <w:t>), orbitofrontal cortex (OFC), and anterior cingulate cortex (ACC), poses significant challenges in understanding its full functional spectrum, particularly in higher cognitive processes such as decision-making and attentional resource allocation.</w:t>
      </w:r>
    </w:p>
    <w:p w:rsidR="00F55FD6" w:rsidRPr="005F3BD3" w:rsidRDefault="00D21359" w:rsidP="00F55FD6">
      <w:pPr>
        <w:pStyle w:val="Heading2"/>
      </w:pPr>
      <w:r>
        <w:t>Mongolian Gerbils as a rodent model for exploratory behaviour</w:t>
      </w:r>
    </w:p>
    <w:p w:rsidR="003C4778" w:rsidRDefault="00481B42">
      <w:pPr>
        <w:rPr>
          <w:sz w:val="23"/>
          <w:szCs w:val="23"/>
        </w:rPr>
      </w:pPr>
      <w:r w:rsidRPr="00481B42">
        <w:rPr>
          <w:lang w:val="en-US"/>
        </w:rPr>
        <w:t>The Mongolian</w:t>
      </w:r>
      <w:r>
        <w:rPr>
          <w:lang w:val="en-US"/>
        </w:rPr>
        <w:t xml:space="preserve"> </w:t>
      </w:r>
      <w:r w:rsidRPr="00481B42">
        <w:rPr>
          <w:lang w:val="en-US"/>
        </w:rPr>
        <w:t>gerbil</w:t>
      </w:r>
      <w:r>
        <w:rPr>
          <w:lang w:val="en-US"/>
        </w:rPr>
        <w:t xml:space="preserve"> </w:t>
      </w:r>
      <w:r w:rsidRPr="00481B42">
        <w:rPr>
          <w:lang w:val="en-US"/>
        </w:rPr>
        <w:t>is</w:t>
      </w:r>
      <w:r>
        <w:rPr>
          <w:lang w:val="en-US"/>
        </w:rPr>
        <w:t xml:space="preserve"> </w:t>
      </w:r>
      <w:r w:rsidRPr="00481B42">
        <w:rPr>
          <w:lang w:val="en-US"/>
        </w:rPr>
        <w:t>a</w:t>
      </w:r>
      <w:r>
        <w:rPr>
          <w:lang w:val="en-US"/>
        </w:rPr>
        <w:t xml:space="preserve"> </w:t>
      </w:r>
      <w:r w:rsidRPr="00481B42">
        <w:rPr>
          <w:lang w:val="en-US"/>
        </w:rPr>
        <w:t>popular</w:t>
      </w:r>
      <w:r>
        <w:rPr>
          <w:lang w:val="en-US"/>
        </w:rPr>
        <w:t xml:space="preserve"> </w:t>
      </w:r>
      <w:r w:rsidRPr="00481B42">
        <w:rPr>
          <w:lang w:val="en-US"/>
        </w:rPr>
        <w:t>animal</w:t>
      </w:r>
      <w:r>
        <w:rPr>
          <w:lang w:val="en-US"/>
        </w:rPr>
        <w:t xml:space="preserve"> </w:t>
      </w:r>
      <w:r w:rsidRPr="00481B42">
        <w:rPr>
          <w:lang w:val="en-US"/>
        </w:rPr>
        <w:t>model</w:t>
      </w:r>
      <w:r>
        <w:rPr>
          <w:lang w:val="en-US"/>
        </w:rPr>
        <w:t xml:space="preserve"> </w:t>
      </w:r>
      <w:r w:rsidRPr="00481B42">
        <w:rPr>
          <w:lang w:val="en-US"/>
        </w:rPr>
        <w:t>with</w:t>
      </w:r>
      <w:r>
        <w:rPr>
          <w:lang w:val="en-US"/>
        </w:rPr>
        <w:t xml:space="preserve"> </w:t>
      </w:r>
      <w:r w:rsidRPr="00481B42">
        <w:rPr>
          <w:lang w:val="en-US"/>
        </w:rPr>
        <w:t>a</w:t>
      </w:r>
      <w:r>
        <w:rPr>
          <w:lang w:val="en-US"/>
        </w:rPr>
        <w:t xml:space="preserve"> </w:t>
      </w:r>
      <w:r w:rsidRPr="00481B42">
        <w:rPr>
          <w:lang w:val="en-US"/>
        </w:rPr>
        <w:t>long</w:t>
      </w:r>
      <w:r>
        <w:rPr>
          <w:lang w:val="en-US"/>
        </w:rPr>
        <w:t xml:space="preserve"> </w:t>
      </w:r>
      <w:r w:rsidRPr="00481B42">
        <w:rPr>
          <w:lang w:val="en-US"/>
        </w:rPr>
        <w:t>history</w:t>
      </w:r>
      <w:r>
        <w:rPr>
          <w:lang w:val="en-US"/>
        </w:rPr>
        <w:t xml:space="preserve"> </w:t>
      </w:r>
      <w:r w:rsidRPr="00481B42">
        <w:rPr>
          <w:lang w:val="en-US"/>
        </w:rPr>
        <w:t>in</w:t>
      </w:r>
      <w:r>
        <w:rPr>
          <w:lang w:val="en-US"/>
        </w:rPr>
        <w:t xml:space="preserve"> </w:t>
      </w:r>
      <w:r w:rsidRPr="00481B42">
        <w:rPr>
          <w:lang w:val="en-US"/>
        </w:rPr>
        <w:t>multiple</w:t>
      </w:r>
      <w:r>
        <w:rPr>
          <w:lang w:val="en-US"/>
        </w:rPr>
        <w:t xml:space="preserve"> </w:t>
      </w:r>
      <w:r w:rsidRPr="00481B42">
        <w:rPr>
          <w:lang w:val="en-US"/>
        </w:rPr>
        <w:t>research topics such</w:t>
      </w:r>
      <w:r>
        <w:rPr>
          <w:lang w:val="en-US"/>
        </w:rPr>
        <w:t xml:space="preserve"> </w:t>
      </w:r>
      <w:r w:rsidRPr="00481B42">
        <w:rPr>
          <w:lang w:val="en-US"/>
        </w:rPr>
        <w:t>as</w:t>
      </w:r>
      <w:r>
        <w:rPr>
          <w:lang w:val="en-US"/>
        </w:rPr>
        <w:t xml:space="preserve"> </w:t>
      </w:r>
      <w:r w:rsidRPr="00481B42">
        <w:rPr>
          <w:lang w:val="en-US"/>
        </w:rPr>
        <w:t>animals’</w:t>
      </w:r>
      <w:r>
        <w:rPr>
          <w:lang w:val="en-US"/>
        </w:rPr>
        <w:t xml:space="preserve"> </w:t>
      </w:r>
      <w:r w:rsidRPr="00481B42">
        <w:rPr>
          <w:lang w:val="en-US"/>
        </w:rPr>
        <w:t>social</w:t>
      </w:r>
      <w:r>
        <w:rPr>
          <w:lang w:val="en-US"/>
        </w:rPr>
        <w:t xml:space="preserve"> </w:t>
      </w:r>
      <w:r w:rsidRPr="00481B42">
        <w:rPr>
          <w:lang w:val="en-US"/>
        </w:rPr>
        <w:t>cognition</w:t>
      </w:r>
      <w:r>
        <w:rPr>
          <w:lang w:val="en-US"/>
        </w:rPr>
        <w:t xml:space="preserve"> </w:t>
      </w:r>
      <w:r w:rsidRPr="00481B42">
        <w:rPr>
          <w:lang w:val="en-US"/>
        </w:rPr>
        <w:t>(</w:t>
      </w:r>
      <w:proofErr w:type="spellStart"/>
      <w:r w:rsidRPr="00481B42">
        <w:rPr>
          <w:lang w:val="en-US"/>
        </w:rPr>
        <w:t>Tchabovsky</w:t>
      </w:r>
      <w:proofErr w:type="spellEnd"/>
      <w:r>
        <w:rPr>
          <w:lang w:val="en-US"/>
        </w:rPr>
        <w:t xml:space="preserve"> </w:t>
      </w:r>
      <w:proofErr w:type="spellStart"/>
      <w:r w:rsidRPr="00481B42">
        <w:rPr>
          <w:lang w:val="en-US"/>
        </w:rPr>
        <w:t>et</w:t>
      </w:r>
      <w:r>
        <w:rPr>
          <w:lang w:val="en-US"/>
        </w:rPr>
        <w:t xml:space="preserve"> </w:t>
      </w:r>
      <w:r w:rsidRPr="00481B42">
        <w:rPr>
          <w:lang w:val="en-US"/>
        </w:rPr>
        <w:t>a</w:t>
      </w:r>
      <w:proofErr w:type="spellEnd"/>
      <w:r w:rsidRPr="00481B42">
        <w:rPr>
          <w:lang w:val="en-US"/>
        </w:rPr>
        <w:t>l., 2019), neurological</w:t>
      </w:r>
      <w:r>
        <w:rPr>
          <w:lang w:val="en-US"/>
        </w:rPr>
        <w:t xml:space="preserve"> </w:t>
      </w:r>
      <w:r w:rsidRPr="00481B42">
        <w:rPr>
          <w:lang w:val="en-US"/>
        </w:rPr>
        <w:lastRenderedPageBreak/>
        <w:t xml:space="preserve">diseases </w:t>
      </w:r>
      <w:r>
        <w:rPr>
          <w:lang w:val="en-US"/>
        </w:rPr>
        <w:t>–</w:t>
      </w:r>
      <w:r w:rsidRPr="00481B42">
        <w:rPr>
          <w:lang w:val="en-US"/>
        </w:rPr>
        <w:t xml:space="preserve"> epilepsy</w:t>
      </w:r>
      <w:r>
        <w:rPr>
          <w:lang w:val="en-US"/>
        </w:rPr>
        <w:t xml:space="preserve"> </w:t>
      </w:r>
      <w:r w:rsidRPr="00481B42">
        <w:rPr>
          <w:lang w:val="en-US"/>
        </w:rPr>
        <w:t xml:space="preserve">(Cutler </w:t>
      </w:r>
      <w:proofErr w:type="spellStart"/>
      <w:r w:rsidRPr="00481B42">
        <w:rPr>
          <w:lang w:val="en-US"/>
        </w:rPr>
        <w:t>andMackintosh</w:t>
      </w:r>
      <w:proofErr w:type="spellEnd"/>
      <w:r w:rsidRPr="00481B42">
        <w:rPr>
          <w:lang w:val="en-US"/>
        </w:rPr>
        <w:t>, 1989), auditory</w:t>
      </w:r>
      <w:r>
        <w:rPr>
          <w:lang w:val="en-US"/>
        </w:rPr>
        <w:t xml:space="preserve"> </w:t>
      </w:r>
      <w:r w:rsidRPr="00481B42">
        <w:rPr>
          <w:lang w:val="en-US"/>
        </w:rPr>
        <w:t>processing</w:t>
      </w:r>
      <w:r w:rsidR="00457D6E">
        <w:rPr>
          <w:lang w:val="en-US"/>
        </w:rPr>
        <w:t xml:space="preserve"> (cite max and Frank</w:t>
      </w:r>
      <w:r w:rsidR="001D6BEC">
        <w:rPr>
          <w:lang w:val="en-US"/>
        </w:rPr>
        <w:t>)</w:t>
      </w:r>
      <w:r>
        <w:rPr>
          <w:lang w:val="en-US"/>
        </w:rPr>
        <w:t xml:space="preserve"> </w:t>
      </w:r>
      <w:r w:rsidRPr="00481B42">
        <w:rPr>
          <w:lang w:val="en-US"/>
        </w:rPr>
        <w:t>and</w:t>
      </w:r>
      <w:r>
        <w:rPr>
          <w:lang w:val="en-US"/>
        </w:rPr>
        <w:t xml:space="preserve"> </w:t>
      </w:r>
      <w:r w:rsidRPr="00481B42">
        <w:rPr>
          <w:lang w:val="en-US"/>
        </w:rPr>
        <w:t>hearing</w:t>
      </w:r>
      <w:r>
        <w:rPr>
          <w:lang w:val="en-US"/>
        </w:rPr>
        <w:t xml:space="preserve"> </w:t>
      </w:r>
      <w:r w:rsidRPr="00481B42">
        <w:rPr>
          <w:lang w:val="en-US"/>
        </w:rPr>
        <w:t>loss</w:t>
      </w:r>
      <w:r>
        <w:rPr>
          <w:lang w:val="en-US"/>
        </w:rPr>
        <w:t xml:space="preserve"> </w:t>
      </w:r>
      <w:r w:rsidRPr="00481B42">
        <w:rPr>
          <w:lang w:val="en-US"/>
        </w:rPr>
        <w:t>(</w:t>
      </w:r>
      <w:proofErr w:type="spellStart"/>
      <w:r w:rsidRPr="00481B42">
        <w:rPr>
          <w:lang w:val="en-US"/>
        </w:rPr>
        <w:t>Scheich</w:t>
      </w:r>
      <w:proofErr w:type="spellEnd"/>
      <w:r w:rsidRPr="00481B42">
        <w:rPr>
          <w:lang w:val="en-US"/>
        </w:rPr>
        <w:t>, 1991; Otto and</w:t>
      </w:r>
      <w:r w:rsidR="00D74BB7">
        <w:rPr>
          <w:lang w:val="en-US"/>
        </w:rPr>
        <w:t xml:space="preserve"> </w:t>
      </w:r>
      <w:r w:rsidRPr="00481B42">
        <w:rPr>
          <w:lang w:val="en-US"/>
        </w:rPr>
        <w:t>Jürgen, 2011).</w:t>
      </w:r>
      <w:r w:rsidR="00CA6F60">
        <w:rPr>
          <w:lang w:val="en-US"/>
        </w:rPr>
        <w:t xml:space="preserve"> </w:t>
      </w:r>
      <w:r w:rsidR="00F92CD9">
        <w:rPr>
          <w:sz w:val="23"/>
          <w:szCs w:val="23"/>
        </w:rPr>
        <w:t>P</w:t>
      </w:r>
      <w:r w:rsidR="00F92CD9">
        <w:rPr>
          <w:sz w:val="23"/>
          <w:szCs w:val="23"/>
        </w:rPr>
        <w:t xml:space="preserve">revious research has proved that gerbils are able to </w:t>
      </w:r>
      <w:r w:rsidR="00733F3C">
        <w:rPr>
          <w:sz w:val="23"/>
          <w:szCs w:val="23"/>
        </w:rPr>
        <w:t xml:space="preserve">quickly learn experimental rules, </w:t>
      </w:r>
      <w:r w:rsidR="00F92CD9">
        <w:rPr>
          <w:sz w:val="23"/>
          <w:szCs w:val="23"/>
        </w:rPr>
        <w:t xml:space="preserve">adapt </w:t>
      </w:r>
      <w:r w:rsidR="00D74BB7">
        <w:rPr>
          <w:sz w:val="23"/>
          <w:szCs w:val="23"/>
        </w:rPr>
        <w:t>to environmental</w:t>
      </w:r>
      <w:r w:rsidR="00F92CD9">
        <w:rPr>
          <w:sz w:val="23"/>
          <w:szCs w:val="23"/>
        </w:rPr>
        <w:t xml:space="preserve"> </w:t>
      </w:r>
      <w:r w:rsidR="00F92CD9">
        <w:rPr>
          <w:sz w:val="23"/>
          <w:szCs w:val="23"/>
        </w:rPr>
        <w:t>changes</w:t>
      </w:r>
      <w:r w:rsidR="00F92CD9">
        <w:rPr>
          <w:sz w:val="23"/>
          <w:szCs w:val="23"/>
        </w:rPr>
        <w:t xml:space="preserve"> and learn complex auditory behavio</w:t>
      </w:r>
      <w:r w:rsidR="00422E97">
        <w:rPr>
          <w:sz w:val="23"/>
          <w:szCs w:val="23"/>
        </w:rPr>
        <w:t>u</w:t>
      </w:r>
      <w:r w:rsidR="00F92CD9">
        <w:rPr>
          <w:sz w:val="23"/>
          <w:szCs w:val="23"/>
        </w:rPr>
        <w:t>ral tasks</w:t>
      </w:r>
      <w:r w:rsidR="00F92CD9">
        <w:rPr>
          <w:sz w:val="23"/>
          <w:szCs w:val="23"/>
        </w:rPr>
        <w:t xml:space="preserve"> such as reversal learning </w:t>
      </w:r>
      <w:r w:rsidR="00733F3C">
        <w:rPr>
          <w:sz w:val="23"/>
          <w:szCs w:val="23"/>
        </w:rPr>
        <w:t>showcasing</w:t>
      </w:r>
      <w:r w:rsidR="00C54832">
        <w:rPr>
          <w:sz w:val="23"/>
          <w:szCs w:val="23"/>
        </w:rPr>
        <w:t xml:space="preserve"> </w:t>
      </w:r>
      <w:r w:rsidR="00733F3C">
        <w:rPr>
          <w:sz w:val="23"/>
          <w:szCs w:val="23"/>
        </w:rPr>
        <w:t>higher cognitive functions such as</w:t>
      </w:r>
      <w:r w:rsidR="00C54832">
        <w:rPr>
          <w:sz w:val="23"/>
          <w:szCs w:val="23"/>
        </w:rPr>
        <w:t xml:space="preserve"> adaptive decision-making </w:t>
      </w:r>
      <w:r w:rsidR="00F92CD9">
        <w:rPr>
          <w:sz w:val="23"/>
          <w:szCs w:val="23"/>
        </w:rPr>
        <w:t>(Cite Frank and Max).</w:t>
      </w:r>
      <w:r w:rsidR="00845D60">
        <w:rPr>
          <w:sz w:val="23"/>
          <w:szCs w:val="23"/>
        </w:rPr>
        <w:t xml:space="preserve"> </w:t>
      </w:r>
      <w:r w:rsidR="006D77A4">
        <w:rPr>
          <w:sz w:val="23"/>
          <w:szCs w:val="23"/>
        </w:rPr>
        <w:t>Moreover, in the wild, the gerbils live in desert</w:t>
      </w:r>
      <w:r w:rsidR="00733F3C">
        <w:rPr>
          <w:sz w:val="23"/>
          <w:szCs w:val="23"/>
        </w:rPr>
        <w:t>s</w:t>
      </w:r>
      <w:r w:rsidR="006D77A4">
        <w:rPr>
          <w:sz w:val="23"/>
          <w:szCs w:val="23"/>
        </w:rPr>
        <w:t xml:space="preserve"> making them natural foragers in one of the most dynamic environments in the world. </w:t>
      </w:r>
      <w:r w:rsidR="00733F3C">
        <w:rPr>
          <w:sz w:val="23"/>
          <w:szCs w:val="23"/>
        </w:rPr>
        <w:t xml:space="preserve">Considering </w:t>
      </w:r>
      <w:r w:rsidR="00442C9A">
        <w:rPr>
          <w:sz w:val="23"/>
          <w:szCs w:val="23"/>
        </w:rPr>
        <w:t>these adaptive behaviours of the gerbils, in this study, we decided to use them as a rodent model to investigate the neural underpinnings of decision making during an exploration-exploitation dilemma.</w:t>
      </w:r>
    </w:p>
    <w:p w:rsidR="001A1963" w:rsidRDefault="001A1963">
      <w:pPr>
        <w:rPr>
          <w:sz w:val="23"/>
          <w:szCs w:val="23"/>
        </w:rPr>
      </w:pPr>
      <w:r>
        <w:rPr>
          <w:sz w:val="23"/>
          <w:szCs w:val="23"/>
        </w:rPr>
        <w:t>Further</w:t>
      </w:r>
      <w:r w:rsidR="001B54A3">
        <w:rPr>
          <w:sz w:val="23"/>
          <w:szCs w:val="23"/>
        </w:rPr>
        <w:t>more</w:t>
      </w:r>
      <w:r>
        <w:rPr>
          <w:sz w:val="23"/>
          <w:szCs w:val="23"/>
        </w:rPr>
        <w:t xml:space="preserve">, the gerbil atlas created by () </w:t>
      </w:r>
      <w:r w:rsidR="006649F1">
        <w:rPr>
          <w:sz w:val="23"/>
          <w:szCs w:val="23"/>
        </w:rPr>
        <w:t>extensively maps</w:t>
      </w:r>
      <w:r>
        <w:rPr>
          <w:sz w:val="23"/>
          <w:szCs w:val="23"/>
        </w:rPr>
        <w:t xml:space="preserve"> </w:t>
      </w:r>
      <w:r w:rsidR="006649F1">
        <w:rPr>
          <w:sz w:val="23"/>
          <w:szCs w:val="23"/>
        </w:rPr>
        <w:t xml:space="preserve">their cortical boundaries and connections enabling researchers to develop </w:t>
      </w:r>
      <w:r w:rsidR="006649F1" w:rsidRPr="006649F1">
        <w:rPr>
          <w:sz w:val="23"/>
          <w:szCs w:val="23"/>
        </w:rPr>
        <w:t>techniques for chronic recordings and optogenetic manipulation on these animals (</w:t>
      </w:r>
      <w:proofErr w:type="spellStart"/>
      <w:r w:rsidR="006649F1" w:rsidRPr="006649F1">
        <w:rPr>
          <w:sz w:val="23"/>
          <w:szCs w:val="23"/>
        </w:rPr>
        <w:t>Brunk</w:t>
      </w:r>
      <w:proofErr w:type="spellEnd"/>
      <w:r w:rsidR="006649F1" w:rsidRPr="006649F1">
        <w:rPr>
          <w:sz w:val="23"/>
          <w:szCs w:val="23"/>
        </w:rPr>
        <w:t xml:space="preserve"> et al., 2019; </w:t>
      </w:r>
      <w:proofErr w:type="spellStart"/>
      <w:r w:rsidR="006649F1" w:rsidRPr="006649F1">
        <w:rPr>
          <w:sz w:val="23"/>
          <w:szCs w:val="23"/>
        </w:rPr>
        <w:t>Zempeltzi</w:t>
      </w:r>
      <w:proofErr w:type="spellEnd"/>
      <w:r w:rsidR="006649F1" w:rsidRPr="006649F1">
        <w:rPr>
          <w:sz w:val="23"/>
          <w:szCs w:val="23"/>
        </w:rPr>
        <w:t xml:space="preserve"> et al., 2020</w:t>
      </w:r>
      <w:r w:rsidR="006956BC">
        <w:rPr>
          <w:sz w:val="23"/>
          <w:szCs w:val="23"/>
        </w:rPr>
        <w:t>).</w:t>
      </w:r>
      <w:r w:rsidR="00DD58BE">
        <w:rPr>
          <w:sz w:val="23"/>
          <w:szCs w:val="23"/>
        </w:rPr>
        <w:t xml:space="preserve"> In regards to prefrontal cortex, the atlas avoids the usage of common nomenclature such as </w:t>
      </w:r>
      <w:proofErr w:type="spellStart"/>
      <w:r w:rsidR="00DD58BE">
        <w:rPr>
          <w:sz w:val="23"/>
          <w:szCs w:val="23"/>
        </w:rPr>
        <w:t>mPFC</w:t>
      </w:r>
      <w:proofErr w:type="spellEnd"/>
      <w:r w:rsidR="00DD58BE">
        <w:rPr>
          <w:sz w:val="23"/>
          <w:szCs w:val="23"/>
        </w:rPr>
        <w:t xml:space="preserve"> or </w:t>
      </w:r>
      <w:proofErr w:type="spellStart"/>
      <w:r w:rsidR="00DD58BE">
        <w:rPr>
          <w:sz w:val="23"/>
          <w:szCs w:val="23"/>
        </w:rPr>
        <w:t>dlPFC</w:t>
      </w:r>
      <w:proofErr w:type="spellEnd"/>
      <w:r w:rsidR="00DD58BE">
        <w:rPr>
          <w:sz w:val="23"/>
          <w:szCs w:val="23"/>
        </w:rPr>
        <w:t xml:space="preserve">. </w:t>
      </w:r>
      <w:r w:rsidR="00F536BC">
        <w:rPr>
          <w:sz w:val="23"/>
          <w:szCs w:val="23"/>
        </w:rPr>
        <w:t>Instead,</w:t>
      </w:r>
      <w:r w:rsidR="00DD58BE">
        <w:rPr>
          <w:sz w:val="23"/>
          <w:szCs w:val="23"/>
        </w:rPr>
        <w:t xml:space="preserve"> just maps the </w:t>
      </w:r>
      <w:r w:rsidR="00BB1D21">
        <w:rPr>
          <w:sz w:val="23"/>
          <w:szCs w:val="23"/>
        </w:rPr>
        <w:t>anterior region of frontal cortex as frontal region A (FrA) that lies between the olfactory bulb and the secondary motor cortex.</w:t>
      </w:r>
      <w:r w:rsidR="0049740E">
        <w:rPr>
          <w:sz w:val="23"/>
          <w:szCs w:val="23"/>
        </w:rPr>
        <w:t xml:space="preserve"> This clear anatomical distinction unlike in mice and rats forms a better analogue of human and monkey </w:t>
      </w:r>
      <w:proofErr w:type="spellStart"/>
      <w:r w:rsidR="0049740E">
        <w:rPr>
          <w:sz w:val="23"/>
          <w:szCs w:val="23"/>
        </w:rPr>
        <w:t>aPFC</w:t>
      </w:r>
      <w:proofErr w:type="spellEnd"/>
      <w:r w:rsidR="0049740E">
        <w:rPr>
          <w:sz w:val="23"/>
          <w:szCs w:val="23"/>
        </w:rPr>
        <w:t>, whose role we are interested to study.</w:t>
      </w:r>
    </w:p>
    <w:p w:rsidR="00FC5208" w:rsidRPr="005F3BD3" w:rsidRDefault="001E195F" w:rsidP="00FC5208">
      <w:pPr>
        <w:pStyle w:val="Heading2"/>
      </w:pPr>
      <w:r>
        <w:t>Probabilistic Foraging as a tool to induce the exploration-exploitation dilemma</w:t>
      </w:r>
    </w:p>
    <w:p w:rsidR="005D0BC8" w:rsidRDefault="00744BD8" w:rsidP="00744BD8">
      <w:pPr>
        <w:rPr>
          <w:lang w:val="en-US"/>
        </w:rPr>
      </w:pPr>
      <w:r>
        <w:t xml:space="preserve">To investigate decision-making under uncertainty in Mongolian gerbils, we adapted the probabilistic foraging task from a study by </w:t>
      </w:r>
      <w:proofErr w:type="spellStart"/>
      <w:r>
        <w:t>Lottem</w:t>
      </w:r>
      <w:proofErr w:type="spellEnd"/>
      <w:r>
        <w:t xml:space="preserve"> et al., 2018, originally conducted with mice. </w:t>
      </w:r>
      <w:r w:rsidRPr="00744BD8">
        <w:rPr>
          <w:lang w:val="en-US"/>
        </w:rPr>
        <w:t>Th</w:t>
      </w:r>
      <w:r>
        <w:rPr>
          <w:lang w:val="en-US"/>
        </w:rPr>
        <w:t>is</w:t>
      </w:r>
      <w:r w:rsidRPr="00744BD8">
        <w:rPr>
          <w:lang w:val="en-US"/>
        </w:rPr>
        <w:t xml:space="preserve"> </w:t>
      </w:r>
      <w:r>
        <w:rPr>
          <w:lang w:val="en-US"/>
        </w:rPr>
        <w:t>study</w:t>
      </w:r>
      <w:r w:rsidRPr="00744BD8">
        <w:rPr>
          <w:lang w:val="en-US"/>
        </w:rPr>
        <w:t xml:space="preserve"> presents a sophisticated setup to simulate </w:t>
      </w:r>
      <w:r>
        <w:t>an exploration-exploitation dilemma by incorporating probabilistic rules that govern the availability of rewards</w:t>
      </w:r>
      <w:r>
        <w:t xml:space="preserve"> </w:t>
      </w:r>
      <w:proofErr w:type="gramStart"/>
      <w:r w:rsidRPr="00744BD8">
        <w:rPr>
          <w:lang w:val="en-US"/>
        </w:rPr>
        <w:t>In</w:t>
      </w:r>
      <w:proofErr w:type="gramEnd"/>
      <w:r w:rsidRPr="00744BD8">
        <w:rPr>
          <w:lang w:val="en-US"/>
        </w:rPr>
        <w:t xml:space="preserve"> this task, mice were trained in a controlled environment featuring an elongated chamber with two water-reward ports at each end. In each trial, the mice performed a sequence of nose-pokes at one of the reward ports, with each nose-poke having a decreasing probability of yielding a water reward. </w:t>
      </w:r>
      <w:r w:rsidR="00742F37">
        <w:t>Such an arrangement forces the animal to constantly reassess whether to continue exploiting the current, but increasingly less rewarding resource or to explore other, potentially more rewarding options</w:t>
      </w:r>
      <w:r w:rsidRPr="00744BD8">
        <w:rPr>
          <w:lang w:val="en-US"/>
        </w:rPr>
        <w:t>.</w:t>
      </w:r>
      <w:r w:rsidR="003A5E7F">
        <w:t xml:space="preserve"> </w:t>
      </w:r>
      <w:r w:rsidRPr="00744BD8">
        <w:rPr>
          <w:lang w:val="en-US"/>
        </w:rPr>
        <w:t>The task was structured into three trial types, each defined by different starting reward probabilities.</w:t>
      </w:r>
      <w:r w:rsidR="00742F37">
        <w:rPr>
          <w:lang w:val="en-US"/>
        </w:rPr>
        <w:t xml:space="preserve"> T</w:t>
      </w:r>
      <w:r w:rsidR="00742F37">
        <w:t xml:space="preserve">he introduction of varying initial reward probabilities further adds layers of uncertainty, compelling the </w:t>
      </w:r>
      <w:r w:rsidR="005D0BC8">
        <w:t>animals</w:t>
      </w:r>
      <w:r w:rsidR="00742F37">
        <w:t xml:space="preserve"> to make decisions in an environment where the chances of reward are dynamic and unpredictable.</w:t>
      </w:r>
    </w:p>
    <w:p w:rsidR="00744BD8" w:rsidRPr="002B3B27" w:rsidRDefault="00744BD8" w:rsidP="00FC5208">
      <w:r w:rsidRPr="00744BD8">
        <w:rPr>
          <w:lang w:val="en-US"/>
        </w:rPr>
        <w:lastRenderedPageBreak/>
        <w:t xml:space="preserve">This paradigm effectively models real-life </w:t>
      </w:r>
      <w:r w:rsidR="00AD4C3F">
        <w:rPr>
          <w:lang w:val="en-US"/>
        </w:rPr>
        <w:t>foraging scenarios</w:t>
      </w:r>
      <w:r w:rsidR="00525108">
        <w:rPr>
          <w:lang w:val="en-US"/>
        </w:rPr>
        <w:t xml:space="preserve"> </w:t>
      </w:r>
      <w:r w:rsidR="00525108">
        <w:t xml:space="preserve">and </w:t>
      </w:r>
      <w:r w:rsidR="000008B8" w:rsidRPr="00744BD8">
        <w:rPr>
          <w:lang w:val="en-US"/>
        </w:rPr>
        <w:t>offers an excellent experimental framework to explore how rodents navigate the balance between exploitation and exploration under uncertainty</w:t>
      </w:r>
      <w:r w:rsidR="00927DEF">
        <w:rPr>
          <w:lang w:val="en-US"/>
        </w:rPr>
        <w:t xml:space="preserve">. </w:t>
      </w:r>
      <w:r w:rsidR="00927DEF" w:rsidRPr="00744BD8">
        <w:rPr>
          <w:lang w:val="en-US"/>
        </w:rPr>
        <w:t>By adapting this task for Mongolian gerbils</w:t>
      </w:r>
      <w:r w:rsidR="00B73A6E">
        <w:rPr>
          <w:lang w:val="en-US"/>
        </w:rPr>
        <w:t xml:space="preserve"> and introducing simultaneous chronic recordings, </w:t>
      </w:r>
      <w:r w:rsidR="00927DEF" w:rsidRPr="00744BD8">
        <w:rPr>
          <w:lang w:val="en-US"/>
        </w:rPr>
        <w:t xml:space="preserve">we can closely </w:t>
      </w:r>
      <w:r w:rsidR="00B73A6E">
        <w:rPr>
          <w:lang w:val="en-US"/>
        </w:rPr>
        <w:t>investigate</w:t>
      </w:r>
      <w:r w:rsidR="00927DEF" w:rsidRPr="00744BD8">
        <w:rPr>
          <w:lang w:val="en-US"/>
        </w:rPr>
        <w:t xml:space="preserve"> the neural mechanisms of </w:t>
      </w:r>
      <w:r w:rsidR="00B73A6E">
        <w:rPr>
          <w:lang w:val="en-US"/>
        </w:rPr>
        <w:t>attentional resource allocation in the frontal cortex during a</w:t>
      </w:r>
      <w:r w:rsidR="00B93794">
        <w:rPr>
          <w:lang w:val="en-US"/>
        </w:rPr>
        <w:t>n</w:t>
      </w:r>
      <w:r w:rsidR="00927DEF" w:rsidRPr="00744BD8">
        <w:rPr>
          <w:lang w:val="en-US"/>
        </w:rPr>
        <w:t xml:space="preserve"> </w:t>
      </w:r>
      <w:r w:rsidR="00B73A6E">
        <w:rPr>
          <w:lang w:val="en-US"/>
        </w:rPr>
        <w:t>exploration-exploitation dilemma</w:t>
      </w:r>
      <w:r w:rsidR="00927DEF" w:rsidRPr="00744BD8">
        <w:rPr>
          <w:lang w:val="en-US"/>
        </w:rPr>
        <w:t>.</w:t>
      </w:r>
    </w:p>
    <w:p w:rsidR="001E195F" w:rsidRPr="005F3BD3" w:rsidRDefault="001E195F" w:rsidP="001E195F">
      <w:pPr>
        <w:pStyle w:val="Heading2"/>
      </w:pPr>
      <w:r>
        <w:t>Chronic Laminar Recordings as a tool to study frontal activity</w:t>
      </w:r>
    </w:p>
    <w:p w:rsidR="008414CB" w:rsidRPr="008414CB" w:rsidRDefault="008414CB" w:rsidP="008414CB">
      <w:pPr>
        <w:rPr>
          <w:lang w:val="en-US"/>
        </w:rPr>
      </w:pPr>
      <w:r w:rsidRPr="008414CB">
        <w:rPr>
          <w:lang w:val="en-US"/>
        </w:rPr>
        <w:t>Chronic electrophysiology recordings, used extensively in conjunction with behavioral paradigms, offer profound insights into the neural mechanisms underlying various cognitive functions. This methodology involves long-term recordings of neural activity, allowing researchers to study brain function in awake, behaving animals over extended periods. In our study, we will employ chronic laminar recordings to explore the mesoscale population activity</w:t>
      </w:r>
      <w:r w:rsidR="009264A8">
        <w:rPr>
          <w:lang w:val="en-US"/>
        </w:rPr>
        <w:t xml:space="preserve"> (Local Field Potential (LFP))</w:t>
      </w:r>
      <w:r w:rsidRPr="008414CB">
        <w:rPr>
          <w:lang w:val="en-US"/>
        </w:rPr>
        <w:t xml:space="preserve"> across the cortical layers of the frontal region A (FrA) in Mongolian gerbils. This approach has been successfully implemented in previous studies (Happel et al., 2015; Deane et al., 2019</w:t>
      </w:r>
      <w:r w:rsidR="005F5026">
        <w:rPr>
          <w:lang w:val="en-US"/>
        </w:rPr>
        <w:t>,</w:t>
      </w:r>
      <w:r w:rsidR="005F5026" w:rsidRPr="005F5026">
        <w:rPr>
          <w:lang w:val="en-US"/>
        </w:rPr>
        <w:t xml:space="preserve"> </w:t>
      </w:r>
      <w:proofErr w:type="spellStart"/>
      <w:r w:rsidR="005F5026" w:rsidRPr="00931442">
        <w:rPr>
          <w:lang w:val="en-US"/>
        </w:rPr>
        <w:t>Zempeltzi</w:t>
      </w:r>
      <w:proofErr w:type="spellEnd"/>
      <w:r w:rsidR="005F5026" w:rsidRPr="00931442">
        <w:rPr>
          <w:lang w:val="en-US"/>
        </w:rPr>
        <w:t xml:space="preserve"> et al., 2019</w:t>
      </w:r>
      <w:r w:rsidRPr="008414CB">
        <w:rPr>
          <w:lang w:val="en-US"/>
        </w:rPr>
        <w:t xml:space="preserve">), demonstrating its efficacy in capturing the dynamic neural processes in awake, behaving </w:t>
      </w:r>
      <w:r w:rsidR="009264A8">
        <w:rPr>
          <w:lang w:val="en-US"/>
        </w:rPr>
        <w:t>gerbils</w:t>
      </w:r>
      <w:r w:rsidRPr="008414CB">
        <w:rPr>
          <w:lang w:val="en-US"/>
        </w:rPr>
        <w:t>.</w:t>
      </w:r>
    </w:p>
    <w:p w:rsidR="001E195F" w:rsidRPr="005F3BD3" w:rsidRDefault="001E195F" w:rsidP="001E195F">
      <w:pPr>
        <w:pStyle w:val="Heading3"/>
      </w:pPr>
      <w:r>
        <w:t xml:space="preserve">Current source density as an analytical tool to investigate local </w:t>
      </w:r>
      <w:r w:rsidR="00761F6A">
        <w:t>neuronal population activity</w:t>
      </w:r>
    </w:p>
    <w:p w:rsidR="008414CB" w:rsidRPr="00F27C0E" w:rsidRDefault="008414CB" w:rsidP="008414CB">
      <w:pPr>
        <w:rPr>
          <w:lang w:val="en-US"/>
        </w:rPr>
      </w:pPr>
      <w:r w:rsidRPr="008414CB">
        <w:rPr>
          <w:lang w:val="en-US"/>
        </w:rPr>
        <w:t xml:space="preserve">Current Source Density (CSD) </w:t>
      </w:r>
      <w:r w:rsidR="00AA7F3C">
        <w:rPr>
          <w:lang w:val="en-US"/>
        </w:rPr>
        <w:t>profiles</w:t>
      </w:r>
      <w:r w:rsidRPr="008414CB">
        <w:rPr>
          <w:lang w:val="en-US"/>
        </w:rPr>
        <w:t xml:space="preserve">, derived from laminar LFP recordings, is a critical tool in our research. </w:t>
      </w:r>
      <w:r w:rsidR="00C83ECC">
        <w:rPr>
          <w:lang w:val="en-US"/>
        </w:rPr>
        <w:t>CSD profiles</w:t>
      </w:r>
      <w:r w:rsidRPr="008414CB">
        <w:rPr>
          <w:lang w:val="en-US"/>
        </w:rPr>
        <w:t xml:space="preserve"> offers a reference-free insight into the spatiotemporal sequence of neural activations across cortical layers, representing ensembles of synaptic population activity with high spatial and temporal precision</w:t>
      </w:r>
      <w:r w:rsidR="00AA7F3C">
        <w:rPr>
          <w:lang w:val="en-US"/>
        </w:rPr>
        <w:t xml:space="preserve"> (</w:t>
      </w:r>
      <w:r w:rsidR="00AA7F3C">
        <w:t>Happel et al., 2010</w:t>
      </w:r>
      <w:r w:rsidR="00AA7F3C">
        <w:t>)</w:t>
      </w:r>
      <w:r w:rsidRPr="008414CB">
        <w:rPr>
          <w:lang w:val="en-US"/>
        </w:rPr>
        <w:t xml:space="preserve">. </w:t>
      </w:r>
      <w:r w:rsidR="007D100F">
        <w:rPr>
          <w:lang w:val="en-US"/>
        </w:rPr>
        <w:t xml:space="preserve">Unlike </w:t>
      </w:r>
      <w:r w:rsidR="007D100F" w:rsidRPr="008414CB">
        <w:rPr>
          <w:lang w:val="en-US"/>
        </w:rPr>
        <w:t>single-unit and calcium-imaging</w:t>
      </w:r>
      <w:r w:rsidR="007D100F">
        <w:rPr>
          <w:lang w:val="en-US"/>
        </w:rPr>
        <w:t xml:space="preserve">, </w:t>
      </w:r>
      <w:r w:rsidRPr="008414CB">
        <w:rPr>
          <w:lang w:val="en-US"/>
        </w:rPr>
        <w:t>CSD provides a functional readout of cortical micro-circuitry, encompassing a wider, mesoscopic view of brain function</w:t>
      </w:r>
      <w:r w:rsidR="00AA7F3C">
        <w:rPr>
          <w:lang w:val="en-US"/>
        </w:rPr>
        <w:t xml:space="preserve"> </w:t>
      </w:r>
      <w:r w:rsidR="00AA7F3C">
        <w:t>(</w:t>
      </w:r>
      <w:proofErr w:type="spellStart"/>
      <w:r w:rsidR="00AA7F3C">
        <w:t>Buzsáki</w:t>
      </w:r>
      <w:proofErr w:type="spellEnd"/>
      <w:r w:rsidR="00AA7F3C">
        <w:t xml:space="preserve"> et al., 2012)</w:t>
      </w:r>
      <w:r w:rsidRPr="008414CB">
        <w:rPr>
          <w:lang w:val="en-US"/>
        </w:rPr>
        <w:t>. This methodology is particularly effective in revealing task-dependent differences in cortical activation patterns</w:t>
      </w:r>
      <w:r w:rsidR="003A5FA2">
        <w:rPr>
          <w:lang w:val="en-US"/>
        </w:rPr>
        <w:t xml:space="preserve"> across layers from laminar recordings</w:t>
      </w:r>
      <w:r w:rsidR="0082644B">
        <w:rPr>
          <w:lang w:val="en-US"/>
        </w:rPr>
        <w:t xml:space="preserve">. </w:t>
      </w:r>
      <w:r w:rsidR="000C4D0C">
        <w:rPr>
          <w:lang w:val="en-US"/>
        </w:rPr>
        <w:t>Therefore, l</w:t>
      </w:r>
      <w:r w:rsidR="000C4D0C" w:rsidRPr="00B47C78">
        <w:rPr>
          <w:lang w:val="en-US"/>
        </w:rPr>
        <w:t>aminar CSD recordings will allow us to investigate the underlying local layer-specific FrA micro-circuit activity during the foraging behavio</w:t>
      </w:r>
      <w:r w:rsidR="000C4D0C">
        <w:rPr>
          <w:lang w:val="en-US"/>
        </w:rPr>
        <w:t xml:space="preserve">ur, </w:t>
      </w:r>
      <w:r w:rsidR="000C4D0C" w:rsidRPr="008414CB">
        <w:rPr>
          <w:lang w:val="en-US"/>
        </w:rPr>
        <w:t>making it an ideal tool for investigating the local circuit physiology in the context of decision-making</w:t>
      </w:r>
      <w:r w:rsidR="000C4D0C">
        <w:rPr>
          <w:lang w:val="en-US"/>
        </w:rPr>
        <w:t>.</w:t>
      </w:r>
    </w:p>
    <w:p w:rsidR="00761F6A" w:rsidRPr="005F3BD3" w:rsidRDefault="00761F6A" w:rsidP="00761F6A">
      <w:pPr>
        <w:pStyle w:val="Heading3"/>
      </w:pPr>
      <w:r>
        <w:lastRenderedPageBreak/>
        <w:t>Layer specific analysis and importance of it in decision making</w:t>
      </w:r>
    </w:p>
    <w:p w:rsidR="00310D30" w:rsidRDefault="00FE6239" w:rsidP="003A5FA2">
      <w:r w:rsidRPr="00931442">
        <w:rPr>
          <w:lang w:val="en-US"/>
        </w:rPr>
        <w:t xml:space="preserve">Layer-specific analysis in the cortex is pivotal </w:t>
      </w:r>
      <w:r w:rsidR="002F1602">
        <w:rPr>
          <w:lang w:val="en-US"/>
        </w:rPr>
        <w:t>to get a nuanced</w:t>
      </w:r>
      <w:r w:rsidRPr="00931442">
        <w:rPr>
          <w:lang w:val="en-US"/>
        </w:rPr>
        <w:t xml:space="preserve"> understanding </w:t>
      </w:r>
      <w:r w:rsidR="002F1602">
        <w:rPr>
          <w:lang w:val="en-US"/>
        </w:rPr>
        <w:t xml:space="preserve">of different cognitive processes as studies have revealed </w:t>
      </w:r>
      <w:r w:rsidRPr="00931442">
        <w:rPr>
          <w:lang w:val="en-US"/>
        </w:rPr>
        <w:t>how different layers of the cortex integrate various inputs to facilitate cognitive processes</w:t>
      </w:r>
      <w:r>
        <w:rPr>
          <w:lang w:val="en-US"/>
        </w:rPr>
        <w:t xml:space="preserve"> such as decision making.</w:t>
      </w:r>
      <w:r w:rsidR="0049094E">
        <w:rPr>
          <w:lang w:val="en-US"/>
        </w:rPr>
        <w:t xml:space="preserve"> </w:t>
      </w:r>
      <w:r w:rsidR="00931442" w:rsidRPr="00931442">
        <w:rPr>
          <w:lang w:val="en-US"/>
        </w:rPr>
        <w:t xml:space="preserve">For instance, </w:t>
      </w:r>
      <w:r w:rsidR="003A5FA2">
        <w:rPr>
          <w:lang w:val="en-US"/>
        </w:rPr>
        <w:t>i</w:t>
      </w:r>
      <w:r w:rsidR="003A5FA2" w:rsidRPr="00931442">
        <w:rPr>
          <w:lang w:val="en-US"/>
        </w:rPr>
        <w:t xml:space="preserve">n </w:t>
      </w:r>
      <w:r w:rsidR="00310D30">
        <w:rPr>
          <w:lang w:val="en-US"/>
        </w:rPr>
        <w:t xml:space="preserve">mice </w:t>
      </w:r>
      <w:r w:rsidR="003A5FA2" w:rsidRPr="00931442">
        <w:rPr>
          <w:lang w:val="en-US"/>
        </w:rPr>
        <w:t>primary auditory cortex (A1), layer 2/3 neurons exhibit task-related modulation of activity, reflecting the sum of sensory input, attentional gain, and behavioral choice</w:t>
      </w:r>
      <w:r w:rsidR="003A5FA2">
        <w:rPr>
          <w:lang w:val="en-US"/>
        </w:rPr>
        <w:t xml:space="preserve"> </w:t>
      </w:r>
      <w:r w:rsidR="003A5FA2" w:rsidRPr="00931442">
        <w:rPr>
          <w:lang w:val="en-US"/>
        </w:rPr>
        <w:t>(Francis et al., 2018).</w:t>
      </w:r>
      <w:r w:rsidR="00A959DE">
        <w:rPr>
          <w:lang w:val="en-US"/>
        </w:rPr>
        <w:t xml:space="preserve"> </w:t>
      </w:r>
      <w:r w:rsidR="00A959DE" w:rsidRPr="00931442">
        <w:rPr>
          <w:lang w:val="en-US"/>
        </w:rPr>
        <w:t xml:space="preserve">Furthermore, research in the </w:t>
      </w:r>
      <w:r w:rsidR="00A959DE">
        <w:rPr>
          <w:lang w:val="en-US"/>
        </w:rPr>
        <w:t>gerbil</w:t>
      </w:r>
      <w:r w:rsidR="00A959DE" w:rsidRPr="00931442">
        <w:rPr>
          <w:lang w:val="en-US"/>
        </w:rPr>
        <w:t xml:space="preserve"> </w:t>
      </w:r>
      <w:r w:rsidR="00A959DE">
        <w:rPr>
          <w:lang w:val="en-US"/>
        </w:rPr>
        <w:t>auditory</w:t>
      </w:r>
      <w:r w:rsidR="00A959DE" w:rsidRPr="00931442">
        <w:rPr>
          <w:lang w:val="en-US"/>
        </w:rPr>
        <w:t xml:space="preserve"> cortex (</w:t>
      </w:r>
      <w:r w:rsidR="00A959DE">
        <w:rPr>
          <w:lang w:val="en-US"/>
        </w:rPr>
        <w:t>A1</w:t>
      </w:r>
      <w:r w:rsidR="00A959DE" w:rsidRPr="00931442">
        <w:rPr>
          <w:lang w:val="en-US"/>
        </w:rPr>
        <w:t xml:space="preserve">) indicates that various layers of the cortex differentially encode task- and choice-related information. </w:t>
      </w:r>
      <w:r w:rsidR="00B942F9">
        <w:rPr>
          <w:lang w:val="en-US"/>
        </w:rPr>
        <w:t>I</w:t>
      </w:r>
      <w:proofErr w:type="spellStart"/>
      <w:r w:rsidR="00B942F9">
        <w:t>nfragranular</w:t>
      </w:r>
      <w:proofErr w:type="spellEnd"/>
      <w:r w:rsidR="00B942F9">
        <w:t xml:space="preserve"> layers dominated the cortical processing modes during action selection within a detection context, </w:t>
      </w:r>
      <w:r w:rsidR="00B942F9">
        <w:t xml:space="preserve">while </w:t>
      </w:r>
      <w:r w:rsidR="00B942F9">
        <w:t>supragranular layers gained relevance when stimulus features needed to be integrated during discrimination</w:t>
      </w:r>
      <w:r w:rsidR="00B942F9">
        <w:t xml:space="preserve"> </w:t>
      </w:r>
      <w:r w:rsidR="00B942F9" w:rsidRPr="00931442">
        <w:rPr>
          <w:lang w:val="en-US"/>
        </w:rPr>
        <w:t>(</w:t>
      </w:r>
      <w:proofErr w:type="spellStart"/>
      <w:r w:rsidR="00B942F9" w:rsidRPr="00931442">
        <w:rPr>
          <w:lang w:val="en-US"/>
        </w:rPr>
        <w:t>Zempeltzi</w:t>
      </w:r>
      <w:proofErr w:type="spellEnd"/>
      <w:r w:rsidR="00B942F9" w:rsidRPr="00931442">
        <w:rPr>
          <w:lang w:val="en-US"/>
        </w:rPr>
        <w:t xml:space="preserve"> et al., 2019)</w:t>
      </w:r>
      <w:r w:rsidR="00B942F9">
        <w:rPr>
          <w:lang w:val="en-US"/>
        </w:rPr>
        <w:t xml:space="preserve">. </w:t>
      </w:r>
      <w:r w:rsidR="00B942F9">
        <w:t>These findings expand our understanding of how individual layers contribute to the integrative circuit in the sensory cortex in order to code task-relevant information and guide sensory-based decision-making.</w:t>
      </w:r>
      <w:r w:rsidR="00310D30">
        <w:t xml:space="preserve"> </w:t>
      </w:r>
    </w:p>
    <w:p w:rsidR="00931442" w:rsidRPr="00931442" w:rsidRDefault="00C16691" w:rsidP="00931442">
      <w:pPr>
        <w:rPr>
          <w:lang w:val="en-US"/>
        </w:rPr>
      </w:pPr>
      <w:r>
        <w:rPr>
          <w:lang w:val="en-US"/>
        </w:rPr>
        <w:t>Accumulating evidences show that cortical layers encode relative value representations of stimulus</w:t>
      </w:r>
      <w:r w:rsidR="00931442" w:rsidRPr="00931442">
        <w:rPr>
          <w:lang w:val="en-US"/>
        </w:rPr>
        <w:t xml:space="preserve">, mirroring the principles observed in reinforcement learning models. Dopamine, a key neurotransmitter in reinforcement learning, modulates neural activity across </w:t>
      </w:r>
      <w:r w:rsidR="000537D9">
        <w:rPr>
          <w:lang w:val="en-US"/>
        </w:rPr>
        <w:t>cortical</w:t>
      </w:r>
      <w:r w:rsidR="00931442" w:rsidRPr="00931442">
        <w:rPr>
          <w:lang w:val="en-US"/>
        </w:rPr>
        <w:t xml:space="preserve"> layers, influencing how information is integrated and processed for decision-making.</w:t>
      </w:r>
      <w:r w:rsidR="00744668">
        <w:rPr>
          <w:lang w:val="en-US"/>
        </w:rPr>
        <w:t xml:space="preserve"> For instance, </w:t>
      </w:r>
      <w:r w:rsidR="00E664CE">
        <w:rPr>
          <w:lang w:val="en-US"/>
        </w:rPr>
        <w:t xml:space="preserve">optogenetic manipulation of VTA dopamine neurons </w:t>
      </w:r>
      <w:r w:rsidR="00D91BED">
        <w:rPr>
          <w:lang w:val="en-US"/>
        </w:rPr>
        <w:t xml:space="preserve">showed </w:t>
      </w:r>
      <w:r w:rsidR="00744668" w:rsidRPr="00744668">
        <w:rPr>
          <w:lang w:val="en-US"/>
        </w:rPr>
        <w:t>reward-related modulation of auditory signal processing in the auditory cortex via a gain modulation of</w:t>
      </w:r>
      <w:r w:rsidR="00744668">
        <w:rPr>
          <w:lang w:val="en-US"/>
        </w:rPr>
        <w:t xml:space="preserve"> </w:t>
      </w:r>
      <w:r w:rsidR="00744668" w:rsidRPr="00744668">
        <w:rPr>
          <w:lang w:val="en-US"/>
        </w:rPr>
        <w:t xml:space="preserve">thalamic inputs in infragranular layers </w:t>
      </w:r>
      <w:proofErr w:type="spellStart"/>
      <w:r w:rsidR="00744668" w:rsidRPr="00744668">
        <w:rPr>
          <w:lang w:val="en-US"/>
        </w:rPr>
        <w:t>Vb</w:t>
      </w:r>
      <w:proofErr w:type="spellEnd"/>
      <w:r w:rsidR="00744668" w:rsidRPr="00744668">
        <w:rPr>
          <w:lang w:val="en-US"/>
        </w:rPr>
        <w:t>/</w:t>
      </w:r>
      <w:proofErr w:type="spellStart"/>
      <w:r w:rsidR="00744668" w:rsidRPr="00744668">
        <w:rPr>
          <w:lang w:val="en-US"/>
        </w:rPr>
        <w:t>VIa</w:t>
      </w:r>
      <w:proofErr w:type="spellEnd"/>
      <w:r w:rsidR="00744668" w:rsidRPr="00744668">
        <w:rPr>
          <w:lang w:val="en-US"/>
        </w:rPr>
        <w:t xml:space="preserve"> (</w:t>
      </w:r>
      <w:proofErr w:type="spellStart"/>
      <w:r w:rsidR="00744668" w:rsidRPr="00744668">
        <w:rPr>
          <w:lang w:val="en-US"/>
        </w:rPr>
        <w:t>Brunk</w:t>
      </w:r>
      <w:proofErr w:type="spellEnd"/>
      <w:r w:rsidR="00744668" w:rsidRPr="00744668">
        <w:rPr>
          <w:lang w:val="en-US"/>
        </w:rPr>
        <w:t xml:space="preserve"> et al., 2019). Similarly, dopaminergic modulation of frontal layer-specific processing modes may set ground for the neural resource to code the salient representation of behaviourally-relevant stimuli (Homma et al., 2017; </w:t>
      </w:r>
      <w:proofErr w:type="spellStart"/>
      <w:r w:rsidR="00744668" w:rsidRPr="00744668">
        <w:rPr>
          <w:lang w:val="en-US"/>
        </w:rPr>
        <w:t>Brunk</w:t>
      </w:r>
      <w:proofErr w:type="spellEnd"/>
      <w:r w:rsidR="00744668" w:rsidRPr="00744668">
        <w:rPr>
          <w:lang w:val="en-US"/>
        </w:rPr>
        <w:t xml:space="preserve"> et al., 2019).</w:t>
      </w:r>
      <w:r w:rsidR="00765B04">
        <w:rPr>
          <w:lang w:val="en-US"/>
        </w:rPr>
        <w:t xml:space="preserve"> </w:t>
      </w:r>
      <w:r w:rsidR="00C83ECC" w:rsidRPr="00B47C78">
        <w:rPr>
          <w:lang w:val="en-US"/>
        </w:rPr>
        <w:t xml:space="preserve">Translaminar processing principles in the frontal cortex share certain common principles with the canonical cortical activation patterns (Douglas and Martin, 2007; </w:t>
      </w:r>
      <w:proofErr w:type="spellStart"/>
      <w:r w:rsidR="00C83ECC" w:rsidRPr="00B47C78">
        <w:rPr>
          <w:lang w:val="en-US"/>
        </w:rPr>
        <w:t>Godlove</w:t>
      </w:r>
      <w:proofErr w:type="spellEnd"/>
      <w:r w:rsidR="00C83ECC" w:rsidRPr="00B47C78">
        <w:rPr>
          <w:lang w:val="en-US"/>
        </w:rPr>
        <w:t xml:space="preserve"> et al., 2014). </w:t>
      </w:r>
      <w:r w:rsidR="00765B04">
        <w:rPr>
          <w:lang w:val="en-US"/>
        </w:rPr>
        <w:t>Hence, it is important to understand how the layer-specific micro-circuit activity in FrA</w:t>
      </w:r>
      <w:r w:rsidR="00C7021A">
        <w:rPr>
          <w:lang w:val="en-US"/>
        </w:rPr>
        <w:t xml:space="preserve"> integrates and updates the reward-related information in our probabilistic foraging task and helps the animal </w:t>
      </w:r>
      <w:r w:rsidR="007F16F6">
        <w:rPr>
          <w:lang w:val="en-US"/>
        </w:rPr>
        <w:t>to adopt adequate search strategies</w:t>
      </w:r>
      <w:r w:rsidR="008A5DD6">
        <w:rPr>
          <w:lang w:val="en-US"/>
        </w:rPr>
        <w:t>.</w:t>
      </w:r>
    </w:p>
    <w:p w:rsidR="005955FB" w:rsidRDefault="005955FB">
      <w:pPr>
        <w:spacing w:before="0" w:line="259" w:lineRule="auto"/>
        <w:jc w:val="left"/>
        <w:rPr>
          <w:lang w:val="en-US"/>
        </w:rPr>
      </w:pPr>
      <w:r>
        <w:rPr>
          <w:lang w:val="en-US"/>
        </w:rPr>
        <w:br w:type="page"/>
      </w:r>
    </w:p>
    <w:p w:rsidR="008132B0" w:rsidRPr="000208A6" w:rsidRDefault="008132B0" w:rsidP="008132B0">
      <w:pPr>
        <w:pStyle w:val="Heading1"/>
      </w:pPr>
      <w:r>
        <w:lastRenderedPageBreak/>
        <w:t>Objective</w:t>
      </w:r>
    </w:p>
    <w:p w:rsidR="006A60AB" w:rsidRPr="0089208C" w:rsidRDefault="0089208C" w:rsidP="0089208C">
      <w:pPr>
        <w:rPr>
          <w:lang w:val="en-US"/>
        </w:rPr>
      </w:pPr>
      <w:r w:rsidRPr="0089208C">
        <w:rPr>
          <w:lang w:val="en-US"/>
        </w:rPr>
        <w:t xml:space="preserve">This study delves into the complexities of decision-making under uncertainty in </w:t>
      </w:r>
      <w:r w:rsidR="00002627">
        <w:rPr>
          <w:lang w:val="en-US"/>
        </w:rPr>
        <w:t xml:space="preserve">Mongolian </w:t>
      </w:r>
      <w:r w:rsidRPr="0089208C">
        <w:rPr>
          <w:lang w:val="en-US"/>
        </w:rPr>
        <w:t>gerbils</w:t>
      </w:r>
      <w:r w:rsidR="00002627">
        <w:rPr>
          <w:lang w:val="en-US"/>
        </w:rPr>
        <w:t>. Particularly, it aims</w:t>
      </w:r>
      <w:r w:rsidRPr="0089208C">
        <w:rPr>
          <w:lang w:val="en-US"/>
        </w:rPr>
        <w:t xml:space="preserve"> to uncover the </w:t>
      </w:r>
      <w:r w:rsidR="00252A3B">
        <w:rPr>
          <w:lang w:val="en-US"/>
        </w:rPr>
        <w:t>n</w:t>
      </w:r>
      <w:r w:rsidRPr="0089208C">
        <w:rPr>
          <w:lang w:val="en-US"/>
        </w:rPr>
        <w:t xml:space="preserve">eural </w:t>
      </w:r>
      <w:r w:rsidRPr="0089208C">
        <w:rPr>
          <w:color w:val="FF0000"/>
          <w:lang w:val="en-US"/>
        </w:rPr>
        <w:t xml:space="preserve">mechanisms and underpinnings </w:t>
      </w:r>
      <w:r w:rsidRPr="0089208C">
        <w:rPr>
          <w:lang w:val="en-US"/>
        </w:rPr>
        <w:t xml:space="preserve">of attentional resource allocation during the exploration-exploitation dilemma. To </w:t>
      </w:r>
      <w:r w:rsidR="00252A3B">
        <w:rPr>
          <w:lang w:val="en-US"/>
        </w:rPr>
        <w:t>this end</w:t>
      </w:r>
      <w:r w:rsidRPr="0089208C">
        <w:rPr>
          <w:lang w:val="en-US"/>
        </w:rPr>
        <w:t>, the research will utilize a probabilistic foraging task in conjunction with chronic laminar recordings</w:t>
      </w:r>
      <w:r w:rsidR="00002627">
        <w:rPr>
          <w:lang w:val="en-US"/>
        </w:rPr>
        <w:t xml:space="preserve"> from </w:t>
      </w:r>
      <w:r w:rsidR="0027122F">
        <w:rPr>
          <w:lang w:val="en-US"/>
        </w:rPr>
        <w:t xml:space="preserve">the </w:t>
      </w:r>
      <w:r w:rsidR="00002627">
        <w:rPr>
          <w:lang w:val="en-US"/>
        </w:rPr>
        <w:t>frontal region A (FrA)</w:t>
      </w:r>
      <w:r w:rsidR="0027122F">
        <w:rPr>
          <w:lang w:val="en-US"/>
        </w:rPr>
        <w:t>, an analogue of frontopolar cortex, recognized for its significance in human decision-making</w:t>
      </w:r>
      <w:r w:rsidRPr="0089208C">
        <w:rPr>
          <w:lang w:val="en-US"/>
        </w:rPr>
        <w:t>. This approach allows for an in-depth analysis of the gerbil</w:t>
      </w:r>
      <w:r w:rsidR="00892CC8">
        <w:rPr>
          <w:lang w:val="en-US"/>
        </w:rPr>
        <w:t>’s</w:t>
      </w:r>
      <w:r w:rsidRPr="0089208C">
        <w:rPr>
          <w:lang w:val="en-US"/>
        </w:rPr>
        <w:t xml:space="preserve"> decision-making processes in an environment that simulates real-world uncertainties. The primary objectives of this study are:</w:t>
      </w:r>
    </w:p>
    <w:p w:rsidR="0089208C" w:rsidRPr="0089208C" w:rsidRDefault="0089208C" w:rsidP="0089208C">
      <w:pPr>
        <w:numPr>
          <w:ilvl w:val="0"/>
          <w:numId w:val="12"/>
        </w:numPr>
        <w:rPr>
          <w:lang w:val="en-US"/>
        </w:rPr>
      </w:pPr>
      <w:r w:rsidRPr="0089208C">
        <w:rPr>
          <w:lang w:val="en-US"/>
        </w:rPr>
        <w:t>To analyze the exploratory behavior of gerbils during the foraging task, particularly focusing on their decision-making strategies in response to uncertain and changing reward probabilities.</w:t>
      </w:r>
    </w:p>
    <w:p w:rsidR="0089208C" w:rsidRPr="0089208C" w:rsidRDefault="0089208C" w:rsidP="0089208C">
      <w:pPr>
        <w:numPr>
          <w:ilvl w:val="0"/>
          <w:numId w:val="12"/>
        </w:numPr>
        <w:rPr>
          <w:lang w:val="en-US"/>
        </w:rPr>
      </w:pPr>
      <w:r w:rsidRPr="0089208C">
        <w:rPr>
          <w:lang w:val="en-US"/>
        </w:rPr>
        <w:t>To investigate the role of the FrA, examining how it influences the dynamics of decision boundaries in response to varying reward probabilities.</w:t>
      </w:r>
    </w:p>
    <w:p w:rsidR="0089208C" w:rsidRPr="0089208C" w:rsidRDefault="0089208C" w:rsidP="0089208C">
      <w:pPr>
        <w:numPr>
          <w:ilvl w:val="0"/>
          <w:numId w:val="12"/>
        </w:numPr>
        <w:rPr>
          <w:lang w:val="en-US"/>
        </w:rPr>
      </w:pPr>
      <w:r w:rsidRPr="0089208C">
        <w:rPr>
          <w:lang w:val="en-US"/>
        </w:rPr>
        <w:t xml:space="preserve">To examine the layer-dependent processing within the FrA, exploring how different cortical layers adaptively contribute to the </w:t>
      </w:r>
      <w:r w:rsidR="00007F49">
        <w:rPr>
          <w:lang w:val="en-US"/>
        </w:rPr>
        <w:t>selecting adequate search strategies</w:t>
      </w:r>
      <w:r w:rsidRPr="0089208C">
        <w:rPr>
          <w:lang w:val="en-US"/>
        </w:rPr>
        <w:t xml:space="preserve"> under varying conditions of resource availability.</w:t>
      </w:r>
    </w:p>
    <w:sectPr w:rsidR="0089208C" w:rsidRPr="0089208C">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86BD6"/>
    <w:multiLevelType w:val="multilevel"/>
    <w:tmpl w:val="63E8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F0992"/>
    <w:multiLevelType w:val="hybridMultilevel"/>
    <w:tmpl w:val="B424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57630627">
    <w:abstractNumId w:val="5"/>
  </w:num>
  <w:num w:numId="2" w16cid:durableId="1937052385">
    <w:abstractNumId w:val="8"/>
  </w:num>
  <w:num w:numId="3" w16cid:durableId="843210174">
    <w:abstractNumId w:val="2"/>
  </w:num>
  <w:num w:numId="4" w16cid:durableId="1560283756">
    <w:abstractNumId w:val="4"/>
  </w:num>
  <w:num w:numId="5" w16cid:durableId="75716212">
    <w:abstractNumId w:val="0"/>
  </w:num>
  <w:num w:numId="6" w16cid:durableId="1944917857">
    <w:abstractNumId w:val="7"/>
  </w:num>
  <w:num w:numId="7" w16cid:durableId="791945597">
    <w:abstractNumId w:val="1"/>
  </w:num>
  <w:num w:numId="8" w16cid:durableId="1471754012">
    <w:abstractNumId w:val="11"/>
  </w:num>
  <w:num w:numId="9" w16cid:durableId="1362243522">
    <w:abstractNumId w:val="3"/>
  </w:num>
  <w:num w:numId="10" w16cid:durableId="2046754902">
    <w:abstractNumId w:val="10"/>
  </w:num>
  <w:num w:numId="11" w16cid:durableId="396440283">
    <w:abstractNumId w:val="9"/>
  </w:num>
  <w:num w:numId="12" w16cid:durableId="914363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063"/>
    <w:rsid w:val="000001E7"/>
    <w:rsid w:val="000008B8"/>
    <w:rsid w:val="00002627"/>
    <w:rsid w:val="00007F49"/>
    <w:rsid w:val="000208A6"/>
    <w:rsid w:val="00023016"/>
    <w:rsid w:val="00036655"/>
    <w:rsid w:val="0005171C"/>
    <w:rsid w:val="000519A3"/>
    <w:rsid w:val="000537D9"/>
    <w:rsid w:val="000C4D0C"/>
    <w:rsid w:val="000E490E"/>
    <w:rsid w:val="000F0C7D"/>
    <w:rsid w:val="00110361"/>
    <w:rsid w:val="00142718"/>
    <w:rsid w:val="001451E9"/>
    <w:rsid w:val="00145FFA"/>
    <w:rsid w:val="001611B8"/>
    <w:rsid w:val="00165F54"/>
    <w:rsid w:val="001722E2"/>
    <w:rsid w:val="00175D7A"/>
    <w:rsid w:val="001773DC"/>
    <w:rsid w:val="001A1963"/>
    <w:rsid w:val="001B2F0E"/>
    <w:rsid w:val="001B54A3"/>
    <w:rsid w:val="001B7B8E"/>
    <w:rsid w:val="001D6BEC"/>
    <w:rsid w:val="001E195F"/>
    <w:rsid w:val="001F7D69"/>
    <w:rsid w:val="00252A3B"/>
    <w:rsid w:val="0027122F"/>
    <w:rsid w:val="002B3B27"/>
    <w:rsid w:val="002D3C7A"/>
    <w:rsid w:val="002E4FE1"/>
    <w:rsid w:val="002F1602"/>
    <w:rsid w:val="00310D30"/>
    <w:rsid w:val="003160AB"/>
    <w:rsid w:val="00326774"/>
    <w:rsid w:val="003319CB"/>
    <w:rsid w:val="003A5E7F"/>
    <w:rsid w:val="003A5FA2"/>
    <w:rsid w:val="003C4778"/>
    <w:rsid w:val="003E6024"/>
    <w:rsid w:val="003F2D3D"/>
    <w:rsid w:val="003F7DCC"/>
    <w:rsid w:val="00422E97"/>
    <w:rsid w:val="00434082"/>
    <w:rsid w:val="00441E54"/>
    <w:rsid w:val="00442C9A"/>
    <w:rsid w:val="0044333B"/>
    <w:rsid w:val="00457D6E"/>
    <w:rsid w:val="00463D10"/>
    <w:rsid w:val="00481B42"/>
    <w:rsid w:val="004867DE"/>
    <w:rsid w:val="0049094E"/>
    <w:rsid w:val="0049740E"/>
    <w:rsid w:val="004B6BF2"/>
    <w:rsid w:val="004E2A82"/>
    <w:rsid w:val="005073EF"/>
    <w:rsid w:val="00521C3E"/>
    <w:rsid w:val="00525108"/>
    <w:rsid w:val="00583752"/>
    <w:rsid w:val="005955FB"/>
    <w:rsid w:val="005A3C91"/>
    <w:rsid w:val="005B3A92"/>
    <w:rsid w:val="005D0BC8"/>
    <w:rsid w:val="005D7063"/>
    <w:rsid w:val="005F3BD3"/>
    <w:rsid w:val="005F5026"/>
    <w:rsid w:val="005F6C06"/>
    <w:rsid w:val="006268F1"/>
    <w:rsid w:val="00630501"/>
    <w:rsid w:val="00661671"/>
    <w:rsid w:val="006619E5"/>
    <w:rsid w:val="006649F1"/>
    <w:rsid w:val="00671F94"/>
    <w:rsid w:val="006956BC"/>
    <w:rsid w:val="006A60AB"/>
    <w:rsid w:val="006B1B1A"/>
    <w:rsid w:val="006C2906"/>
    <w:rsid w:val="006D0D37"/>
    <w:rsid w:val="006D77A4"/>
    <w:rsid w:val="006F0519"/>
    <w:rsid w:val="006F6A1F"/>
    <w:rsid w:val="006F7440"/>
    <w:rsid w:val="007326DF"/>
    <w:rsid w:val="00733F3C"/>
    <w:rsid w:val="00742F37"/>
    <w:rsid w:val="00744668"/>
    <w:rsid w:val="00744BD8"/>
    <w:rsid w:val="00761F6A"/>
    <w:rsid w:val="00765B04"/>
    <w:rsid w:val="0078189C"/>
    <w:rsid w:val="007C73C3"/>
    <w:rsid w:val="007D100F"/>
    <w:rsid w:val="007D69B4"/>
    <w:rsid w:val="007E1BFD"/>
    <w:rsid w:val="007F167D"/>
    <w:rsid w:val="007F16F6"/>
    <w:rsid w:val="008104EC"/>
    <w:rsid w:val="008132B0"/>
    <w:rsid w:val="0082644B"/>
    <w:rsid w:val="008414CB"/>
    <w:rsid w:val="00841DD5"/>
    <w:rsid w:val="00845D60"/>
    <w:rsid w:val="00862710"/>
    <w:rsid w:val="00880974"/>
    <w:rsid w:val="00890313"/>
    <w:rsid w:val="0089208C"/>
    <w:rsid w:val="00892CC8"/>
    <w:rsid w:val="008A00DD"/>
    <w:rsid w:val="008A5DD6"/>
    <w:rsid w:val="008C7E74"/>
    <w:rsid w:val="009264A8"/>
    <w:rsid w:val="00927DEF"/>
    <w:rsid w:val="00931442"/>
    <w:rsid w:val="00963F81"/>
    <w:rsid w:val="00985AE9"/>
    <w:rsid w:val="009C3B00"/>
    <w:rsid w:val="009D5678"/>
    <w:rsid w:val="009E24A1"/>
    <w:rsid w:val="009F04E1"/>
    <w:rsid w:val="00A05241"/>
    <w:rsid w:val="00A37A66"/>
    <w:rsid w:val="00A419ED"/>
    <w:rsid w:val="00A66163"/>
    <w:rsid w:val="00A70537"/>
    <w:rsid w:val="00A70B35"/>
    <w:rsid w:val="00A816CF"/>
    <w:rsid w:val="00A844AC"/>
    <w:rsid w:val="00A86046"/>
    <w:rsid w:val="00A910CE"/>
    <w:rsid w:val="00A959DE"/>
    <w:rsid w:val="00AA72AA"/>
    <w:rsid w:val="00AA7F3C"/>
    <w:rsid w:val="00AD4C3F"/>
    <w:rsid w:val="00AE6C2D"/>
    <w:rsid w:val="00B010ED"/>
    <w:rsid w:val="00B0547F"/>
    <w:rsid w:val="00B15528"/>
    <w:rsid w:val="00B156C4"/>
    <w:rsid w:val="00B3688F"/>
    <w:rsid w:val="00B46AB8"/>
    <w:rsid w:val="00B47C78"/>
    <w:rsid w:val="00B73A6E"/>
    <w:rsid w:val="00B80D6B"/>
    <w:rsid w:val="00B83AF4"/>
    <w:rsid w:val="00B858FD"/>
    <w:rsid w:val="00B93794"/>
    <w:rsid w:val="00B942F9"/>
    <w:rsid w:val="00BB1D21"/>
    <w:rsid w:val="00BB471A"/>
    <w:rsid w:val="00BE1702"/>
    <w:rsid w:val="00BF63E2"/>
    <w:rsid w:val="00C07186"/>
    <w:rsid w:val="00C07A6B"/>
    <w:rsid w:val="00C16691"/>
    <w:rsid w:val="00C54832"/>
    <w:rsid w:val="00C60307"/>
    <w:rsid w:val="00C7021A"/>
    <w:rsid w:val="00C812D8"/>
    <w:rsid w:val="00C82CF6"/>
    <w:rsid w:val="00C83ECC"/>
    <w:rsid w:val="00CA6F60"/>
    <w:rsid w:val="00CB4999"/>
    <w:rsid w:val="00CE5216"/>
    <w:rsid w:val="00D21359"/>
    <w:rsid w:val="00D225E5"/>
    <w:rsid w:val="00D34ECF"/>
    <w:rsid w:val="00D4369C"/>
    <w:rsid w:val="00D74BB7"/>
    <w:rsid w:val="00D87DC9"/>
    <w:rsid w:val="00D91BED"/>
    <w:rsid w:val="00DA74F5"/>
    <w:rsid w:val="00DD2921"/>
    <w:rsid w:val="00DD58BE"/>
    <w:rsid w:val="00E362FF"/>
    <w:rsid w:val="00E46402"/>
    <w:rsid w:val="00E664CE"/>
    <w:rsid w:val="00E761CE"/>
    <w:rsid w:val="00E77DDF"/>
    <w:rsid w:val="00EA0F5A"/>
    <w:rsid w:val="00EA1E9F"/>
    <w:rsid w:val="00EC697F"/>
    <w:rsid w:val="00EE5897"/>
    <w:rsid w:val="00EF77AC"/>
    <w:rsid w:val="00F023FB"/>
    <w:rsid w:val="00F27C0E"/>
    <w:rsid w:val="00F536BC"/>
    <w:rsid w:val="00F53951"/>
    <w:rsid w:val="00F55FD6"/>
    <w:rsid w:val="00F8265D"/>
    <w:rsid w:val="00F92CD9"/>
    <w:rsid w:val="00F947A3"/>
    <w:rsid w:val="00FA47C1"/>
    <w:rsid w:val="00FA725D"/>
    <w:rsid w:val="00FC5208"/>
    <w:rsid w:val="00FE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9C9C"/>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4CB"/>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 w:type="character" w:styleId="Hyperlink">
    <w:name w:val="Hyperlink"/>
    <w:basedOn w:val="DefaultParagraphFont"/>
    <w:uiPriority w:val="99"/>
    <w:unhideWhenUsed/>
    <w:rsid w:val="006F7440"/>
    <w:rPr>
      <w:color w:val="0563C1" w:themeColor="hyperlink"/>
      <w:u w:val="single"/>
    </w:rPr>
  </w:style>
  <w:style w:type="character" w:styleId="UnresolvedMention">
    <w:name w:val="Unresolved Mention"/>
    <w:basedOn w:val="DefaultParagraphFont"/>
    <w:uiPriority w:val="99"/>
    <w:semiHidden/>
    <w:unhideWhenUsed/>
    <w:rsid w:val="006F7440"/>
    <w:rPr>
      <w:color w:val="605E5C"/>
      <w:shd w:val="clear" w:color="auto" w:fill="E1DFDD"/>
    </w:rPr>
  </w:style>
  <w:style w:type="character" w:styleId="FollowedHyperlink">
    <w:name w:val="FollowedHyperlink"/>
    <w:basedOn w:val="DefaultParagraphFont"/>
    <w:uiPriority w:val="99"/>
    <w:semiHidden/>
    <w:unhideWhenUsed/>
    <w:rsid w:val="00EE5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2418">
      <w:bodyDiv w:val="1"/>
      <w:marLeft w:val="0"/>
      <w:marRight w:val="0"/>
      <w:marTop w:val="0"/>
      <w:marBottom w:val="0"/>
      <w:divBdr>
        <w:top w:val="none" w:sz="0" w:space="0" w:color="auto"/>
        <w:left w:val="none" w:sz="0" w:space="0" w:color="auto"/>
        <w:bottom w:val="none" w:sz="0" w:space="0" w:color="auto"/>
        <w:right w:val="none" w:sz="0" w:space="0" w:color="auto"/>
      </w:divBdr>
      <w:divsChild>
        <w:div w:id="916281374">
          <w:marLeft w:val="0"/>
          <w:marRight w:val="0"/>
          <w:marTop w:val="0"/>
          <w:marBottom w:val="0"/>
          <w:divBdr>
            <w:top w:val="none" w:sz="0" w:space="0" w:color="auto"/>
            <w:left w:val="none" w:sz="0" w:space="0" w:color="auto"/>
            <w:bottom w:val="none" w:sz="0" w:space="0" w:color="auto"/>
            <w:right w:val="none" w:sz="0" w:space="0" w:color="auto"/>
          </w:divBdr>
          <w:divsChild>
            <w:div w:id="1643731128">
              <w:marLeft w:val="0"/>
              <w:marRight w:val="0"/>
              <w:marTop w:val="0"/>
              <w:marBottom w:val="0"/>
              <w:divBdr>
                <w:top w:val="none" w:sz="0" w:space="0" w:color="auto"/>
                <w:left w:val="none" w:sz="0" w:space="0" w:color="auto"/>
                <w:bottom w:val="none" w:sz="0" w:space="0" w:color="auto"/>
                <w:right w:val="none" w:sz="0" w:space="0" w:color="auto"/>
              </w:divBdr>
              <w:divsChild>
                <w:div w:id="463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8178">
      <w:bodyDiv w:val="1"/>
      <w:marLeft w:val="0"/>
      <w:marRight w:val="0"/>
      <w:marTop w:val="0"/>
      <w:marBottom w:val="0"/>
      <w:divBdr>
        <w:top w:val="none" w:sz="0" w:space="0" w:color="auto"/>
        <w:left w:val="none" w:sz="0" w:space="0" w:color="auto"/>
        <w:bottom w:val="none" w:sz="0" w:space="0" w:color="auto"/>
        <w:right w:val="none" w:sz="0" w:space="0" w:color="auto"/>
      </w:divBdr>
      <w:divsChild>
        <w:div w:id="896667983">
          <w:marLeft w:val="0"/>
          <w:marRight w:val="0"/>
          <w:marTop w:val="0"/>
          <w:marBottom w:val="0"/>
          <w:divBdr>
            <w:top w:val="none" w:sz="0" w:space="0" w:color="auto"/>
            <w:left w:val="none" w:sz="0" w:space="0" w:color="auto"/>
            <w:bottom w:val="none" w:sz="0" w:space="0" w:color="auto"/>
            <w:right w:val="none" w:sz="0" w:space="0" w:color="auto"/>
          </w:divBdr>
          <w:divsChild>
            <w:div w:id="1765150148">
              <w:marLeft w:val="0"/>
              <w:marRight w:val="0"/>
              <w:marTop w:val="0"/>
              <w:marBottom w:val="0"/>
              <w:divBdr>
                <w:top w:val="none" w:sz="0" w:space="0" w:color="auto"/>
                <w:left w:val="none" w:sz="0" w:space="0" w:color="auto"/>
                <w:bottom w:val="none" w:sz="0" w:space="0" w:color="auto"/>
                <w:right w:val="none" w:sz="0" w:space="0" w:color="auto"/>
              </w:divBdr>
              <w:divsChild>
                <w:div w:id="171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9249">
      <w:bodyDiv w:val="1"/>
      <w:marLeft w:val="0"/>
      <w:marRight w:val="0"/>
      <w:marTop w:val="0"/>
      <w:marBottom w:val="0"/>
      <w:divBdr>
        <w:top w:val="none" w:sz="0" w:space="0" w:color="auto"/>
        <w:left w:val="none" w:sz="0" w:space="0" w:color="auto"/>
        <w:bottom w:val="none" w:sz="0" w:space="0" w:color="auto"/>
        <w:right w:val="none" w:sz="0" w:space="0" w:color="auto"/>
      </w:divBdr>
      <w:divsChild>
        <w:div w:id="406879611">
          <w:marLeft w:val="0"/>
          <w:marRight w:val="0"/>
          <w:marTop w:val="0"/>
          <w:marBottom w:val="0"/>
          <w:divBdr>
            <w:top w:val="none" w:sz="0" w:space="0" w:color="auto"/>
            <w:left w:val="none" w:sz="0" w:space="0" w:color="auto"/>
            <w:bottom w:val="none" w:sz="0" w:space="0" w:color="auto"/>
            <w:right w:val="none" w:sz="0" w:space="0" w:color="auto"/>
          </w:divBdr>
          <w:divsChild>
            <w:div w:id="549805193">
              <w:marLeft w:val="0"/>
              <w:marRight w:val="0"/>
              <w:marTop w:val="0"/>
              <w:marBottom w:val="0"/>
              <w:divBdr>
                <w:top w:val="none" w:sz="0" w:space="0" w:color="auto"/>
                <w:left w:val="none" w:sz="0" w:space="0" w:color="auto"/>
                <w:bottom w:val="none" w:sz="0" w:space="0" w:color="auto"/>
                <w:right w:val="none" w:sz="0" w:space="0" w:color="auto"/>
              </w:divBdr>
              <w:divsChild>
                <w:div w:id="15058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0901">
      <w:bodyDiv w:val="1"/>
      <w:marLeft w:val="0"/>
      <w:marRight w:val="0"/>
      <w:marTop w:val="0"/>
      <w:marBottom w:val="0"/>
      <w:divBdr>
        <w:top w:val="none" w:sz="0" w:space="0" w:color="auto"/>
        <w:left w:val="none" w:sz="0" w:space="0" w:color="auto"/>
        <w:bottom w:val="none" w:sz="0" w:space="0" w:color="auto"/>
        <w:right w:val="none" w:sz="0" w:space="0" w:color="auto"/>
      </w:divBdr>
      <w:divsChild>
        <w:div w:id="230819524">
          <w:marLeft w:val="0"/>
          <w:marRight w:val="0"/>
          <w:marTop w:val="0"/>
          <w:marBottom w:val="0"/>
          <w:divBdr>
            <w:top w:val="none" w:sz="0" w:space="0" w:color="auto"/>
            <w:left w:val="none" w:sz="0" w:space="0" w:color="auto"/>
            <w:bottom w:val="none" w:sz="0" w:space="0" w:color="auto"/>
            <w:right w:val="none" w:sz="0" w:space="0" w:color="auto"/>
          </w:divBdr>
          <w:divsChild>
            <w:div w:id="93744496">
              <w:marLeft w:val="0"/>
              <w:marRight w:val="0"/>
              <w:marTop w:val="0"/>
              <w:marBottom w:val="0"/>
              <w:divBdr>
                <w:top w:val="none" w:sz="0" w:space="0" w:color="auto"/>
                <w:left w:val="none" w:sz="0" w:space="0" w:color="auto"/>
                <w:bottom w:val="none" w:sz="0" w:space="0" w:color="auto"/>
                <w:right w:val="none" w:sz="0" w:space="0" w:color="auto"/>
              </w:divBdr>
              <w:divsChild>
                <w:div w:id="541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778">
      <w:bodyDiv w:val="1"/>
      <w:marLeft w:val="0"/>
      <w:marRight w:val="0"/>
      <w:marTop w:val="0"/>
      <w:marBottom w:val="0"/>
      <w:divBdr>
        <w:top w:val="none" w:sz="0" w:space="0" w:color="auto"/>
        <w:left w:val="none" w:sz="0" w:space="0" w:color="auto"/>
        <w:bottom w:val="none" w:sz="0" w:space="0" w:color="auto"/>
        <w:right w:val="none" w:sz="0" w:space="0" w:color="auto"/>
      </w:divBdr>
      <w:divsChild>
        <w:div w:id="810175147">
          <w:marLeft w:val="0"/>
          <w:marRight w:val="0"/>
          <w:marTop w:val="0"/>
          <w:marBottom w:val="0"/>
          <w:divBdr>
            <w:top w:val="none" w:sz="0" w:space="0" w:color="auto"/>
            <w:left w:val="none" w:sz="0" w:space="0" w:color="auto"/>
            <w:bottom w:val="none" w:sz="0" w:space="0" w:color="auto"/>
            <w:right w:val="none" w:sz="0" w:space="0" w:color="auto"/>
          </w:divBdr>
          <w:divsChild>
            <w:div w:id="1370497114">
              <w:marLeft w:val="0"/>
              <w:marRight w:val="0"/>
              <w:marTop w:val="0"/>
              <w:marBottom w:val="0"/>
              <w:divBdr>
                <w:top w:val="none" w:sz="0" w:space="0" w:color="auto"/>
                <w:left w:val="none" w:sz="0" w:space="0" w:color="auto"/>
                <w:bottom w:val="none" w:sz="0" w:space="0" w:color="auto"/>
                <w:right w:val="none" w:sz="0" w:space="0" w:color="auto"/>
              </w:divBdr>
              <w:divsChild>
                <w:div w:id="10061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4902">
      <w:bodyDiv w:val="1"/>
      <w:marLeft w:val="0"/>
      <w:marRight w:val="0"/>
      <w:marTop w:val="0"/>
      <w:marBottom w:val="0"/>
      <w:divBdr>
        <w:top w:val="none" w:sz="0" w:space="0" w:color="auto"/>
        <w:left w:val="none" w:sz="0" w:space="0" w:color="auto"/>
        <w:bottom w:val="none" w:sz="0" w:space="0" w:color="auto"/>
        <w:right w:val="none" w:sz="0" w:space="0" w:color="auto"/>
      </w:divBdr>
      <w:divsChild>
        <w:div w:id="1780567706">
          <w:marLeft w:val="0"/>
          <w:marRight w:val="0"/>
          <w:marTop w:val="0"/>
          <w:marBottom w:val="0"/>
          <w:divBdr>
            <w:top w:val="none" w:sz="0" w:space="0" w:color="auto"/>
            <w:left w:val="none" w:sz="0" w:space="0" w:color="auto"/>
            <w:bottom w:val="none" w:sz="0" w:space="0" w:color="auto"/>
            <w:right w:val="none" w:sz="0" w:space="0" w:color="auto"/>
          </w:divBdr>
          <w:divsChild>
            <w:div w:id="361905489">
              <w:marLeft w:val="0"/>
              <w:marRight w:val="0"/>
              <w:marTop w:val="0"/>
              <w:marBottom w:val="0"/>
              <w:divBdr>
                <w:top w:val="none" w:sz="0" w:space="0" w:color="auto"/>
                <w:left w:val="none" w:sz="0" w:space="0" w:color="auto"/>
                <w:bottom w:val="none" w:sz="0" w:space="0" w:color="auto"/>
                <w:right w:val="none" w:sz="0" w:space="0" w:color="auto"/>
              </w:divBdr>
              <w:divsChild>
                <w:div w:id="2014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6847">
      <w:bodyDiv w:val="1"/>
      <w:marLeft w:val="0"/>
      <w:marRight w:val="0"/>
      <w:marTop w:val="0"/>
      <w:marBottom w:val="0"/>
      <w:divBdr>
        <w:top w:val="none" w:sz="0" w:space="0" w:color="auto"/>
        <w:left w:val="none" w:sz="0" w:space="0" w:color="auto"/>
        <w:bottom w:val="none" w:sz="0" w:space="0" w:color="auto"/>
        <w:right w:val="none" w:sz="0" w:space="0" w:color="auto"/>
      </w:divBdr>
      <w:divsChild>
        <w:div w:id="775322396">
          <w:marLeft w:val="0"/>
          <w:marRight w:val="0"/>
          <w:marTop w:val="0"/>
          <w:marBottom w:val="0"/>
          <w:divBdr>
            <w:top w:val="none" w:sz="0" w:space="0" w:color="auto"/>
            <w:left w:val="none" w:sz="0" w:space="0" w:color="auto"/>
            <w:bottom w:val="none" w:sz="0" w:space="0" w:color="auto"/>
            <w:right w:val="none" w:sz="0" w:space="0" w:color="auto"/>
          </w:divBdr>
          <w:divsChild>
            <w:div w:id="1847860167">
              <w:marLeft w:val="0"/>
              <w:marRight w:val="0"/>
              <w:marTop w:val="0"/>
              <w:marBottom w:val="0"/>
              <w:divBdr>
                <w:top w:val="none" w:sz="0" w:space="0" w:color="auto"/>
                <w:left w:val="none" w:sz="0" w:space="0" w:color="auto"/>
                <w:bottom w:val="none" w:sz="0" w:space="0" w:color="auto"/>
                <w:right w:val="none" w:sz="0" w:space="0" w:color="auto"/>
              </w:divBdr>
              <w:divsChild>
                <w:div w:id="13011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50116">
      <w:bodyDiv w:val="1"/>
      <w:marLeft w:val="0"/>
      <w:marRight w:val="0"/>
      <w:marTop w:val="0"/>
      <w:marBottom w:val="0"/>
      <w:divBdr>
        <w:top w:val="none" w:sz="0" w:space="0" w:color="auto"/>
        <w:left w:val="none" w:sz="0" w:space="0" w:color="auto"/>
        <w:bottom w:val="none" w:sz="0" w:space="0" w:color="auto"/>
        <w:right w:val="none" w:sz="0" w:space="0" w:color="auto"/>
      </w:divBdr>
    </w:div>
    <w:div w:id="622417815">
      <w:bodyDiv w:val="1"/>
      <w:marLeft w:val="0"/>
      <w:marRight w:val="0"/>
      <w:marTop w:val="0"/>
      <w:marBottom w:val="0"/>
      <w:divBdr>
        <w:top w:val="none" w:sz="0" w:space="0" w:color="auto"/>
        <w:left w:val="none" w:sz="0" w:space="0" w:color="auto"/>
        <w:bottom w:val="none" w:sz="0" w:space="0" w:color="auto"/>
        <w:right w:val="none" w:sz="0" w:space="0" w:color="auto"/>
      </w:divBdr>
      <w:divsChild>
        <w:div w:id="91554698">
          <w:marLeft w:val="0"/>
          <w:marRight w:val="0"/>
          <w:marTop w:val="0"/>
          <w:marBottom w:val="0"/>
          <w:divBdr>
            <w:top w:val="none" w:sz="0" w:space="0" w:color="auto"/>
            <w:left w:val="none" w:sz="0" w:space="0" w:color="auto"/>
            <w:bottom w:val="none" w:sz="0" w:space="0" w:color="auto"/>
            <w:right w:val="none" w:sz="0" w:space="0" w:color="auto"/>
          </w:divBdr>
          <w:divsChild>
            <w:div w:id="1552113597">
              <w:marLeft w:val="0"/>
              <w:marRight w:val="0"/>
              <w:marTop w:val="0"/>
              <w:marBottom w:val="0"/>
              <w:divBdr>
                <w:top w:val="none" w:sz="0" w:space="0" w:color="auto"/>
                <w:left w:val="none" w:sz="0" w:space="0" w:color="auto"/>
                <w:bottom w:val="none" w:sz="0" w:space="0" w:color="auto"/>
                <w:right w:val="none" w:sz="0" w:space="0" w:color="auto"/>
              </w:divBdr>
              <w:divsChild>
                <w:div w:id="1469131087">
                  <w:marLeft w:val="0"/>
                  <w:marRight w:val="0"/>
                  <w:marTop w:val="0"/>
                  <w:marBottom w:val="0"/>
                  <w:divBdr>
                    <w:top w:val="none" w:sz="0" w:space="0" w:color="auto"/>
                    <w:left w:val="none" w:sz="0" w:space="0" w:color="auto"/>
                    <w:bottom w:val="none" w:sz="0" w:space="0" w:color="auto"/>
                    <w:right w:val="none" w:sz="0" w:space="0" w:color="auto"/>
                  </w:divBdr>
                  <w:divsChild>
                    <w:div w:id="1693070422">
                      <w:marLeft w:val="0"/>
                      <w:marRight w:val="0"/>
                      <w:marTop w:val="0"/>
                      <w:marBottom w:val="0"/>
                      <w:divBdr>
                        <w:top w:val="none" w:sz="0" w:space="0" w:color="auto"/>
                        <w:left w:val="none" w:sz="0" w:space="0" w:color="auto"/>
                        <w:bottom w:val="none" w:sz="0" w:space="0" w:color="auto"/>
                        <w:right w:val="none" w:sz="0" w:space="0" w:color="auto"/>
                      </w:divBdr>
                      <w:divsChild>
                        <w:div w:id="1972513754">
                          <w:marLeft w:val="0"/>
                          <w:marRight w:val="0"/>
                          <w:marTop w:val="0"/>
                          <w:marBottom w:val="0"/>
                          <w:divBdr>
                            <w:top w:val="none" w:sz="0" w:space="0" w:color="auto"/>
                            <w:left w:val="none" w:sz="0" w:space="0" w:color="auto"/>
                            <w:bottom w:val="none" w:sz="0" w:space="0" w:color="auto"/>
                            <w:right w:val="none" w:sz="0" w:space="0" w:color="auto"/>
                          </w:divBdr>
                          <w:divsChild>
                            <w:div w:id="6663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49950">
          <w:marLeft w:val="0"/>
          <w:marRight w:val="0"/>
          <w:marTop w:val="0"/>
          <w:marBottom w:val="0"/>
          <w:divBdr>
            <w:top w:val="none" w:sz="0" w:space="0" w:color="auto"/>
            <w:left w:val="none" w:sz="0" w:space="0" w:color="auto"/>
            <w:bottom w:val="none" w:sz="0" w:space="0" w:color="auto"/>
            <w:right w:val="none" w:sz="0" w:space="0" w:color="auto"/>
          </w:divBdr>
        </w:div>
      </w:divsChild>
    </w:div>
    <w:div w:id="624116612">
      <w:bodyDiv w:val="1"/>
      <w:marLeft w:val="0"/>
      <w:marRight w:val="0"/>
      <w:marTop w:val="0"/>
      <w:marBottom w:val="0"/>
      <w:divBdr>
        <w:top w:val="none" w:sz="0" w:space="0" w:color="auto"/>
        <w:left w:val="none" w:sz="0" w:space="0" w:color="auto"/>
        <w:bottom w:val="none" w:sz="0" w:space="0" w:color="auto"/>
        <w:right w:val="none" w:sz="0" w:space="0" w:color="auto"/>
      </w:divBdr>
    </w:div>
    <w:div w:id="676615320">
      <w:bodyDiv w:val="1"/>
      <w:marLeft w:val="0"/>
      <w:marRight w:val="0"/>
      <w:marTop w:val="0"/>
      <w:marBottom w:val="0"/>
      <w:divBdr>
        <w:top w:val="none" w:sz="0" w:space="0" w:color="auto"/>
        <w:left w:val="none" w:sz="0" w:space="0" w:color="auto"/>
        <w:bottom w:val="none" w:sz="0" w:space="0" w:color="auto"/>
        <w:right w:val="none" w:sz="0" w:space="0" w:color="auto"/>
      </w:divBdr>
      <w:divsChild>
        <w:div w:id="849946958">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none" w:sz="0" w:space="0" w:color="auto"/>
                <w:left w:val="none" w:sz="0" w:space="0" w:color="auto"/>
                <w:bottom w:val="none" w:sz="0" w:space="0" w:color="auto"/>
                <w:right w:val="none" w:sz="0" w:space="0" w:color="auto"/>
              </w:divBdr>
              <w:divsChild>
                <w:div w:id="1496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236">
      <w:bodyDiv w:val="1"/>
      <w:marLeft w:val="0"/>
      <w:marRight w:val="0"/>
      <w:marTop w:val="0"/>
      <w:marBottom w:val="0"/>
      <w:divBdr>
        <w:top w:val="none" w:sz="0" w:space="0" w:color="auto"/>
        <w:left w:val="none" w:sz="0" w:space="0" w:color="auto"/>
        <w:bottom w:val="none" w:sz="0" w:space="0" w:color="auto"/>
        <w:right w:val="none" w:sz="0" w:space="0" w:color="auto"/>
      </w:divBdr>
      <w:divsChild>
        <w:div w:id="676926757">
          <w:marLeft w:val="0"/>
          <w:marRight w:val="0"/>
          <w:marTop w:val="0"/>
          <w:marBottom w:val="0"/>
          <w:divBdr>
            <w:top w:val="none" w:sz="0" w:space="0" w:color="auto"/>
            <w:left w:val="none" w:sz="0" w:space="0" w:color="auto"/>
            <w:bottom w:val="none" w:sz="0" w:space="0" w:color="auto"/>
            <w:right w:val="none" w:sz="0" w:space="0" w:color="auto"/>
          </w:divBdr>
          <w:divsChild>
            <w:div w:id="326328735">
              <w:marLeft w:val="0"/>
              <w:marRight w:val="0"/>
              <w:marTop w:val="0"/>
              <w:marBottom w:val="0"/>
              <w:divBdr>
                <w:top w:val="none" w:sz="0" w:space="0" w:color="auto"/>
                <w:left w:val="none" w:sz="0" w:space="0" w:color="auto"/>
                <w:bottom w:val="none" w:sz="0" w:space="0" w:color="auto"/>
                <w:right w:val="none" w:sz="0" w:space="0" w:color="auto"/>
              </w:divBdr>
              <w:divsChild>
                <w:div w:id="238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7976">
      <w:bodyDiv w:val="1"/>
      <w:marLeft w:val="0"/>
      <w:marRight w:val="0"/>
      <w:marTop w:val="0"/>
      <w:marBottom w:val="0"/>
      <w:divBdr>
        <w:top w:val="none" w:sz="0" w:space="0" w:color="auto"/>
        <w:left w:val="none" w:sz="0" w:space="0" w:color="auto"/>
        <w:bottom w:val="none" w:sz="0" w:space="0" w:color="auto"/>
        <w:right w:val="none" w:sz="0" w:space="0" w:color="auto"/>
      </w:divBdr>
      <w:divsChild>
        <w:div w:id="460928315">
          <w:marLeft w:val="0"/>
          <w:marRight w:val="0"/>
          <w:marTop w:val="0"/>
          <w:marBottom w:val="0"/>
          <w:divBdr>
            <w:top w:val="none" w:sz="0" w:space="0" w:color="auto"/>
            <w:left w:val="none" w:sz="0" w:space="0" w:color="auto"/>
            <w:bottom w:val="none" w:sz="0" w:space="0" w:color="auto"/>
            <w:right w:val="none" w:sz="0" w:space="0" w:color="auto"/>
          </w:divBdr>
          <w:divsChild>
            <w:div w:id="1245338598">
              <w:marLeft w:val="0"/>
              <w:marRight w:val="0"/>
              <w:marTop w:val="0"/>
              <w:marBottom w:val="0"/>
              <w:divBdr>
                <w:top w:val="none" w:sz="0" w:space="0" w:color="auto"/>
                <w:left w:val="none" w:sz="0" w:space="0" w:color="auto"/>
                <w:bottom w:val="none" w:sz="0" w:space="0" w:color="auto"/>
                <w:right w:val="none" w:sz="0" w:space="0" w:color="auto"/>
              </w:divBdr>
              <w:divsChild>
                <w:div w:id="1096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48173">
      <w:bodyDiv w:val="1"/>
      <w:marLeft w:val="0"/>
      <w:marRight w:val="0"/>
      <w:marTop w:val="0"/>
      <w:marBottom w:val="0"/>
      <w:divBdr>
        <w:top w:val="none" w:sz="0" w:space="0" w:color="auto"/>
        <w:left w:val="none" w:sz="0" w:space="0" w:color="auto"/>
        <w:bottom w:val="none" w:sz="0" w:space="0" w:color="auto"/>
        <w:right w:val="none" w:sz="0" w:space="0" w:color="auto"/>
      </w:divBdr>
      <w:divsChild>
        <w:div w:id="1837763362">
          <w:marLeft w:val="0"/>
          <w:marRight w:val="0"/>
          <w:marTop w:val="0"/>
          <w:marBottom w:val="0"/>
          <w:divBdr>
            <w:top w:val="none" w:sz="0" w:space="0" w:color="auto"/>
            <w:left w:val="none" w:sz="0" w:space="0" w:color="auto"/>
            <w:bottom w:val="none" w:sz="0" w:space="0" w:color="auto"/>
            <w:right w:val="none" w:sz="0" w:space="0" w:color="auto"/>
          </w:divBdr>
          <w:divsChild>
            <w:div w:id="130102182">
              <w:marLeft w:val="0"/>
              <w:marRight w:val="0"/>
              <w:marTop w:val="0"/>
              <w:marBottom w:val="0"/>
              <w:divBdr>
                <w:top w:val="none" w:sz="0" w:space="0" w:color="auto"/>
                <w:left w:val="none" w:sz="0" w:space="0" w:color="auto"/>
                <w:bottom w:val="none" w:sz="0" w:space="0" w:color="auto"/>
                <w:right w:val="none" w:sz="0" w:space="0" w:color="auto"/>
              </w:divBdr>
              <w:divsChild>
                <w:div w:id="14190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1603">
      <w:bodyDiv w:val="1"/>
      <w:marLeft w:val="0"/>
      <w:marRight w:val="0"/>
      <w:marTop w:val="0"/>
      <w:marBottom w:val="0"/>
      <w:divBdr>
        <w:top w:val="none" w:sz="0" w:space="0" w:color="auto"/>
        <w:left w:val="none" w:sz="0" w:space="0" w:color="auto"/>
        <w:bottom w:val="none" w:sz="0" w:space="0" w:color="auto"/>
        <w:right w:val="none" w:sz="0" w:space="0" w:color="auto"/>
      </w:divBdr>
      <w:divsChild>
        <w:div w:id="200677159">
          <w:marLeft w:val="0"/>
          <w:marRight w:val="0"/>
          <w:marTop w:val="0"/>
          <w:marBottom w:val="0"/>
          <w:divBdr>
            <w:top w:val="none" w:sz="0" w:space="0" w:color="auto"/>
            <w:left w:val="none" w:sz="0" w:space="0" w:color="auto"/>
            <w:bottom w:val="none" w:sz="0" w:space="0" w:color="auto"/>
            <w:right w:val="none" w:sz="0" w:space="0" w:color="auto"/>
          </w:divBdr>
          <w:divsChild>
            <w:div w:id="30033048">
              <w:marLeft w:val="0"/>
              <w:marRight w:val="0"/>
              <w:marTop w:val="0"/>
              <w:marBottom w:val="0"/>
              <w:divBdr>
                <w:top w:val="none" w:sz="0" w:space="0" w:color="auto"/>
                <w:left w:val="none" w:sz="0" w:space="0" w:color="auto"/>
                <w:bottom w:val="none" w:sz="0" w:space="0" w:color="auto"/>
                <w:right w:val="none" w:sz="0" w:space="0" w:color="auto"/>
              </w:divBdr>
              <w:divsChild>
                <w:div w:id="6340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269">
      <w:bodyDiv w:val="1"/>
      <w:marLeft w:val="0"/>
      <w:marRight w:val="0"/>
      <w:marTop w:val="0"/>
      <w:marBottom w:val="0"/>
      <w:divBdr>
        <w:top w:val="none" w:sz="0" w:space="0" w:color="auto"/>
        <w:left w:val="none" w:sz="0" w:space="0" w:color="auto"/>
        <w:bottom w:val="none" w:sz="0" w:space="0" w:color="auto"/>
        <w:right w:val="none" w:sz="0" w:space="0" w:color="auto"/>
      </w:divBdr>
      <w:divsChild>
        <w:div w:id="112672096">
          <w:marLeft w:val="0"/>
          <w:marRight w:val="0"/>
          <w:marTop w:val="0"/>
          <w:marBottom w:val="0"/>
          <w:divBdr>
            <w:top w:val="none" w:sz="0" w:space="0" w:color="auto"/>
            <w:left w:val="none" w:sz="0" w:space="0" w:color="auto"/>
            <w:bottom w:val="none" w:sz="0" w:space="0" w:color="auto"/>
            <w:right w:val="none" w:sz="0" w:space="0" w:color="auto"/>
          </w:divBdr>
          <w:divsChild>
            <w:div w:id="662010315">
              <w:marLeft w:val="0"/>
              <w:marRight w:val="0"/>
              <w:marTop w:val="0"/>
              <w:marBottom w:val="0"/>
              <w:divBdr>
                <w:top w:val="none" w:sz="0" w:space="0" w:color="auto"/>
                <w:left w:val="none" w:sz="0" w:space="0" w:color="auto"/>
                <w:bottom w:val="none" w:sz="0" w:space="0" w:color="auto"/>
                <w:right w:val="none" w:sz="0" w:space="0" w:color="auto"/>
              </w:divBdr>
              <w:divsChild>
                <w:div w:id="11702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7147">
      <w:bodyDiv w:val="1"/>
      <w:marLeft w:val="0"/>
      <w:marRight w:val="0"/>
      <w:marTop w:val="0"/>
      <w:marBottom w:val="0"/>
      <w:divBdr>
        <w:top w:val="none" w:sz="0" w:space="0" w:color="auto"/>
        <w:left w:val="none" w:sz="0" w:space="0" w:color="auto"/>
        <w:bottom w:val="none" w:sz="0" w:space="0" w:color="auto"/>
        <w:right w:val="none" w:sz="0" w:space="0" w:color="auto"/>
      </w:divBdr>
      <w:divsChild>
        <w:div w:id="812211665">
          <w:marLeft w:val="0"/>
          <w:marRight w:val="0"/>
          <w:marTop w:val="0"/>
          <w:marBottom w:val="0"/>
          <w:divBdr>
            <w:top w:val="none" w:sz="0" w:space="0" w:color="auto"/>
            <w:left w:val="none" w:sz="0" w:space="0" w:color="auto"/>
            <w:bottom w:val="none" w:sz="0" w:space="0" w:color="auto"/>
            <w:right w:val="none" w:sz="0" w:space="0" w:color="auto"/>
          </w:divBdr>
          <w:divsChild>
            <w:div w:id="1166628074">
              <w:marLeft w:val="0"/>
              <w:marRight w:val="0"/>
              <w:marTop w:val="0"/>
              <w:marBottom w:val="0"/>
              <w:divBdr>
                <w:top w:val="none" w:sz="0" w:space="0" w:color="auto"/>
                <w:left w:val="none" w:sz="0" w:space="0" w:color="auto"/>
                <w:bottom w:val="none" w:sz="0" w:space="0" w:color="auto"/>
                <w:right w:val="none" w:sz="0" w:space="0" w:color="auto"/>
              </w:divBdr>
              <w:divsChild>
                <w:div w:id="1543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846">
      <w:bodyDiv w:val="1"/>
      <w:marLeft w:val="0"/>
      <w:marRight w:val="0"/>
      <w:marTop w:val="0"/>
      <w:marBottom w:val="0"/>
      <w:divBdr>
        <w:top w:val="none" w:sz="0" w:space="0" w:color="auto"/>
        <w:left w:val="none" w:sz="0" w:space="0" w:color="auto"/>
        <w:bottom w:val="none" w:sz="0" w:space="0" w:color="auto"/>
        <w:right w:val="none" w:sz="0" w:space="0" w:color="auto"/>
      </w:divBdr>
      <w:divsChild>
        <w:div w:id="1068380638">
          <w:marLeft w:val="0"/>
          <w:marRight w:val="0"/>
          <w:marTop w:val="0"/>
          <w:marBottom w:val="0"/>
          <w:divBdr>
            <w:top w:val="none" w:sz="0" w:space="0" w:color="auto"/>
            <w:left w:val="none" w:sz="0" w:space="0" w:color="auto"/>
            <w:bottom w:val="none" w:sz="0" w:space="0" w:color="auto"/>
            <w:right w:val="none" w:sz="0" w:space="0" w:color="auto"/>
          </w:divBdr>
          <w:divsChild>
            <w:div w:id="1378310695">
              <w:marLeft w:val="0"/>
              <w:marRight w:val="0"/>
              <w:marTop w:val="0"/>
              <w:marBottom w:val="0"/>
              <w:divBdr>
                <w:top w:val="none" w:sz="0" w:space="0" w:color="auto"/>
                <w:left w:val="none" w:sz="0" w:space="0" w:color="auto"/>
                <w:bottom w:val="none" w:sz="0" w:space="0" w:color="auto"/>
                <w:right w:val="none" w:sz="0" w:space="0" w:color="auto"/>
              </w:divBdr>
              <w:divsChild>
                <w:div w:id="3510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2702">
      <w:bodyDiv w:val="1"/>
      <w:marLeft w:val="0"/>
      <w:marRight w:val="0"/>
      <w:marTop w:val="0"/>
      <w:marBottom w:val="0"/>
      <w:divBdr>
        <w:top w:val="none" w:sz="0" w:space="0" w:color="auto"/>
        <w:left w:val="none" w:sz="0" w:space="0" w:color="auto"/>
        <w:bottom w:val="none" w:sz="0" w:space="0" w:color="auto"/>
        <w:right w:val="none" w:sz="0" w:space="0" w:color="auto"/>
      </w:divBdr>
      <w:divsChild>
        <w:div w:id="583302858">
          <w:marLeft w:val="0"/>
          <w:marRight w:val="0"/>
          <w:marTop w:val="0"/>
          <w:marBottom w:val="0"/>
          <w:divBdr>
            <w:top w:val="none" w:sz="0" w:space="0" w:color="auto"/>
            <w:left w:val="none" w:sz="0" w:space="0" w:color="auto"/>
            <w:bottom w:val="none" w:sz="0" w:space="0" w:color="auto"/>
            <w:right w:val="none" w:sz="0" w:space="0" w:color="auto"/>
          </w:divBdr>
          <w:divsChild>
            <w:div w:id="968363724">
              <w:marLeft w:val="0"/>
              <w:marRight w:val="0"/>
              <w:marTop w:val="0"/>
              <w:marBottom w:val="0"/>
              <w:divBdr>
                <w:top w:val="none" w:sz="0" w:space="0" w:color="auto"/>
                <w:left w:val="none" w:sz="0" w:space="0" w:color="auto"/>
                <w:bottom w:val="none" w:sz="0" w:space="0" w:color="auto"/>
                <w:right w:val="none" w:sz="0" w:space="0" w:color="auto"/>
              </w:divBdr>
              <w:divsChild>
                <w:div w:id="1756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1479">
      <w:bodyDiv w:val="1"/>
      <w:marLeft w:val="0"/>
      <w:marRight w:val="0"/>
      <w:marTop w:val="0"/>
      <w:marBottom w:val="0"/>
      <w:divBdr>
        <w:top w:val="none" w:sz="0" w:space="0" w:color="auto"/>
        <w:left w:val="none" w:sz="0" w:space="0" w:color="auto"/>
        <w:bottom w:val="none" w:sz="0" w:space="0" w:color="auto"/>
        <w:right w:val="none" w:sz="0" w:space="0" w:color="auto"/>
      </w:divBdr>
      <w:divsChild>
        <w:div w:id="1537891893">
          <w:marLeft w:val="0"/>
          <w:marRight w:val="0"/>
          <w:marTop w:val="0"/>
          <w:marBottom w:val="0"/>
          <w:divBdr>
            <w:top w:val="none" w:sz="0" w:space="0" w:color="auto"/>
            <w:left w:val="none" w:sz="0" w:space="0" w:color="auto"/>
            <w:bottom w:val="none" w:sz="0" w:space="0" w:color="auto"/>
            <w:right w:val="none" w:sz="0" w:space="0" w:color="auto"/>
          </w:divBdr>
          <w:divsChild>
            <w:div w:id="905408752">
              <w:marLeft w:val="0"/>
              <w:marRight w:val="0"/>
              <w:marTop w:val="0"/>
              <w:marBottom w:val="0"/>
              <w:divBdr>
                <w:top w:val="none" w:sz="0" w:space="0" w:color="auto"/>
                <w:left w:val="none" w:sz="0" w:space="0" w:color="auto"/>
                <w:bottom w:val="none" w:sz="0" w:space="0" w:color="auto"/>
                <w:right w:val="none" w:sz="0" w:space="0" w:color="auto"/>
              </w:divBdr>
              <w:divsChild>
                <w:div w:id="20482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279527651">
      <w:bodyDiv w:val="1"/>
      <w:marLeft w:val="0"/>
      <w:marRight w:val="0"/>
      <w:marTop w:val="0"/>
      <w:marBottom w:val="0"/>
      <w:divBdr>
        <w:top w:val="none" w:sz="0" w:space="0" w:color="auto"/>
        <w:left w:val="none" w:sz="0" w:space="0" w:color="auto"/>
        <w:bottom w:val="none" w:sz="0" w:space="0" w:color="auto"/>
        <w:right w:val="none" w:sz="0" w:space="0" w:color="auto"/>
      </w:divBdr>
      <w:divsChild>
        <w:div w:id="1801729743">
          <w:marLeft w:val="0"/>
          <w:marRight w:val="0"/>
          <w:marTop w:val="0"/>
          <w:marBottom w:val="0"/>
          <w:divBdr>
            <w:top w:val="none" w:sz="0" w:space="0" w:color="auto"/>
            <w:left w:val="none" w:sz="0" w:space="0" w:color="auto"/>
            <w:bottom w:val="none" w:sz="0" w:space="0" w:color="auto"/>
            <w:right w:val="none" w:sz="0" w:space="0" w:color="auto"/>
          </w:divBdr>
          <w:divsChild>
            <w:div w:id="611135100">
              <w:marLeft w:val="0"/>
              <w:marRight w:val="0"/>
              <w:marTop w:val="0"/>
              <w:marBottom w:val="0"/>
              <w:divBdr>
                <w:top w:val="none" w:sz="0" w:space="0" w:color="auto"/>
                <w:left w:val="none" w:sz="0" w:space="0" w:color="auto"/>
                <w:bottom w:val="none" w:sz="0" w:space="0" w:color="auto"/>
                <w:right w:val="none" w:sz="0" w:space="0" w:color="auto"/>
              </w:divBdr>
              <w:divsChild>
                <w:div w:id="20810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7174">
      <w:bodyDiv w:val="1"/>
      <w:marLeft w:val="0"/>
      <w:marRight w:val="0"/>
      <w:marTop w:val="0"/>
      <w:marBottom w:val="0"/>
      <w:divBdr>
        <w:top w:val="none" w:sz="0" w:space="0" w:color="auto"/>
        <w:left w:val="none" w:sz="0" w:space="0" w:color="auto"/>
        <w:bottom w:val="none" w:sz="0" w:space="0" w:color="auto"/>
        <w:right w:val="none" w:sz="0" w:space="0" w:color="auto"/>
      </w:divBdr>
      <w:divsChild>
        <w:div w:id="2084063082">
          <w:marLeft w:val="0"/>
          <w:marRight w:val="0"/>
          <w:marTop w:val="0"/>
          <w:marBottom w:val="0"/>
          <w:divBdr>
            <w:top w:val="none" w:sz="0" w:space="0" w:color="auto"/>
            <w:left w:val="none" w:sz="0" w:space="0" w:color="auto"/>
            <w:bottom w:val="none" w:sz="0" w:space="0" w:color="auto"/>
            <w:right w:val="none" w:sz="0" w:space="0" w:color="auto"/>
          </w:divBdr>
          <w:divsChild>
            <w:div w:id="1845852629">
              <w:marLeft w:val="0"/>
              <w:marRight w:val="0"/>
              <w:marTop w:val="0"/>
              <w:marBottom w:val="0"/>
              <w:divBdr>
                <w:top w:val="none" w:sz="0" w:space="0" w:color="auto"/>
                <w:left w:val="none" w:sz="0" w:space="0" w:color="auto"/>
                <w:bottom w:val="none" w:sz="0" w:space="0" w:color="auto"/>
                <w:right w:val="none" w:sz="0" w:space="0" w:color="auto"/>
              </w:divBdr>
              <w:divsChild>
                <w:div w:id="633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7887">
      <w:bodyDiv w:val="1"/>
      <w:marLeft w:val="0"/>
      <w:marRight w:val="0"/>
      <w:marTop w:val="0"/>
      <w:marBottom w:val="0"/>
      <w:divBdr>
        <w:top w:val="none" w:sz="0" w:space="0" w:color="auto"/>
        <w:left w:val="none" w:sz="0" w:space="0" w:color="auto"/>
        <w:bottom w:val="none" w:sz="0" w:space="0" w:color="auto"/>
        <w:right w:val="none" w:sz="0" w:space="0" w:color="auto"/>
      </w:divBdr>
      <w:divsChild>
        <w:div w:id="980889095">
          <w:marLeft w:val="0"/>
          <w:marRight w:val="0"/>
          <w:marTop w:val="0"/>
          <w:marBottom w:val="0"/>
          <w:divBdr>
            <w:top w:val="none" w:sz="0" w:space="0" w:color="auto"/>
            <w:left w:val="none" w:sz="0" w:space="0" w:color="auto"/>
            <w:bottom w:val="none" w:sz="0" w:space="0" w:color="auto"/>
            <w:right w:val="none" w:sz="0" w:space="0" w:color="auto"/>
          </w:divBdr>
          <w:divsChild>
            <w:div w:id="1050617470">
              <w:marLeft w:val="0"/>
              <w:marRight w:val="0"/>
              <w:marTop w:val="0"/>
              <w:marBottom w:val="0"/>
              <w:divBdr>
                <w:top w:val="none" w:sz="0" w:space="0" w:color="auto"/>
                <w:left w:val="none" w:sz="0" w:space="0" w:color="auto"/>
                <w:bottom w:val="none" w:sz="0" w:space="0" w:color="auto"/>
                <w:right w:val="none" w:sz="0" w:space="0" w:color="auto"/>
              </w:divBdr>
              <w:divsChild>
                <w:div w:id="168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5150">
      <w:bodyDiv w:val="1"/>
      <w:marLeft w:val="0"/>
      <w:marRight w:val="0"/>
      <w:marTop w:val="0"/>
      <w:marBottom w:val="0"/>
      <w:divBdr>
        <w:top w:val="none" w:sz="0" w:space="0" w:color="auto"/>
        <w:left w:val="none" w:sz="0" w:space="0" w:color="auto"/>
        <w:bottom w:val="none" w:sz="0" w:space="0" w:color="auto"/>
        <w:right w:val="none" w:sz="0" w:space="0" w:color="auto"/>
      </w:divBdr>
      <w:divsChild>
        <w:div w:id="469639206">
          <w:marLeft w:val="0"/>
          <w:marRight w:val="0"/>
          <w:marTop w:val="0"/>
          <w:marBottom w:val="0"/>
          <w:divBdr>
            <w:top w:val="none" w:sz="0" w:space="0" w:color="auto"/>
            <w:left w:val="none" w:sz="0" w:space="0" w:color="auto"/>
            <w:bottom w:val="none" w:sz="0" w:space="0" w:color="auto"/>
            <w:right w:val="none" w:sz="0" w:space="0" w:color="auto"/>
          </w:divBdr>
          <w:divsChild>
            <w:div w:id="731345648">
              <w:marLeft w:val="0"/>
              <w:marRight w:val="0"/>
              <w:marTop w:val="0"/>
              <w:marBottom w:val="0"/>
              <w:divBdr>
                <w:top w:val="none" w:sz="0" w:space="0" w:color="auto"/>
                <w:left w:val="none" w:sz="0" w:space="0" w:color="auto"/>
                <w:bottom w:val="none" w:sz="0" w:space="0" w:color="auto"/>
                <w:right w:val="none" w:sz="0" w:space="0" w:color="auto"/>
              </w:divBdr>
              <w:divsChild>
                <w:div w:id="824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6709">
      <w:bodyDiv w:val="1"/>
      <w:marLeft w:val="0"/>
      <w:marRight w:val="0"/>
      <w:marTop w:val="0"/>
      <w:marBottom w:val="0"/>
      <w:divBdr>
        <w:top w:val="none" w:sz="0" w:space="0" w:color="auto"/>
        <w:left w:val="none" w:sz="0" w:space="0" w:color="auto"/>
        <w:bottom w:val="none" w:sz="0" w:space="0" w:color="auto"/>
        <w:right w:val="none" w:sz="0" w:space="0" w:color="auto"/>
      </w:divBdr>
      <w:divsChild>
        <w:div w:id="1394936922">
          <w:marLeft w:val="0"/>
          <w:marRight w:val="0"/>
          <w:marTop w:val="0"/>
          <w:marBottom w:val="0"/>
          <w:divBdr>
            <w:top w:val="none" w:sz="0" w:space="0" w:color="auto"/>
            <w:left w:val="none" w:sz="0" w:space="0" w:color="auto"/>
            <w:bottom w:val="none" w:sz="0" w:space="0" w:color="auto"/>
            <w:right w:val="none" w:sz="0" w:space="0" w:color="auto"/>
          </w:divBdr>
          <w:divsChild>
            <w:div w:id="1795714071">
              <w:marLeft w:val="0"/>
              <w:marRight w:val="0"/>
              <w:marTop w:val="0"/>
              <w:marBottom w:val="0"/>
              <w:divBdr>
                <w:top w:val="none" w:sz="0" w:space="0" w:color="auto"/>
                <w:left w:val="none" w:sz="0" w:space="0" w:color="auto"/>
                <w:bottom w:val="none" w:sz="0" w:space="0" w:color="auto"/>
                <w:right w:val="none" w:sz="0" w:space="0" w:color="auto"/>
              </w:divBdr>
              <w:divsChild>
                <w:div w:id="870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0604">
      <w:bodyDiv w:val="1"/>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002">
      <w:bodyDiv w:val="1"/>
      <w:marLeft w:val="0"/>
      <w:marRight w:val="0"/>
      <w:marTop w:val="0"/>
      <w:marBottom w:val="0"/>
      <w:divBdr>
        <w:top w:val="none" w:sz="0" w:space="0" w:color="auto"/>
        <w:left w:val="none" w:sz="0" w:space="0" w:color="auto"/>
        <w:bottom w:val="none" w:sz="0" w:space="0" w:color="auto"/>
        <w:right w:val="none" w:sz="0" w:space="0" w:color="auto"/>
      </w:divBdr>
    </w:div>
    <w:div w:id="1743210020">
      <w:bodyDiv w:val="1"/>
      <w:marLeft w:val="0"/>
      <w:marRight w:val="0"/>
      <w:marTop w:val="0"/>
      <w:marBottom w:val="0"/>
      <w:divBdr>
        <w:top w:val="none" w:sz="0" w:space="0" w:color="auto"/>
        <w:left w:val="none" w:sz="0" w:space="0" w:color="auto"/>
        <w:bottom w:val="none" w:sz="0" w:space="0" w:color="auto"/>
        <w:right w:val="none" w:sz="0" w:space="0" w:color="auto"/>
      </w:divBdr>
      <w:divsChild>
        <w:div w:id="89349686">
          <w:marLeft w:val="0"/>
          <w:marRight w:val="0"/>
          <w:marTop w:val="0"/>
          <w:marBottom w:val="0"/>
          <w:divBdr>
            <w:top w:val="none" w:sz="0" w:space="0" w:color="auto"/>
            <w:left w:val="none" w:sz="0" w:space="0" w:color="auto"/>
            <w:bottom w:val="none" w:sz="0" w:space="0" w:color="auto"/>
            <w:right w:val="none" w:sz="0" w:space="0" w:color="auto"/>
          </w:divBdr>
          <w:divsChild>
            <w:div w:id="1078792327">
              <w:marLeft w:val="0"/>
              <w:marRight w:val="0"/>
              <w:marTop w:val="0"/>
              <w:marBottom w:val="0"/>
              <w:divBdr>
                <w:top w:val="none" w:sz="0" w:space="0" w:color="auto"/>
                <w:left w:val="none" w:sz="0" w:space="0" w:color="auto"/>
                <w:bottom w:val="none" w:sz="0" w:space="0" w:color="auto"/>
                <w:right w:val="none" w:sz="0" w:space="0" w:color="auto"/>
              </w:divBdr>
              <w:divsChild>
                <w:div w:id="909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30894">
      <w:bodyDiv w:val="1"/>
      <w:marLeft w:val="0"/>
      <w:marRight w:val="0"/>
      <w:marTop w:val="0"/>
      <w:marBottom w:val="0"/>
      <w:divBdr>
        <w:top w:val="none" w:sz="0" w:space="0" w:color="auto"/>
        <w:left w:val="none" w:sz="0" w:space="0" w:color="auto"/>
        <w:bottom w:val="none" w:sz="0" w:space="0" w:color="auto"/>
        <w:right w:val="none" w:sz="0" w:space="0" w:color="auto"/>
      </w:divBdr>
      <w:divsChild>
        <w:div w:id="933708997">
          <w:marLeft w:val="0"/>
          <w:marRight w:val="0"/>
          <w:marTop w:val="0"/>
          <w:marBottom w:val="0"/>
          <w:divBdr>
            <w:top w:val="none" w:sz="0" w:space="0" w:color="auto"/>
            <w:left w:val="none" w:sz="0" w:space="0" w:color="auto"/>
            <w:bottom w:val="none" w:sz="0" w:space="0" w:color="auto"/>
            <w:right w:val="none" w:sz="0" w:space="0" w:color="auto"/>
          </w:divBdr>
          <w:divsChild>
            <w:div w:id="1647928612">
              <w:marLeft w:val="0"/>
              <w:marRight w:val="0"/>
              <w:marTop w:val="0"/>
              <w:marBottom w:val="0"/>
              <w:divBdr>
                <w:top w:val="none" w:sz="0" w:space="0" w:color="auto"/>
                <w:left w:val="none" w:sz="0" w:space="0" w:color="auto"/>
                <w:bottom w:val="none" w:sz="0" w:space="0" w:color="auto"/>
                <w:right w:val="none" w:sz="0" w:space="0" w:color="auto"/>
              </w:divBdr>
              <w:divsChild>
                <w:div w:id="2607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0875">
      <w:bodyDiv w:val="1"/>
      <w:marLeft w:val="0"/>
      <w:marRight w:val="0"/>
      <w:marTop w:val="0"/>
      <w:marBottom w:val="0"/>
      <w:divBdr>
        <w:top w:val="none" w:sz="0" w:space="0" w:color="auto"/>
        <w:left w:val="none" w:sz="0" w:space="0" w:color="auto"/>
        <w:bottom w:val="none" w:sz="0" w:space="0" w:color="auto"/>
        <w:right w:val="none" w:sz="0" w:space="0" w:color="auto"/>
      </w:divBdr>
      <w:divsChild>
        <w:div w:id="1838614484">
          <w:marLeft w:val="0"/>
          <w:marRight w:val="0"/>
          <w:marTop w:val="0"/>
          <w:marBottom w:val="0"/>
          <w:divBdr>
            <w:top w:val="none" w:sz="0" w:space="0" w:color="auto"/>
            <w:left w:val="none" w:sz="0" w:space="0" w:color="auto"/>
            <w:bottom w:val="none" w:sz="0" w:space="0" w:color="auto"/>
            <w:right w:val="none" w:sz="0" w:space="0" w:color="auto"/>
          </w:divBdr>
          <w:divsChild>
            <w:div w:id="1914005130">
              <w:marLeft w:val="0"/>
              <w:marRight w:val="0"/>
              <w:marTop w:val="0"/>
              <w:marBottom w:val="0"/>
              <w:divBdr>
                <w:top w:val="none" w:sz="0" w:space="0" w:color="auto"/>
                <w:left w:val="none" w:sz="0" w:space="0" w:color="auto"/>
                <w:bottom w:val="none" w:sz="0" w:space="0" w:color="auto"/>
                <w:right w:val="none" w:sz="0" w:space="0" w:color="auto"/>
              </w:divBdr>
              <w:divsChild>
                <w:div w:id="8934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6805">
      <w:bodyDiv w:val="1"/>
      <w:marLeft w:val="0"/>
      <w:marRight w:val="0"/>
      <w:marTop w:val="0"/>
      <w:marBottom w:val="0"/>
      <w:divBdr>
        <w:top w:val="none" w:sz="0" w:space="0" w:color="auto"/>
        <w:left w:val="none" w:sz="0" w:space="0" w:color="auto"/>
        <w:bottom w:val="none" w:sz="0" w:space="0" w:color="auto"/>
        <w:right w:val="none" w:sz="0" w:space="0" w:color="auto"/>
      </w:divBdr>
      <w:divsChild>
        <w:div w:id="1463038685">
          <w:marLeft w:val="0"/>
          <w:marRight w:val="0"/>
          <w:marTop w:val="0"/>
          <w:marBottom w:val="0"/>
          <w:divBdr>
            <w:top w:val="none" w:sz="0" w:space="0" w:color="auto"/>
            <w:left w:val="none" w:sz="0" w:space="0" w:color="auto"/>
            <w:bottom w:val="none" w:sz="0" w:space="0" w:color="auto"/>
            <w:right w:val="none" w:sz="0" w:space="0" w:color="auto"/>
          </w:divBdr>
          <w:divsChild>
            <w:div w:id="1232887643">
              <w:marLeft w:val="0"/>
              <w:marRight w:val="0"/>
              <w:marTop w:val="0"/>
              <w:marBottom w:val="0"/>
              <w:divBdr>
                <w:top w:val="none" w:sz="0" w:space="0" w:color="auto"/>
                <w:left w:val="none" w:sz="0" w:space="0" w:color="auto"/>
                <w:bottom w:val="none" w:sz="0" w:space="0" w:color="auto"/>
                <w:right w:val="none" w:sz="0" w:space="0" w:color="auto"/>
              </w:divBdr>
              <w:divsChild>
                <w:div w:id="437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5689">
      <w:bodyDiv w:val="1"/>
      <w:marLeft w:val="0"/>
      <w:marRight w:val="0"/>
      <w:marTop w:val="0"/>
      <w:marBottom w:val="0"/>
      <w:divBdr>
        <w:top w:val="none" w:sz="0" w:space="0" w:color="auto"/>
        <w:left w:val="none" w:sz="0" w:space="0" w:color="auto"/>
        <w:bottom w:val="none" w:sz="0" w:space="0" w:color="auto"/>
        <w:right w:val="none" w:sz="0" w:space="0" w:color="auto"/>
      </w:divBdr>
      <w:divsChild>
        <w:div w:id="454255256">
          <w:marLeft w:val="0"/>
          <w:marRight w:val="0"/>
          <w:marTop w:val="0"/>
          <w:marBottom w:val="0"/>
          <w:divBdr>
            <w:top w:val="none" w:sz="0" w:space="0" w:color="auto"/>
            <w:left w:val="none" w:sz="0" w:space="0" w:color="auto"/>
            <w:bottom w:val="none" w:sz="0" w:space="0" w:color="auto"/>
            <w:right w:val="none" w:sz="0" w:space="0" w:color="auto"/>
          </w:divBdr>
          <w:divsChild>
            <w:div w:id="211235007">
              <w:marLeft w:val="0"/>
              <w:marRight w:val="0"/>
              <w:marTop w:val="0"/>
              <w:marBottom w:val="0"/>
              <w:divBdr>
                <w:top w:val="none" w:sz="0" w:space="0" w:color="auto"/>
                <w:left w:val="none" w:sz="0" w:space="0" w:color="auto"/>
                <w:bottom w:val="none" w:sz="0" w:space="0" w:color="auto"/>
                <w:right w:val="none" w:sz="0" w:space="0" w:color="auto"/>
              </w:divBdr>
              <w:divsChild>
                <w:div w:id="21213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2652">
      <w:bodyDiv w:val="1"/>
      <w:marLeft w:val="0"/>
      <w:marRight w:val="0"/>
      <w:marTop w:val="0"/>
      <w:marBottom w:val="0"/>
      <w:divBdr>
        <w:top w:val="none" w:sz="0" w:space="0" w:color="auto"/>
        <w:left w:val="none" w:sz="0" w:space="0" w:color="auto"/>
        <w:bottom w:val="none" w:sz="0" w:space="0" w:color="auto"/>
        <w:right w:val="none" w:sz="0" w:space="0" w:color="auto"/>
      </w:divBdr>
      <w:divsChild>
        <w:div w:id="1214199311">
          <w:marLeft w:val="0"/>
          <w:marRight w:val="0"/>
          <w:marTop w:val="0"/>
          <w:marBottom w:val="0"/>
          <w:divBdr>
            <w:top w:val="none" w:sz="0" w:space="0" w:color="auto"/>
            <w:left w:val="none" w:sz="0" w:space="0" w:color="auto"/>
            <w:bottom w:val="none" w:sz="0" w:space="0" w:color="auto"/>
            <w:right w:val="none" w:sz="0" w:space="0" w:color="auto"/>
          </w:divBdr>
          <w:divsChild>
            <w:div w:id="807404079">
              <w:marLeft w:val="0"/>
              <w:marRight w:val="0"/>
              <w:marTop w:val="0"/>
              <w:marBottom w:val="0"/>
              <w:divBdr>
                <w:top w:val="none" w:sz="0" w:space="0" w:color="auto"/>
                <w:left w:val="none" w:sz="0" w:space="0" w:color="auto"/>
                <w:bottom w:val="none" w:sz="0" w:space="0" w:color="auto"/>
                <w:right w:val="none" w:sz="0" w:space="0" w:color="auto"/>
              </w:divBdr>
              <w:divsChild>
                <w:div w:id="20606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346">
      <w:bodyDiv w:val="1"/>
      <w:marLeft w:val="0"/>
      <w:marRight w:val="0"/>
      <w:marTop w:val="0"/>
      <w:marBottom w:val="0"/>
      <w:divBdr>
        <w:top w:val="none" w:sz="0" w:space="0" w:color="auto"/>
        <w:left w:val="none" w:sz="0" w:space="0" w:color="auto"/>
        <w:bottom w:val="none" w:sz="0" w:space="0" w:color="auto"/>
        <w:right w:val="none" w:sz="0" w:space="0" w:color="auto"/>
      </w:divBdr>
      <w:divsChild>
        <w:div w:id="1432506544">
          <w:marLeft w:val="0"/>
          <w:marRight w:val="0"/>
          <w:marTop w:val="0"/>
          <w:marBottom w:val="0"/>
          <w:divBdr>
            <w:top w:val="none" w:sz="0" w:space="0" w:color="auto"/>
            <w:left w:val="none" w:sz="0" w:space="0" w:color="auto"/>
            <w:bottom w:val="none" w:sz="0" w:space="0" w:color="auto"/>
            <w:right w:val="none" w:sz="0" w:space="0" w:color="auto"/>
          </w:divBdr>
          <w:divsChild>
            <w:div w:id="776830363">
              <w:marLeft w:val="0"/>
              <w:marRight w:val="0"/>
              <w:marTop w:val="0"/>
              <w:marBottom w:val="0"/>
              <w:divBdr>
                <w:top w:val="none" w:sz="0" w:space="0" w:color="auto"/>
                <w:left w:val="none" w:sz="0" w:space="0" w:color="auto"/>
                <w:bottom w:val="none" w:sz="0" w:space="0" w:color="auto"/>
                <w:right w:val="none" w:sz="0" w:space="0" w:color="auto"/>
              </w:divBdr>
              <w:divsChild>
                <w:div w:id="5165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nbeh.2015.00007/full" TargetMode="External"/><Relationship Id="rId3" Type="http://schemas.openxmlformats.org/officeDocument/2006/relationships/settings" Target="settings.xml"/><Relationship Id="rId7" Type="http://schemas.openxmlformats.org/officeDocument/2006/relationships/hyperlink" Target="https://www.frontiersin.org/articles/10.3389/fnbeh.2015.00007/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nbeh.2015.00007/full" TargetMode="External"/><Relationship Id="rId11" Type="http://schemas.openxmlformats.org/officeDocument/2006/relationships/theme" Target="theme/theme1.xml"/><Relationship Id="rId5" Type="http://schemas.openxmlformats.org/officeDocument/2006/relationships/hyperlink" Target="https://www.frontiersin.org/articles/10.3389/fnbeh.2015.00007/fu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articles/10.3389/fnbeh.2015.0000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188</cp:revision>
  <dcterms:created xsi:type="dcterms:W3CDTF">2024-01-11T10:35:00Z</dcterms:created>
  <dcterms:modified xsi:type="dcterms:W3CDTF">2024-01-15T13:56:00Z</dcterms:modified>
</cp:coreProperties>
</file>